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6A7E60-C963-4E26-9650-7B748E72ADC6" style="width:451.25pt;height:422.8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Style w:val="Text1"/>
        <w:rPr>
          <w:noProof/>
        </w:rPr>
      </w:pPr>
      <w:r>
        <w:rPr>
          <w:noProof/>
        </w:rPr>
        <w:t xml:space="preserve">Proiectul de decizie a Comitetului mixt al SEE (atașat la propunerea de decizie a Consiliului) are ca obiect modificarea anexei II (Reglementări tehnice, standarde, încercări și certificare) și a anexei XI (Comunicații electronice, servicii audiovizuale și societatea informațională) la Acordul privind SEE pentru a încorpora </w:t>
      </w:r>
      <w:r>
        <w:rPr>
          <w:noProof/>
        </w:rPr>
        <w:br/>
        <w:t xml:space="preserve">Directiva (UE) 2015/1535 a Parlamentului European și a Consiliului din </w:t>
      </w:r>
      <w:r>
        <w:rPr>
          <w:noProof/>
        </w:rPr>
        <w:br/>
        <w:t>9 septembrie 2015 referitoare la procedura de furnizare de informații în domeniul reglementărilor tehnice și al normelor privind serviciile societății informaționale</w:t>
      </w:r>
      <w:r>
        <w:rPr>
          <w:rStyle w:val="FootnoteReference"/>
          <w:noProof/>
        </w:rPr>
        <w:footnoteReference w:id="1"/>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pStyle w:val="Text1"/>
        <w:rPr>
          <w:noProof/>
        </w:rPr>
      </w:pPr>
      <w:r>
        <w:rPr>
          <w:noProof/>
        </w:rPr>
        <w:t xml:space="preserve">Proiectul atașat de decizie a Comitetului mixt extinde politica deja existentă a UE la statele AELS care fac parte din SEE (Norvegia, Islanda și Liechtenstein). </w:t>
      </w:r>
    </w:p>
    <w:p>
      <w:pPr>
        <w:pStyle w:val="ManualHeading2"/>
        <w:rPr>
          <w:rFonts w:eastAsia="Arial Unicode MS"/>
          <w:noProof/>
        </w:rPr>
      </w:pPr>
      <w:r>
        <w:rPr>
          <w:noProof/>
          <w:color w:val="000000"/>
          <w:u w:color="000000"/>
          <w:bdr w:val="nil"/>
        </w:rPr>
        <w:t>•</w:t>
      </w:r>
      <w:r>
        <w:rPr>
          <w:noProof/>
        </w:rPr>
        <w:tab/>
        <w:t>Coerența cu alte politici ale Uniunii</w:t>
      </w:r>
    </w:p>
    <w:p>
      <w:pPr>
        <w:pStyle w:val="Text1"/>
        <w:rPr>
          <w:noProof/>
        </w:rPr>
      </w:pPr>
      <w:r>
        <w:rPr>
          <w:noProof/>
        </w:rPr>
        <w:t xml:space="preserve">Extinderea acquis-ului UE la statele AELS care fac parte din SEE, prin încorporarea acestuia în Acordul privind SEE, se realizează în conformitate cu obiectivele și principiile acestui acord, care vizează instituirea unui Spațiu Economic European dinamic și omogen, bazat pe norme comune și pe condiții egale în materie de concurență. </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pStyle w:val="Text1"/>
        <w:rPr>
          <w:noProof/>
        </w:rPr>
      </w:pPr>
      <w:r>
        <w:rPr>
          <w:noProof/>
        </w:rPr>
        <w:t>Actele legislative care urmează să fie încorporate în Acordul privind SEE se întemeiază pe articolele 114, 337 și 43 din Tratatul privind funcționarea Uniunii Europene.</w:t>
      </w:r>
    </w:p>
    <w:p>
      <w:pPr>
        <w:pStyle w:val="Text1"/>
        <w:rPr>
          <w:noProof/>
        </w:rPr>
      </w:pPr>
      <w:r>
        <w:rPr>
          <w:noProof/>
        </w:rPr>
        <w:t>Articolul 1 alineatul (3) din Regulamentul (CE) nr. 2894/94 al Consiliului</w:t>
      </w:r>
      <w:r>
        <w:rPr>
          <w:rStyle w:val="FootnoteReference"/>
          <w:noProof/>
        </w:rPr>
        <w:footnoteReference w:id="2"/>
      </w:r>
      <w:r>
        <w:rPr>
          <w:noProof/>
        </w:rPr>
        <w:t xml:space="preserve"> privind normele de punere în aplicare a Acordului privind SEE prevede stabilirea de către Consiliu, pe baza unei propuneri a Comisiei, a poziției care urmează să fie adoptată în numele Uniunii cu privire la astfel de decizii. </w:t>
      </w:r>
    </w:p>
    <w:p>
      <w:pPr>
        <w:pStyle w:val="Text1"/>
        <w:rPr>
          <w:noProof/>
        </w:rPr>
      </w:pPr>
      <w:r>
        <w:rPr>
          <w:noProof/>
        </w:rPr>
        <w:t xml:space="preserve">În cooperare cu SEAE, Comisia prezintă proiectul de decizie a Comitetului mixt </w:t>
      </w:r>
      <w:r>
        <w:rPr>
          <w:noProof/>
        </w:rPr>
        <w:br/>
        <w:t xml:space="preserve">al SEE în vederea adoptării de către Consiliu ca poziție a Uniunii. Comisia speră </w:t>
      </w:r>
      <w:r>
        <w:rPr>
          <w:noProof/>
        </w:rPr>
        <w:br/>
        <w:t xml:space="preserve">să poată prezenta acest document în cel mai scurt timp, în cadrul Comitetului mixt </w:t>
      </w:r>
      <w:r>
        <w:rPr>
          <w:noProof/>
        </w:rPr>
        <w:br/>
        <w:t>al SEE.</w:t>
      </w:r>
    </w:p>
    <w:p>
      <w:pPr>
        <w:pStyle w:val="ManualHeading2"/>
        <w:rPr>
          <w:rFonts w:eastAsia="Arial Unicode MS"/>
          <w:noProof/>
          <w:u w:color="000000"/>
          <w:bdr w:val="nil"/>
        </w:rPr>
      </w:pPr>
      <w:r>
        <w:rPr>
          <w:noProof/>
        </w:rPr>
        <w:t>•</w:t>
      </w:r>
      <w:r>
        <w:rPr>
          <w:noProof/>
        </w:rPr>
        <w:tab/>
        <w:t xml:space="preserve">Subsidiaritatea (pentru competența neexclusivă) </w:t>
      </w:r>
    </w:p>
    <w:p>
      <w:pPr>
        <w:pStyle w:val="Text1"/>
        <w:rPr>
          <w:noProof/>
        </w:rPr>
      </w:pPr>
      <w:r>
        <w:rPr>
          <w:noProof/>
        </w:rPr>
        <w:t xml:space="preserve">Propunerea respectă principiul subsidiarității din motivul prezentat mai jos. </w:t>
      </w:r>
    </w:p>
    <w:p>
      <w:pPr>
        <w:pStyle w:val="Text1"/>
        <w:rPr>
          <w:noProof/>
        </w:rPr>
      </w:pPr>
      <w:r>
        <w:rPr>
          <w:noProof/>
        </w:rPr>
        <w:t xml:space="preserve">Obiectivul prezentei propuneri, și anume asigurarea omogenității pieței interne, nu poate fi realizat în mod suficient de către statele membre și, prin urmare, având în vedere efectele sale, poate fi mai bine realizat la nivelul Uniunii. </w:t>
      </w:r>
    </w:p>
    <w:p>
      <w:pPr>
        <w:pStyle w:val="Text1"/>
        <w:rPr>
          <w:noProof/>
        </w:rPr>
      </w:pPr>
      <w:r>
        <w:rPr>
          <w:noProof/>
        </w:rPr>
        <w:t xml:space="preserve">Procesul de încorporare a acquis-ului UE în Acordul privind SEE se desfășoară în conformitate cu Regulamentul (CE) nr. 2894/94 al Consiliului din 28 noiembrie 1994 </w:t>
      </w:r>
      <w:r>
        <w:rPr>
          <w:noProof/>
        </w:rPr>
        <w:lastRenderedPageBreak/>
        <w:t xml:space="preserve">referitor la normele de punere în aplicare a Acordului privind Spațiul Economic European, care confirmă abordarea adoptată. </w:t>
      </w:r>
    </w:p>
    <w:p>
      <w:pPr>
        <w:pStyle w:val="ManualHeading2"/>
        <w:rPr>
          <w:rFonts w:eastAsia="Arial Unicode MS"/>
          <w:noProof/>
          <w:u w:color="000000"/>
          <w:bdr w:val="nil"/>
        </w:rPr>
      </w:pPr>
      <w:r>
        <w:rPr>
          <w:noProof/>
        </w:rPr>
        <w:t>•</w:t>
      </w:r>
      <w:r>
        <w:rPr>
          <w:noProof/>
        </w:rPr>
        <w:tab/>
        <w:t>Proporționalitatea</w:t>
      </w:r>
    </w:p>
    <w:p>
      <w:pPr>
        <w:pStyle w:val="Text1"/>
        <w:rPr>
          <w:noProof/>
        </w:rPr>
      </w:pPr>
      <w:r>
        <w:rPr>
          <w:noProof/>
        </w:rPr>
        <w:t>În conformitate cu principiul proporționalității, prezenta propunere nu depășește ceea ce este necesar pentru atingerea obiectivului propus.</w:t>
      </w:r>
    </w:p>
    <w:p>
      <w:pPr>
        <w:pStyle w:val="ManualHeading2"/>
        <w:rPr>
          <w:rFonts w:eastAsia="Arial Unicode MS"/>
          <w:noProof/>
          <w:u w:color="000000"/>
          <w:bdr w:val="nil"/>
        </w:rPr>
      </w:pPr>
      <w:r>
        <w:rPr>
          <w:noProof/>
        </w:rPr>
        <w:t>•</w:t>
      </w:r>
      <w:r>
        <w:rPr>
          <w:noProof/>
        </w:rPr>
        <w:tab/>
        <w:t>Alegerea instrumentului</w:t>
      </w:r>
    </w:p>
    <w:p>
      <w:pPr>
        <w:pStyle w:val="Text1"/>
        <w:rPr>
          <w:noProof/>
        </w:rPr>
      </w:pPr>
      <w:r>
        <w:rPr>
          <w:noProof/>
        </w:rPr>
        <w:t xml:space="preserve">În conformitate cu articolul 98 din Acordul privind SEE, instrumentul ales este o decizie a Comitetului mixt al SEE. Comitetul mixt al SEE asigură punerea în aplicare și funcționarea eficace a Acordului privind SEE. În acest scop, Comitetul mixt al SEE ia decizii în cazurile prevăzute de Acordul privind SEE. </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EVALUĂRILOR IMPACTULUI</w:t>
      </w:r>
    </w:p>
    <w:p>
      <w:pPr>
        <w:pStyle w:val="ManualHeading2"/>
        <w:rPr>
          <w:rFonts w:eastAsia="Arial Unicode MS"/>
          <w:noProof/>
          <w:u w:color="000000"/>
          <w:bdr w:val="nil"/>
        </w:rPr>
      </w:pPr>
      <w:r>
        <w:rPr>
          <w:noProof/>
        </w:rPr>
        <w:t>•</w:t>
      </w:r>
      <w:r>
        <w:rPr>
          <w:noProof/>
        </w:rPr>
        <w:tab/>
        <w:t>Obținerea și utilizarea cunoștințelor de specialitate</w:t>
      </w:r>
    </w:p>
    <w:p>
      <w:pPr>
        <w:pStyle w:val="Text1"/>
        <w:rPr>
          <w:noProof/>
        </w:rPr>
      </w:pPr>
      <w:r>
        <w:rPr>
          <w:noProof/>
        </w:rPr>
        <w:t xml:space="preserve">Nu se aplică. </w:t>
      </w:r>
    </w:p>
    <w:p>
      <w:pPr>
        <w:pStyle w:val="ManualHeading2"/>
        <w:rPr>
          <w:rFonts w:eastAsia="Arial Unicode MS"/>
          <w:noProof/>
          <w:u w:color="000000"/>
          <w:bdr w:val="nil"/>
        </w:rPr>
      </w:pPr>
      <w:r>
        <w:rPr>
          <w:noProof/>
        </w:rPr>
        <w:t>•</w:t>
      </w:r>
      <w:r>
        <w:rPr>
          <w:noProof/>
        </w:rPr>
        <w:tab/>
        <w:t>Evaluarea impactului</w:t>
      </w:r>
    </w:p>
    <w:p>
      <w:pPr>
        <w:pStyle w:val="Text1"/>
        <w:rPr>
          <w:noProof/>
        </w:rPr>
      </w:pPr>
      <w:r>
        <w:rPr>
          <w:noProof/>
        </w:rPr>
        <w:t xml:space="preserve">Nu se aplică. </w:t>
      </w:r>
    </w:p>
    <w:p>
      <w:pPr>
        <w:pStyle w:val="ManualHeading2"/>
        <w:rPr>
          <w:noProof/>
        </w:rPr>
      </w:pPr>
      <w:r>
        <w:rPr>
          <w:noProof/>
        </w:rPr>
        <w:t>4.</w:t>
      </w:r>
      <w:r>
        <w:rPr>
          <w:noProof/>
        </w:rPr>
        <w:tab/>
        <w:t>IMPLICAȚIILE BUDGETARE</w:t>
      </w:r>
    </w:p>
    <w:p>
      <w:pPr>
        <w:pStyle w:val="Text1"/>
        <w:rPr>
          <w:noProof/>
        </w:rPr>
      </w:pPr>
      <w:r>
        <w:rPr>
          <w:noProof/>
        </w:rPr>
        <w:t>Nu există implicații bugetare preconizate ca urmare a încorporării Directivei (UE) 2015/1535 în Acordul privind SEE.</w:t>
      </w:r>
    </w:p>
    <w:p>
      <w:pPr>
        <w:pStyle w:val="ManualHeading1"/>
        <w:rPr>
          <w:noProof/>
        </w:rPr>
      </w:pPr>
      <w:r>
        <w:rPr>
          <w:noProof/>
        </w:rPr>
        <w:t>5.</w:t>
      </w:r>
      <w:r>
        <w:rPr>
          <w:noProof/>
        </w:rPr>
        <w:tab/>
        <w:t>ALTE ELEMENTE</w:t>
      </w:r>
    </w:p>
    <w:p>
      <w:pPr>
        <w:pStyle w:val="ManualHeading2"/>
        <w:rPr>
          <w:rFonts w:eastAsia="Arial Unicode MS"/>
          <w:noProof/>
          <w:u w:val="single"/>
          <w:bdr w:val="nil"/>
        </w:rPr>
      </w:pPr>
      <w:r>
        <w:rPr>
          <w:noProof/>
          <w:u w:val="single"/>
          <w:bdr w:val="nil"/>
        </w:rPr>
        <w:t xml:space="preserve">Principalele adaptări solicitate de AELS </w:t>
      </w:r>
    </w:p>
    <w:p>
      <w:pPr>
        <w:rPr>
          <w:noProof/>
        </w:rPr>
      </w:pPr>
      <w:r>
        <w:rPr>
          <w:noProof/>
        </w:rPr>
        <w:t>Justificare și soluția propusă:</w:t>
      </w:r>
    </w:p>
    <w:p>
      <w:pPr>
        <w:rPr>
          <w:noProof/>
          <w:u w:val="single"/>
        </w:rPr>
      </w:pPr>
      <w:r>
        <w:rPr>
          <w:noProof/>
          <w:u w:val="single"/>
        </w:rPr>
        <w:t>Definiția termenului „specificație tehnică”, articolul 1 alineatul (1) litera (c), adaptarea (a)</w:t>
      </w:r>
    </w:p>
    <w:p>
      <w:pPr>
        <w:rPr>
          <w:noProof/>
        </w:rPr>
      </w:pPr>
      <w:r>
        <w:rPr>
          <w:noProof/>
        </w:rPr>
        <w:t>Prin adaptare se garantează faptul că textul „produsele agricole, astfel cum sunt menționate în articolul 38 alineatul (1) [...] din [...] TFUE” nu este aplicat în cadrul definiției termenului „specificație tehnică”, pe motiv că articolul 38 alineatul (1) din TFUE se referă la politica agricolă comună (PAC) și politica comună în domeniul pescuitului (PCP) ale UE, ambele fiind instrumente care nu intră sub incidența Acordului privind SEE. O adaptare identică este deja aplicabilă în temeiul Acordului privind SEE.</w:t>
      </w:r>
    </w:p>
    <w:p>
      <w:pPr>
        <w:rPr>
          <w:noProof/>
          <w:u w:val="single"/>
        </w:rPr>
      </w:pPr>
      <w:r>
        <w:rPr>
          <w:noProof/>
          <w:u w:val="single"/>
        </w:rPr>
        <w:t>Solicitările de informații suplimentare, articolul 5 alineatul (1), adaptarea (c)</w:t>
      </w:r>
    </w:p>
    <w:p>
      <w:pPr>
        <w:rPr>
          <w:noProof/>
        </w:rPr>
      </w:pPr>
      <w:r>
        <w:rPr>
          <w:noProof/>
        </w:rPr>
        <w:t>A fost inclusă o adaptare pentru a se asigura un schimb suficient de informații între pilonul UE și pilonul AELS. Ar trebui remarcat faptul că o adaptare similară este deja aplicabilă în temeiul Acordului privind SEE.</w:t>
      </w:r>
    </w:p>
    <w:p>
      <w:pPr>
        <w:rPr>
          <w:noProof/>
          <w:u w:val="single"/>
        </w:rPr>
      </w:pPr>
      <w:r>
        <w:rPr>
          <w:noProof/>
          <w:u w:val="single"/>
        </w:rPr>
        <w:t>Transmiterea de observații, articolul 5 alineatul (2), adaptarea (d)</w:t>
      </w:r>
    </w:p>
    <w:p>
      <w:pPr>
        <w:rPr>
          <w:noProof/>
        </w:rPr>
      </w:pPr>
      <w:r>
        <w:rPr>
          <w:noProof/>
        </w:rPr>
        <w:t>Adaptarea clarifică modul în care se transmit, între pilonul UE și pilonul AELS, observațiile cu privire la proiectele de reglementări tehnice. Ar trebui remarcat faptul că o adaptare identică este deja aplicabilă în temeiul Acordului privind SEE.</w:t>
      </w:r>
    </w:p>
    <w:p>
      <w:pPr>
        <w:spacing w:before="0" w:after="0"/>
        <w:jc w:val="left"/>
        <w:rPr>
          <w:noProof/>
          <w:u w:val="single"/>
        </w:rPr>
      </w:pPr>
      <w:r>
        <w:rPr>
          <w:noProof/>
          <w:u w:val="single"/>
        </w:rPr>
        <w:br w:type="page"/>
      </w:r>
    </w:p>
    <w:p>
      <w:pPr>
        <w:spacing w:before="0"/>
        <w:rPr>
          <w:noProof/>
          <w:szCs w:val="24"/>
          <w:u w:val="single"/>
        </w:rPr>
      </w:pPr>
      <w:r>
        <w:rPr>
          <w:noProof/>
          <w:u w:val="single"/>
        </w:rPr>
        <w:lastRenderedPageBreak/>
        <w:t>Avizele detaliate, articolul 6 alineatele (1), (2) și (7), adaptarea (e)</w:t>
      </w:r>
    </w:p>
    <w:p>
      <w:pPr>
        <w:spacing w:before="0"/>
        <w:rPr>
          <w:noProof/>
          <w:szCs w:val="24"/>
        </w:rPr>
      </w:pPr>
      <w:r>
        <w:rPr>
          <w:noProof/>
        </w:rPr>
        <w:t xml:space="preserve">Din motive de claritate, această adaptare garantează faptul că avizele detaliate pot fi emise numai în cadrul pilonului AELS, și anume că avizele detaliate nu pot fi transmise de un stat AELS unui stat membru al UE sau invers. </w:t>
      </w:r>
    </w:p>
    <w:p>
      <w:pPr>
        <w:keepNext/>
        <w:rPr>
          <w:noProof/>
          <w:u w:val="single"/>
        </w:rPr>
      </w:pPr>
      <w:r>
        <w:rPr>
          <w:noProof/>
          <w:u w:val="single"/>
        </w:rPr>
        <w:t>Neaplicarea articolului 6 alineatele (3)-(6), adaptarea (f)</w:t>
      </w:r>
    </w:p>
    <w:p>
      <w:pPr>
        <w:spacing w:before="0"/>
        <w:rPr>
          <w:noProof/>
          <w:szCs w:val="24"/>
        </w:rPr>
      </w:pPr>
      <w:r>
        <w:rPr>
          <w:noProof/>
        </w:rPr>
        <w:t>Dispozițiile de la articolul 6 alineatele (3)-(6) prevăd un termen de așteptare prelungit în situațiile în care instituțiile UE intenționează să legifereze într-un domeniu acoperit de un proiect de reglementare tehnică național. Aceste dispoziții nu intră în domeniul de aplicare al Acordului privind SEE.</w:t>
      </w:r>
    </w:p>
    <w:p>
      <w:pPr>
        <w:spacing w:before="0"/>
        <w:rPr>
          <w:noProof/>
          <w:szCs w:val="24"/>
        </w:rPr>
      </w:pPr>
    </w:p>
    <w:p>
      <w:pPr>
        <w:spacing w:before="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2019/0021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w:t>
      </w:r>
      <w:r>
        <w:rPr>
          <w:noProof/>
        </w:rPr>
        <w:br/>
        <w:t xml:space="preserve">în cadrul Comitetului mixt al SEE, cu privire la modificarea anexei II </w:t>
      </w:r>
      <w:r>
        <w:rPr>
          <w:noProof/>
        </w:rPr>
        <w:br/>
        <w:t>(Reglementări tehnice, standarde, încercări și certificare) și a anexei XI (Comunicații electronice, servicii audiovizuale și societatea informațională) la Acordul privind SEE</w:t>
      </w:r>
    </w:p>
    <w:p>
      <w:pPr>
        <w:pStyle w:val="IntrtEEE"/>
        <w:rPr>
          <w:noProof/>
        </w:rPr>
      </w:pPr>
      <w:r>
        <w:rPr>
          <w:noProof/>
        </w:rPr>
        <w:t>(Text cu relevanță pentru SEE)</w:t>
      </w:r>
    </w:p>
    <w:p>
      <w:pPr>
        <w:pStyle w:val="Institutionquiagit"/>
        <w:rPr>
          <w:noProof/>
        </w:rPr>
      </w:pPr>
      <w:r>
        <w:rPr>
          <w:noProof/>
        </w:rPr>
        <w:t>CONSILIUL UNIUNII EUROPENE,</w:t>
      </w:r>
    </w:p>
    <w:p>
      <w:pPr>
        <w:rPr>
          <w:noProof/>
        </w:rPr>
      </w:pPr>
      <w:r>
        <w:rPr>
          <w:noProof/>
        </w:rPr>
        <w:t xml:space="preserve">având în vedere Tratatul privind funcționarea Uniunii Europene, în special articolele </w:t>
      </w:r>
      <w:r>
        <w:rPr>
          <w:noProof/>
          <w:color w:val="000000"/>
        </w:rPr>
        <w:t>114, 337 și 43</w:t>
      </w:r>
      <w:r>
        <w:rPr>
          <w:noProof/>
        </w:rPr>
        <w:t>, coroborate cu articolul 218 alineatul (9),</w:t>
      </w:r>
    </w:p>
    <w:p>
      <w:pPr>
        <w:rPr>
          <w:noProof/>
        </w:rPr>
      </w:pPr>
      <w:r>
        <w:rPr>
          <w:noProof/>
        </w:rPr>
        <w:t>având în vedere Regulamentul (CE) nr. 2894/94 al Consiliului din 28 noiembrie 1994 privind normele de punere în aplicare a Acordului privind Spațiul Economic European</w:t>
      </w:r>
      <w:r>
        <w:rPr>
          <w:rStyle w:val="FootnoteReference"/>
          <w:noProof/>
        </w:rPr>
        <w:footnoteReference w:id="3"/>
      </w:r>
      <w:r>
        <w:rPr>
          <w:noProof/>
        </w:rPr>
        <w:t>, în special articolul 1 alineatul (3),</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Acordul privind Spațiul Economic European</w:t>
      </w:r>
      <w:r>
        <w:rPr>
          <w:rStyle w:val="FootnoteReference"/>
          <w:noProof/>
        </w:rPr>
        <w:footnoteReference w:id="4"/>
      </w:r>
      <w:r>
        <w:rPr>
          <w:noProof/>
        </w:rPr>
        <w:t xml:space="preserve"> („Acordul privind SEE”) a intrat în vigoare la 1 ianuarie 1994.</w:t>
      </w:r>
    </w:p>
    <w:p>
      <w:pPr>
        <w:pStyle w:val="ManualConsidrant"/>
        <w:rPr>
          <w:noProof/>
        </w:rPr>
      </w:pPr>
      <w:r>
        <w:t>(2)</w:t>
      </w:r>
      <w:r>
        <w:tab/>
      </w:r>
      <w:r>
        <w:rPr>
          <w:noProof/>
        </w:rPr>
        <w:t>În temeiul articolului 98 din Acordul privind SEE, Comitetul mixt al SEE poate decide modificarea, printre altele, a anexei II (Reglementări tehnice, standarde, încercări și certificare) și a anexei XI (Comunicații electronice, servicii audiovizuale și societatea informațională) la Acordul privind SEE.</w:t>
      </w:r>
    </w:p>
    <w:p>
      <w:pPr>
        <w:pStyle w:val="ManualConsidrant"/>
        <w:rPr>
          <w:noProof/>
        </w:rPr>
      </w:pPr>
      <w:r>
        <w:t>(3)</w:t>
      </w:r>
      <w:r>
        <w:tab/>
      </w:r>
      <w:r>
        <w:rPr>
          <w:noProof/>
        </w:rPr>
        <w:t>Directiva (UE) 2015/1535 a Parlamentului European și a Consiliului</w:t>
      </w:r>
      <w:r>
        <w:rPr>
          <w:rStyle w:val="FootnoteReference"/>
          <w:noProof/>
        </w:rPr>
        <w:footnoteReference w:id="5"/>
      </w:r>
      <w:r>
        <w:rPr>
          <w:noProof/>
        </w:rPr>
        <w:t xml:space="preserve"> trebuie încorporată în Acordul privind SEE.</w:t>
      </w:r>
    </w:p>
    <w:p>
      <w:pPr>
        <w:pStyle w:val="ManualConsidrant"/>
        <w:rPr>
          <w:noProof/>
        </w:rPr>
      </w:pPr>
      <w:r>
        <w:t>(4)</w:t>
      </w:r>
      <w:r>
        <w:tab/>
      </w:r>
      <w:r>
        <w:rPr>
          <w:noProof/>
        </w:rPr>
        <w:t xml:space="preserve">Prin urmare, anexa II (Reglementări tehnice, standarde, încercări și certificare) și anexa XI (Comunicații electronice, servicii audiovizuale și societatea informațională) la Acordul privind SEE ar trebui modificate în mod corespunzător. </w:t>
      </w:r>
    </w:p>
    <w:p>
      <w:pPr>
        <w:pStyle w:val="ManualConsidrant"/>
        <w:rPr>
          <w:noProof/>
        </w:rPr>
      </w:pPr>
      <w:r>
        <w:t>(5)</w:t>
      </w:r>
      <w:r>
        <w:tab/>
      </w:r>
      <w:r>
        <w:rPr>
          <w:noProof/>
        </w:rPr>
        <w:t>În consecință, poziția Uniunii în cadrul Comitetului mixt al SEE ar trebui să se bazeze pe proiectul de decizie atașat,</w:t>
      </w:r>
    </w:p>
    <w:p>
      <w:pPr>
        <w:pStyle w:val="Formuledadoption"/>
        <w:rPr>
          <w:noProof/>
        </w:rPr>
      </w:pPr>
      <w:r>
        <w:rPr>
          <w:noProof/>
        </w:rPr>
        <w:lastRenderedPageBreak/>
        <w:t xml:space="preserve">ADOPTĂ PREZENTA DECIZIE: </w:t>
      </w:r>
    </w:p>
    <w:p>
      <w:pPr>
        <w:pStyle w:val="Titrearticle"/>
        <w:rPr>
          <w:noProof/>
        </w:rPr>
      </w:pPr>
      <w:r>
        <w:rPr>
          <w:noProof/>
        </w:rPr>
        <w:t>Articolul 1</w:t>
      </w:r>
    </w:p>
    <w:p>
      <w:pPr>
        <w:rPr>
          <w:noProof/>
        </w:rPr>
      </w:pPr>
      <w:r>
        <w:rPr>
          <w:noProof/>
        </w:rPr>
        <w:t xml:space="preserve">Poziția care urmează să fie adoptată, în numele Uniunii, de către Comitetul mixt al SEE cu privire la propunerea de modificare a anexei II (Reglementări tehnice, standarde, încercări și certificare) și a anexei XI (Comunicații electronice, servicii audiovizuale și societatea informațională) la Acordul privind SEE se întemeiază pe proiectul de decizie a </w:t>
      </w:r>
      <w:r>
        <w:rPr>
          <w:noProof/>
        </w:rPr>
        <w:br/>
        <w:t>Comitetului mixt al SEE atașat la prezenta decizie.</w:t>
      </w:r>
    </w:p>
    <w:p>
      <w:pPr>
        <w:pStyle w:val="Titrearticle"/>
        <w:rPr>
          <w:noProof/>
        </w:rPr>
      </w:pPr>
      <w:r>
        <w:rPr>
          <w:noProof/>
        </w:rPr>
        <w:t>Articolul 2</w:t>
      </w:r>
    </w:p>
    <w:p>
      <w:pPr>
        <w:keepLines/>
        <w:rPr>
          <w:noProof/>
        </w:rPr>
      </w:pPr>
      <w:r>
        <w:rPr>
          <w:noProof/>
        </w:rPr>
        <w:t>Prezenta decizie intră în vigoare la data adoptării.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lang w:val="fi-FI"/>
        </w:rPr>
      </w:pPr>
      <w:r>
        <w:rPr>
          <w:rStyle w:val="FootnoteReference"/>
        </w:rPr>
        <w:footnoteRef/>
      </w:r>
      <w:r>
        <w:rPr>
          <w:lang w:val="fi-FI"/>
        </w:rPr>
        <w:tab/>
        <w:t>JO L 241, 17.9.2015, p. 1-15.</w:t>
      </w:r>
    </w:p>
  </w:footnote>
  <w:footnote w:id="2">
    <w:p>
      <w:pPr>
        <w:pStyle w:val="FootnoteText"/>
        <w:rPr>
          <w:iCs/>
          <w:lang w:val="fi-FI"/>
        </w:rPr>
      </w:pPr>
      <w:r>
        <w:rPr>
          <w:rStyle w:val="FootnoteReference"/>
        </w:rPr>
        <w:footnoteRef/>
      </w:r>
      <w:r>
        <w:rPr>
          <w:lang w:val="fi-FI"/>
        </w:rPr>
        <w:tab/>
        <w:t>JO L 305, 30.11.1994, p. 6-8.</w:t>
      </w:r>
    </w:p>
  </w:footnote>
  <w:footnote w:id="3">
    <w:p>
      <w:pPr>
        <w:pStyle w:val="FootnoteText"/>
      </w:pPr>
      <w:r>
        <w:rPr>
          <w:rStyle w:val="FootnoteReference"/>
        </w:rPr>
        <w:footnoteRef/>
      </w:r>
      <w:r>
        <w:rPr>
          <w:lang w:val="fi-FI"/>
        </w:rPr>
        <w:tab/>
      </w:r>
      <w:r>
        <w:t>JO L 305, 30.11.1994, p. 6.</w:t>
      </w:r>
    </w:p>
  </w:footnote>
  <w:footnote w:id="4">
    <w:p>
      <w:pPr>
        <w:pStyle w:val="FootnoteText"/>
      </w:pPr>
      <w:r>
        <w:rPr>
          <w:rStyle w:val="FootnoteReference"/>
        </w:rPr>
        <w:footnoteRef/>
      </w:r>
      <w:r>
        <w:tab/>
        <w:t xml:space="preserve">JO L 1, 3.1.1994, p. 3. </w:t>
      </w:r>
    </w:p>
  </w:footnote>
  <w:footnote w:id="5">
    <w:p>
      <w:pPr>
        <w:pStyle w:val="FootnoteText"/>
      </w:pPr>
      <w:r>
        <w:rPr>
          <w:rStyle w:val="FootnoteReference"/>
        </w:rPr>
        <w:footnoteRef/>
      </w:r>
      <w:r>
        <w:tab/>
        <w:t>Directiva (UE) 2015/1535 a Parlamentului European și a Consiliului din 9 septembrie 2015 referitoare la procedura de furnizare de informații în domeniul reglementărilor tehnice și al normelor privind serviciile societății informaționale (JO L 241, 17.9.2015, p.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D8255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9641A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1429B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EA8CF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8C6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4E72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39C3710"/>
    <w:lvl w:ilvl="0">
      <w:start w:val="1"/>
      <w:numFmt w:val="decimal"/>
      <w:pStyle w:val="ListNumber"/>
      <w:lvlText w:val="%1."/>
      <w:lvlJc w:val="left"/>
      <w:pPr>
        <w:tabs>
          <w:tab w:val="num" w:pos="360"/>
        </w:tabs>
        <w:ind w:left="360" w:hanging="360"/>
      </w:pPr>
    </w:lvl>
  </w:abstractNum>
  <w:abstractNum w:abstractNumId="7">
    <w:nsid w:val="FFFFFF89"/>
    <w:multiLevelType w:val="singleLevel"/>
    <w:tmpl w:val="339AF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57"/>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43: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56A7E60-C963-4E26-9650-7B748E72ADC6"/>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21"/>
    <w:docVar w:name="LW_REF.II.NEW.CP_YEAR" w:val="2019"/>
    <w:docVar w:name="LW_REF.INST.NEW" w:val="COM"/>
    <w:docVar w:name="LW_REF.INST.NEW_ADOPTED" w:val="final"/>
    <w:docVar w:name="LW_REF.INST.NEW_TEXT" w:val="(2019) 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_x000b_în cadrul Comitetului mixt al SEE, cu privire la modificarea anexei II _x000b_(Reglement\u259?ri tehnice, standarde, încerc\u259?ri \u537?i certificare) \u537?i a anexei XI (Comunica\u539?ii electronice, servicii audiovizuale \u537?i societatea informa\u539?ional\u259?) la Acordul privind SE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0"/>
      <w:ind w:left="283"/>
      <w:jc w:val="left"/>
    </w:pPr>
    <w:rPr>
      <w:lang w:val="en-US"/>
    </w:rPr>
  </w:style>
  <w:style w:type="character" w:customStyle="1" w:styleId="BodyTextIndentChar">
    <w:name w:val="Body Text Indent Char"/>
    <w:link w:val="BodyTextIndent"/>
    <w:rPr>
      <w:sz w:val="24"/>
      <w:szCs w:val="24"/>
      <w:lang w:val="en-US" w:eastAsia="en-US"/>
    </w:rPr>
  </w:style>
  <w:style w:type="paragraph" w:styleId="BodyText2">
    <w:name w:val="Body Text 2"/>
    <w:basedOn w:val="Normal"/>
    <w:link w:val="BodyText2Char"/>
    <w:pPr>
      <w:spacing w:line="480" w:lineRule="auto"/>
    </w:pPr>
  </w:style>
  <w:style w:type="character" w:customStyle="1" w:styleId="BodyText2Char">
    <w:name w:val="Body Text 2 Char"/>
    <w:link w:val="BodyText2"/>
    <w:rPr>
      <w:sz w:val="24"/>
      <w:szCs w:val="24"/>
      <w:lang w:eastAsia="en-US"/>
    </w:rPr>
  </w:style>
  <w:style w:type="paragraph" w:customStyle="1" w:styleId="Default">
    <w:name w:val="Default"/>
    <w:pPr>
      <w:autoSpaceDE w:val="0"/>
      <w:autoSpaceDN w:val="0"/>
      <w:adjustRightInd w:val="0"/>
    </w:pPr>
    <w:rPr>
      <w:color w:val="000000"/>
      <w:sz w:val="24"/>
      <w:szCs w:val="24"/>
    </w:rPr>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Caption">
    <w:name w:val="caption"/>
    <w:basedOn w:val="Normal"/>
    <w:next w:val="Normal"/>
    <w:semiHidden/>
    <w:unhideWhenUsed/>
    <w:qFormat/>
    <w:rPr>
      <w:b/>
      <w:bCs/>
      <w:sz w:val="20"/>
    </w:rPr>
  </w:style>
  <w:style w:type="paragraph" w:styleId="TableofFigures">
    <w:name w:val="table of figures"/>
    <w:basedOn w:val="Normal"/>
    <w:next w:val="Normal"/>
  </w:style>
  <w:style w:type="paragraph" w:styleId="ListNumber">
    <w:name w:val="List Number"/>
    <w:basedOn w:val="Normal"/>
    <w:pPr>
      <w:numPr>
        <w:numId w:val="6"/>
      </w:numPr>
      <w:contextualSpacing/>
    </w:pPr>
  </w:style>
  <w:style w:type="paragraph" w:styleId="ListNumber2">
    <w:name w:val="List Number 2"/>
    <w:basedOn w:val="Normal"/>
    <w:pPr>
      <w:numPr>
        <w:numId w:val="7"/>
      </w:numPr>
      <w:contextualSpacing/>
    </w:pPr>
  </w:style>
  <w:style w:type="paragraph" w:styleId="ListNumber3">
    <w:name w:val="List Number 3"/>
    <w:basedOn w:val="Normal"/>
    <w:pPr>
      <w:numPr>
        <w:numId w:val="8"/>
      </w:numPr>
      <w:contextualSpacing/>
    </w:pPr>
  </w:style>
  <w:style w:type="paragraph" w:styleId="ListNumber4">
    <w:name w:val="List Number 4"/>
    <w:basedOn w:val="Normal"/>
    <w:pPr>
      <w:numPr>
        <w:numId w:val="9"/>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BulletBorderNoborder">
    <w:name w:val="Bullet  + Border: : (No border)"/>
    <w:basedOn w:val="Bullet2"/>
    <w:rPr>
      <w:rFonts w:eastAsia="Arial Unicode MS"/>
      <w:u w:color="000000"/>
      <w:bdr w:val="nil"/>
      <w:lang w:val="en-U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0"/>
      <w:ind w:left="283"/>
      <w:jc w:val="left"/>
    </w:pPr>
    <w:rPr>
      <w:lang w:val="en-US"/>
    </w:rPr>
  </w:style>
  <w:style w:type="character" w:customStyle="1" w:styleId="BodyTextIndentChar">
    <w:name w:val="Body Text Indent Char"/>
    <w:link w:val="BodyTextIndent"/>
    <w:rPr>
      <w:sz w:val="24"/>
      <w:szCs w:val="24"/>
      <w:lang w:val="en-US" w:eastAsia="en-US"/>
    </w:rPr>
  </w:style>
  <w:style w:type="paragraph" w:styleId="BodyText2">
    <w:name w:val="Body Text 2"/>
    <w:basedOn w:val="Normal"/>
    <w:link w:val="BodyText2Char"/>
    <w:pPr>
      <w:spacing w:line="480" w:lineRule="auto"/>
    </w:pPr>
  </w:style>
  <w:style w:type="character" w:customStyle="1" w:styleId="BodyText2Char">
    <w:name w:val="Body Text 2 Char"/>
    <w:link w:val="BodyText2"/>
    <w:rPr>
      <w:sz w:val="24"/>
      <w:szCs w:val="24"/>
      <w:lang w:eastAsia="en-US"/>
    </w:rPr>
  </w:style>
  <w:style w:type="paragraph" w:customStyle="1" w:styleId="Default">
    <w:name w:val="Default"/>
    <w:pPr>
      <w:autoSpaceDE w:val="0"/>
      <w:autoSpaceDN w:val="0"/>
      <w:adjustRightInd w:val="0"/>
    </w:pPr>
    <w:rPr>
      <w:color w:val="000000"/>
      <w:sz w:val="24"/>
      <w:szCs w:val="24"/>
    </w:rPr>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Caption">
    <w:name w:val="caption"/>
    <w:basedOn w:val="Normal"/>
    <w:next w:val="Normal"/>
    <w:semiHidden/>
    <w:unhideWhenUsed/>
    <w:qFormat/>
    <w:rPr>
      <w:b/>
      <w:bCs/>
      <w:sz w:val="20"/>
    </w:rPr>
  </w:style>
  <w:style w:type="paragraph" w:styleId="TableofFigures">
    <w:name w:val="table of figures"/>
    <w:basedOn w:val="Normal"/>
    <w:next w:val="Normal"/>
  </w:style>
  <w:style w:type="paragraph" w:styleId="ListNumber">
    <w:name w:val="List Number"/>
    <w:basedOn w:val="Normal"/>
    <w:pPr>
      <w:numPr>
        <w:numId w:val="6"/>
      </w:numPr>
      <w:contextualSpacing/>
    </w:pPr>
  </w:style>
  <w:style w:type="paragraph" w:styleId="ListNumber2">
    <w:name w:val="List Number 2"/>
    <w:basedOn w:val="Normal"/>
    <w:pPr>
      <w:numPr>
        <w:numId w:val="7"/>
      </w:numPr>
      <w:contextualSpacing/>
    </w:pPr>
  </w:style>
  <w:style w:type="paragraph" w:styleId="ListNumber3">
    <w:name w:val="List Number 3"/>
    <w:basedOn w:val="Normal"/>
    <w:pPr>
      <w:numPr>
        <w:numId w:val="8"/>
      </w:numPr>
      <w:contextualSpacing/>
    </w:pPr>
  </w:style>
  <w:style w:type="paragraph" w:styleId="ListNumber4">
    <w:name w:val="List Number 4"/>
    <w:basedOn w:val="Normal"/>
    <w:pPr>
      <w:numPr>
        <w:numId w:val="9"/>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BulletBorderNoborder">
    <w:name w:val="Bullet  + Border: : (No border)"/>
    <w:basedOn w:val="Bullet2"/>
    <w:rPr>
      <w:rFonts w:eastAsia="Arial Unicode MS"/>
      <w:u w:color="000000"/>
      <w:bdr w:val="nil"/>
      <w:lang w:val="en-U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0827">
      <w:bodyDiv w:val="1"/>
      <w:marLeft w:val="0"/>
      <w:marRight w:val="0"/>
      <w:marTop w:val="0"/>
      <w:marBottom w:val="0"/>
      <w:divBdr>
        <w:top w:val="none" w:sz="0" w:space="0" w:color="auto"/>
        <w:left w:val="none" w:sz="0" w:space="0" w:color="auto"/>
        <w:bottom w:val="none" w:sz="0" w:space="0" w:color="auto"/>
        <w:right w:val="none" w:sz="0" w:space="0" w:color="auto"/>
      </w:divBdr>
      <w:divsChild>
        <w:div w:id="19940859">
          <w:marLeft w:val="0"/>
          <w:marRight w:val="0"/>
          <w:marTop w:val="0"/>
          <w:marBottom w:val="0"/>
          <w:divBdr>
            <w:top w:val="none" w:sz="0" w:space="0" w:color="auto"/>
            <w:left w:val="none" w:sz="0" w:space="0" w:color="auto"/>
            <w:bottom w:val="none" w:sz="0" w:space="0" w:color="auto"/>
            <w:right w:val="none" w:sz="0" w:space="0" w:color="auto"/>
          </w:divBdr>
          <w:divsChild>
            <w:div w:id="307515087">
              <w:marLeft w:val="2"/>
              <w:marRight w:val="2"/>
              <w:marTop w:val="0"/>
              <w:marBottom w:val="0"/>
              <w:divBdr>
                <w:top w:val="none" w:sz="0" w:space="0" w:color="auto"/>
                <w:left w:val="none" w:sz="0" w:space="0" w:color="auto"/>
                <w:bottom w:val="none" w:sz="0" w:space="0" w:color="auto"/>
                <w:right w:val="none" w:sz="0" w:space="0" w:color="auto"/>
              </w:divBdr>
              <w:divsChild>
                <w:div w:id="1828667934">
                  <w:marLeft w:val="0"/>
                  <w:marRight w:val="0"/>
                  <w:marTop w:val="0"/>
                  <w:marBottom w:val="0"/>
                  <w:divBdr>
                    <w:top w:val="none" w:sz="0" w:space="0" w:color="auto"/>
                    <w:left w:val="none" w:sz="0" w:space="0" w:color="auto"/>
                    <w:bottom w:val="none" w:sz="0" w:space="0" w:color="auto"/>
                    <w:right w:val="none" w:sz="0" w:space="0" w:color="auto"/>
                  </w:divBdr>
                  <w:divsChild>
                    <w:div w:id="932975110">
                      <w:marLeft w:val="0"/>
                      <w:marRight w:val="0"/>
                      <w:marTop w:val="0"/>
                      <w:marBottom w:val="0"/>
                      <w:divBdr>
                        <w:top w:val="none" w:sz="0" w:space="0" w:color="auto"/>
                        <w:left w:val="none" w:sz="0" w:space="0" w:color="auto"/>
                        <w:bottom w:val="none" w:sz="0" w:space="0" w:color="auto"/>
                        <w:right w:val="none" w:sz="0" w:space="0" w:color="auto"/>
                      </w:divBdr>
                      <w:divsChild>
                        <w:div w:id="1861619885">
                          <w:marLeft w:val="0"/>
                          <w:marRight w:val="0"/>
                          <w:marTop w:val="0"/>
                          <w:marBottom w:val="0"/>
                          <w:divBdr>
                            <w:top w:val="none" w:sz="0" w:space="0" w:color="auto"/>
                            <w:left w:val="none" w:sz="0" w:space="0" w:color="auto"/>
                            <w:bottom w:val="none" w:sz="0" w:space="0" w:color="auto"/>
                            <w:right w:val="none" w:sz="0" w:space="0" w:color="auto"/>
                          </w:divBdr>
                          <w:divsChild>
                            <w:div w:id="2047023996">
                              <w:marLeft w:val="0"/>
                              <w:marRight w:val="0"/>
                              <w:marTop w:val="0"/>
                              <w:marBottom w:val="0"/>
                              <w:divBdr>
                                <w:top w:val="none" w:sz="0" w:space="0" w:color="auto"/>
                                <w:left w:val="none" w:sz="0" w:space="0" w:color="auto"/>
                                <w:bottom w:val="none" w:sz="0" w:space="0" w:color="auto"/>
                                <w:right w:val="none" w:sz="0" w:space="0" w:color="auto"/>
                              </w:divBdr>
                              <w:divsChild>
                                <w:div w:id="1368599428">
                                  <w:marLeft w:val="0"/>
                                  <w:marRight w:val="0"/>
                                  <w:marTop w:val="0"/>
                                  <w:marBottom w:val="0"/>
                                  <w:divBdr>
                                    <w:top w:val="none" w:sz="0" w:space="0" w:color="auto"/>
                                    <w:left w:val="none" w:sz="0" w:space="0" w:color="auto"/>
                                    <w:bottom w:val="none" w:sz="0" w:space="0" w:color="auto"/>
                                    <w:right w:val="none" w:sz="0" w:space="0" w:color="auto"/>
                                  </w:divBdr>
                                  <w:divsChild>
                                    <w:div w:id="1736586996">
                                      <w:marLeft w:val="0"/>
                                      <w:marRight w:val="0"/>
                                      <w:marTop w:val="0"/>
                                      <w:marBottom w:val="0"/>
                                      <w:divBdr>
                                        <w:top w:val="none" w:sz="0" w:space="0" w:color="auto"/>
                                        <w:left w:val="none" w:sz="0" w:space="0" w:color="auto"/>
                                        <w:bottom w:val="none" w:sz="0" w:space="0" w:color="auto"/>
                                        <w:right w:val="none" w:sz="0" w:space="0" w:color="auto"/>
                                      </w:divBdr>
                                      <w:divsChild>
                                        <w:div w:id="1481725310">
                                          <w:marLeft w:val="0"/>
                                          <w:marRight w:val="0"/>
                                          <w:marTop w:val="0"/>
                                          <w:marBottom w:val="0"/>
                                          <w:divBdr>
                                            <w:top w:val="none" w:sz="0" w:space="0" w:color="auto"/>
                                            <w:left w:val="none" w:sz="0" w:space="0" w:color="auto"/>
                                            <w:bottom w:val="none" w:sz="0" w:space="0" w:color="auto"/>
                                            <w:right w:val="none" w:sz="0" w:space="0" w:color="auto"/>
                                          </w:divBdr>
                                          <w:divsChild>
                                            <w:div w:id="1711151638">
                                              <w:marLeft w:val="0"/>
                                              <w:marRight w:val="0"/>
                                              <w:marTop w:val="0"/>
                                              <w:marBottom w:val="0"/>
                                              <w:divBdr>
                                                <w:top w:val="none" w:sz="0" w:space="0" w:color="auto"/>
                                                <w:left w:val="none" w:sz="0" w:space="0" w:color="auto"/>
                                                <w:bottom w:val="none" w:sz="0" w:space="0" w:color="auto"/>
                                                <w:right w:val="none" w:sz="0" w:space="0" w:color="auto"/>
                                              </w:divBdr>
                                              <w:divsChild>
                                                <w:div w:id="8051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F88D-A864-4D59-9C1D-7687F689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1136</Words>
  <Characters>6738</Characters>
  <Application>Microsoft Office Word</Application>
  <DocSecurity>0</DocSecurity>
  <Lines>132</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2019-01-10T17:27:00Z</cp:lastPrinted>
  <dcterms:created xsi:type="dcterms:W3CDTF">2019-01-16T13:01:00Z</dcterms:created>
  <dcterms:modified xsi:type="dcterms:W3CDTF">2019-01-28T12:43:00Z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6.0.1, Build 20180503</vt:lpwstr>
  </property>
  <property fmtid="{D5CDD505-2E9C-101B-9397-08002B2CF9AE}" pid="5" name="Created using">
    <vt:lpwstr>LW 5.8.2, Build 20120919</vt:lpwstr>
  </property>
  <property fmtid="{D5CDD505-2E9C-101B-9397-08002B2CF9AE}" pid="6" name="LWTemplateID">
    <vt:lpwstr>SJ-019</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Green (DQC version 03)</vt:lpwstr>
  </property>
</Properties>
</file>