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09F4BBDD-5915-4A3F-B23C-B4FA424DCA2D" style="width:450.75pt;height:436.5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pStyle w:val="Text1"/>
        <w:rPr>
          <w:noProof/>
        </w:rPr>
      </w:pPr>
      <w:r>
        <w:rPr>
          <w:noProof/>
        </w:rPr>
        <w:t>Projekt decyzji Wspólnego Komitetu EOG (załączony do niniejszego wniosku w sprawie decyzji Rady) ma na celu zmianę załącznika II (Przepisy techniczne, normy, badania i certyfikacja) oraz załącznika XI (Komunikacja elektroniczna, usługi audiowizualne i społeczeństwo informacyjne) do Porozumienia EOG, tak aby uwzględnić w nim dyrektywę (UE) 2015/1535 Parlamentu Europejskiego i Rady z dnia 9 września 2015 r. ustanawiającą procedurę udzielania informacji w dziedzinie przepisów technicznych oraz zasad dotyczących usług społeczeństwa informacyjnego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pStyle w:val="Text1"/>
        <w:rPr>
          <w:noProof/>
        </w:rPr>
      </w:pPr>
      <w:r>
        <w:rPr>
          <w:noProof/>
        </w:rPr>
        <w:t xml:space="preserve">Załączony projekt decyzji Wspólnego Komitetu rozszerza zakres obowiązującej polityki UE na państwa EOG–EFTA (Norwegia, Islandia i Liechtenstein).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>
      <w:pPr>
        <w:pStyle w:val="Text1"/>
        <w:rPr>
          <w:noProof/>
        </w:rPr>
      </w:pPr>
      <w:r>
        <w:rPr>
          <w:noProof/>
        </w:rPr>
        <w:t xml:space="preserve">Rozszerzenie dorobku prawnego UE na państwa EOG–EFTA poprzez jego uwzględnienie w Porozumieniu EOG jest przeprowadzane zgodnie z celami i zasadami tego Porozumienia w celu stworzenia dynamicznego i jednorodnego Europejskiego Obszaru Gospodarczego, opartego na wspólnych przepisach i równych warunkach konkurencji.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Style w:val="Text1"/>
        <w:rPr>
          <w:noProof/>
        </w:rPr>
      </w:pPr>
      <w:r>
        <w:rPr>
          <w:noProof/>
        </w:rPr>
        <w:t>Przepisy, które mają zostać uwzględnione w Porozumieniu EOG, opierają się na art. 114, art. 337 i art. 43 Traktatu o funkcjonowaniu Unii Europejskiej.</w:t>
      </w:r>
    </w:p>
    <w:p>
      <w:pPr>
        <w:pStyle w:val="Text1"/>
        <w:rPr>
          <w:noProof/>
        </w:rPr>
      </w:pPr>
      <w:r>
        <w:rPr>
          <w:noProof/>
        </w:rPr>
        <w:t>Zgodnie z art. 1 ust. 3 rozporządzenia Rady (WE) nr 2894/94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w sprawie uzgodnień dotyczących stosowania Porozumienia EOG stanowisko, jakie ma być zajęte w imieniu Unii w odniesieniu do takich decyzji, ustanawia Rada na wniosek Komisji. </w:t>
      </w:r>
    </w:p>
    <w:p>
      <w:pPr>
        <w:pStyle w:val="Text1"/>
        <w:rPr>
          <w:noProof/>
        </w:rPr>
      </w:pPr>
      <w:r>
        <w:rPr>
          <w:noProof/>
        </w:rPr>
        <w:t>Komisja we współpracy z ESDZ przedkłada projekt decyzji Wspólnego Komitetu EOG do przyjęcia przez Radę jako stanowisko Unii. Komisja ma nadzieję, że będzie mogła przedstawić stanowisko Unii Wspólnemu Komitetowi EOG w najbliższym możliwym terminie.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Pomocniczość (w przypadku kompetencji niewyłącznych) </w:t>
      </w:r>
    </w:p>
    <w:p>
      <w:pPr>
        <w:pStyle w:val="Text1"/>
        <w:rPr>
          <w:noProof/>
        </w:rPr>
      </w:pPr>
      <w:r>
        <w:rPr>
          <w:noProof/>
        </w:rPr>
        <w:t xml:space="preserve">Wniosek jest zgodny z zasadą pomocniczości z następującego względu. </w:t>
      </w:r>
    </w:p>
    <w:p>
      <w:pPr>
        <w:pStyle w:val="Text1"/>
        <w:rPr>
          <w:noProof/>
        </w:rPr>
      </w:pPr>
      <w:r>
        <w:rPr>
          <w:noProof/>
        </w:rPr>
        <w:t xml:space="preserve">Cel niniejszego wniosku, a mianowicie zapewnienie jednorodności rynku wewnętrznego, nie może być osiągnięty w sposób wystarczający przez państwa członkowskie, natomiast z uwagi na skutki proponowanych działań możliwe jest lepsze jego osiągnięcie na poziomie Unii. </w:t>
      </w:r>
    </w:p>
    <w:p>
      <w:pPr>
        <w:pStyle w:val="Text1"/>
        <w:rPr>
          <w:noProof/>
        </w:rPr>
      </w:pPr>
      <w:r>
        <w:rPr>
          <w:noProof/>
        </w:rPr>
        <w:t xml:space="preserve">Proces uwzględnienia dorobku prawnego UE w Porozumieniu EOG jest przeprowadzany zgodnie z rozporządzeniem Rady (WE) nr 2894/94 z dnia 28 listopada 1994 r. w sprawie uzgodnień dotyczących stosowania Porozumienia o Europejskim Obszarze Gospodarczym, w którym potwierdza się przyjęte podejście.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>
      <w:pPr>
        <w:pStyle w:val="Text1"/>
        <w:rPr>
          <w:noProof/>
        </w:rPr>
      </w:pPr>
      <w:r>
        <w:rPr>
          <w:noProof/>
        </w:rPr>
        <w:t>Zgodnie z zasadą proporcjonalności niniejszy wniosek nie wykracza poza to, co jest konieczne do osiągnięcia jego celu.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pStyle w:val="Text1"/>
        <w:rPr>
          <w:noProof/>
        </w:rPr>
      </w:pPr>
      <w:r>
        <w:rPr>
          <w:noProof/>
        </w:rPr>
        <w:t xml:space="preserve">Zgodnie z art. 98 Porozumienia EOG wybranym instrumentem jest decyzja Wspólnego Komitetu EOG. Wspólny Komitet EOG zapewnia skuteczną realizację i funkcjonowanie Porozumienia EOG. W tym celu Komitet podejmuje decyzje w przypadkach przewidzianych w Porozumieniu EOG.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Gromadzenie i wykorzystanie wiedzy eksperckiej</w:t>
      </w:r>
    </w:p>
    <w:p>
      <w:pPr>
        <w:pStyle w:val="Text1"/>
        <w:rPr>
          <w:noProof/>
        </w:rPr>
      </w:pPr>
      <w:r>
        <w:rPr>
          <w:noProof/>
        </w:rPr>
        <w:t xml:space="preserve">Nie dotyczy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pStyle w:val="Text1"/>
        <w:rPr>
          <w:noProof/>
        </w:rPr>
      </w:pPr>
      <w:r>
        <w:rPr>
          <w:noProof/>
        </w:rPr>
        <w:t xml:space="preserve">Nie dotyczy 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pStyle w:val="Text1"/>
        <w:rPr>
          <w:noProof/>
        </w:rPr>
      </w:pPr>
      <w:r>
        <w:rPr>
          <w:noProof/>
        </w:rPr>
        <w:t>Nie oczekuje się, by uwzględnienie przepisów dyrektywy (UE) 2015/1535 w Porozumieniu EOG miało wpływ na budżet.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val="single"/>
          <w:bdr w:val="nil"/>
        </w:rPr>
      </w:pPr>
      <w:r>
        <w:rPr>
          <w:noProof/>
          <w:u w:val="single"/>
          <w:bdr w:val="nil"/>
        </w:rPr>
        <w:t xml:space="preserve">Główne dostosowania wnioskowane przez EFTA </w:t>
      </w:r>
    </w:p>
    <w:p>
      <w:pPr>
        <w:rPr>
          <w:noProof/>
        </w:rPr>
      </w:pPr>
      <w:r>
        <w:rPr>
          <w:noProof/>
        </w:rPr>
        <w:t>Uzasadnienie i proponowane rozwiązanie:</w:t>
      </w:r>
    </w:p>
    <w:p>
      <w:pPr>
        <w:rPr>
          <w:noProof/>
          <w:u w:val="single"/>
        </w:rPr>
      </w:pPr>
      <w:r>
        <w:rPr>
          <w:noProof/>
          <w:u w:val="single"/>
        </w:rPr>
        <w:t>Definicja „specyfikacji technicznej”, art. 1 ust. 1 lit. c), dostosowanie a)</w:t>
      </w:r>
    </w:p>
    <w:p>
      <w:pPr>
        <w:rPr>
          <w:noProof/>
        </w:rPr>
      </w:pPr>
      <w:r>
        <w:rPr>
          <w:noProof/>
        </w:rPr>
        <w:t>Dostosowanie gwarantuje, że zdanie „produkty rolne, o których mowa w (...) art. 38 ust. 1 (...) TFUE” przestaje być stosowane jako część definicji „specyfikacji technicznej”, ponieważ art. 38 ust. 1 TFUE odnosi się do WPR i WPRyb UE, będących instrumentami wykraczającymi poza zakres Porozumienia EOG. Identyczne dostosowanie jest już stosowane na mocy Porozumienia EOG.</w:t>
      </w:r>
    </w:p>
    <w:p>
      <w:pPr>
        <w:rPr>
          <w:noProof/>
          <w:u w:val="single"/>
        </w:rPr>
      </w:pPr>
      <w:r>
        <w:rPr>
          <w:noProof/>
          <w:u w:val="single"/>
        </w:rPr>
        <w:t>Wnioski o udzielenie dalszych informacji, art. 5 ust. 1, dostosowanie c)</w:t>
      </w:r>
    </w:p>
    <w:p>
      <w:pPr>
        <w:rPr>
          <w:noProof/>
        </w:rPr>
      </w:pPr>
      <w:r>
        <w:rPr>
          <w:noProof/>
        </w:rPr>
        <w:t>Dodano dostosowanie mające na celu zapewnienie dostatecznej wymiany informacji między filarem UE a filarem EFTA. Należy zauważyć, że podobne dostosowanie jest już stosowane na mocy Porozumienia EOG.</w:t>
      </w:r>
    </w:p>
    <w:p>
      <w:pPr>
        <w:rPr>
          <w:noProof/>
          <w:u w:val="single"/>
        </w:rPr>
      </w:pPr>
      <w:r>
        <w:rPr>
          <w:noProof/>
          <w:u w:val="single"/>
        </w:rPr>
        <w:t>Przekazywanie komentarzy, art. 5 ust. 2, dostosowanie d)</w:t>
      </w:r>
    </w:p>
    <w:p>
      <w:pPr>
        <w:rPr>
          <w:noProof/>
        </w:rPr>
      </w:pPr>
      <w:r>
        <w:rPr>
          <w:noProof/>
        </w:rPr>
        <w:t>Dostosowanie wyjaśnia, w jaki sposób uwagi do projektów przepisów technicznych będą przekazywane między filarem UE a filarem EFTA. Należy zauważyć, że identyczne dostosowanie jest już stosowane na mocy Porozumienia EOG.</w:t>
      </w:r>
    </w:p>
    <w:p>
      <w:pPr>
        <w:spacing w:before="0"/>
        <w:rPr>
          <w:noProof/>
          <w:szCs w:val="24"/>
          <w:u w:val="single"/>
        </w:rPr>
      </w:pPr>
      <w:r>
        <w:rPr>
          <w:noProof/>
          <w:u w:val="single"/>
        </w:rPr>
        <w:t>Szczegółowe opinie, art. 6 ust. 1, 2 i 7, dostosowanie e)</w:t>
      </w:r>
    </w:p>
    <w:p>
      <w:pPr>
        <w:spacing w:before="0"/>
        <w:rPr>
          <w:noProof/>
          <w:szCs w:val="24"/>
        </w:rPr>
      </w:pPr>
      <w:r>
        <w:rPr>
          <w:noProof/>
        </w:rPr>
        <w:t>W celu zachowania jasności niniejsze dostosowanie gwarantuje, że szczegółowe opinie mogą być wydawane jedynie w ramach filaru EFTA, tj. że szczegółowe opinie nie mogą być składane przez państwo EFTA do państwa członkowskiego UE lub odwrotnie.</w:t>
      </w:r>
    </w:p>
    <w:p>
      <w:pPr>
        <w:keepNext/>
        <w:rPr>
          <w:noProof/>
          <w:u w:val="single"/>
        </w:rPr>
      </w:pPr>
      <w:r>
        <w:rPr>
          <w:noProof/>
          <w:u w:val="single"/>
        </w:rPr>
        <w:t>Niestosowanie art. 6 ust. 3–6, dostosowanie f)</w:t>
      </w:r>
    </w:p>
    <w:p>
      <w:pPr>
        <w:spacing w:before="0"/>
        <w:rPr>
          <w:noProof/>
          <w:szCs w:val="24"/>
        </w:rPr>
      </w:pPr>
      <w:r>
        <w:rPr>
          <w:noProof/>
        </w:rPr>
        <w:t>W przepisach zawartych w art. 6 ust. 3–6 przewidziano przedłużony okres obowiązywania zasady wstrzymania, w przypadku gdy instytucje UE rozważają wprowadzenie prawa w dziedzinie objętej krajowym projektem przepisów technicznych. Przepisy te wykraczają poza zakres Porozumienia EOG.</w:t>
      </w:r>
    </w:p>
    <w:p>
      <w:pPr>
        <w:spacing w:before="0"/>
        <w:rPr>
          <w:noProof/>
          <w:szCs w:val="24"/>
        </w:rPr>
      </w:pPr>
    </w:p>
    <w:p>
      <w:pPr>
        <w:spacing w:before="0"/>
        <w:rPr>
          <w:noProof/>
          <w:szCs w:val="24"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2019/0021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stanowiska, jakie należy przyjąć w imieniu Unii Europejskiej</w:t>
      </w:r>
      <w:r>
        <w:rPr>
          <w:noProof/>
        </w:rPr>
        <w:br/>
        <w:t>we Wspólnym Komitecie EOG, dotyczącego zmiany załącznika II</w:t>
      </w:r>
      <w:r>
        <w:rPr>
          <w:noProof/>
        </w:rPr>
        <w:br/>
        <w:t>(Przepisy techniczne, normy, badania i certyfikacja) oraz załącznika XI (Komunikacja elektroniczna, usługi audiowizualne i społeczeństwo informacyjne) do Porozumienia EOG</w:t>
      </w:r>
    </w:p>
    <w:p>
      <w:pPr>
        <w:pStyle w:val="IntrtEEE"/>
        <w:rPr>
          <w:noProof/>
        </w:rPr>
      </w:pPr>
      <w:r>
        <w:rPr>
          <w:noProof/>
        </w:rPr>
        <w:t>(Tekst mający znaczenie dla EOG)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</w:t>
      </w:r>
      <w:r>
        <w:rPr>
          <w:noProof/>
          <w:color w:val="000000"/>
        </w:rPr>
        <w:t>114, art. 337 i art. 43</w:t>
      </w:r>
      <w:r>
        <w:rPr>
          <w:noProof/>
        </w:rPr>
        <w:t xml:space="preserve"> w związku z art. 218 ust. 9,</w:t>
      </w:r>
    </w:p>
    <w:p>
      <w:pPr>
        <w:rPr>
          <w:noProof/>
        </w:rPr>
      </w:pPr>
      <w:r>
        <w:rPr>
          <w:noProof/>
        </w:rPr>
        <w:t>uwzględniając rozporządzenie Rady (WE) nr 2894/94 z dnia 28 listopada 1994 r. w sprawie uzgodnień dotyczących stosowania Porozumienia o Europejskim Obszarze Gospodarczym</w:t>
      </w:r>
      <w:r>
        <w:rPr>
          <w:rStyle w:val="FootnoteReference"/>
          <w:noProof/>
        </w:rPr>
        <w:footnoteReference w:id="3"/>
      </w:r>
      <w:r>
        <w:rPr>
          <w:noProof/>
        </w:rPr>
        <w:t>, w szczególności jego art. 1 ust. 3,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Porozumienie o Europejskim Obszarze Gospodarczym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(„Porozumienie EOG”) weszło w życie dnia 1 stycznia 1994 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Zgodnie z art. 98 Porozumienia EOG Wspólny Komitet EOG może podjąć decyzję o zmianie, między innymi, załącznika II (Przepisy techniczne, normy, badania i certyfikacja) oraz załącznika XI (Komunikacja elektroniczna, usługi audiowizualne i społeczeństwo informacyjne) do Porozumienia EOG.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W Porozumieniu EOG należy uwzględnić dyrektywę (UE) 2015/1535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Parlamentu Europejskiego i Rady.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W związku z powyższym należy odpowiednio zmienić załącznik II (Przepisy techniczne, normy, badania i certyfikacja) oraz załącznik XI (Komunikacja elektroniczna, usługi audiowizualne i społeczeństwo informacyjne) do Porozumienia EOG.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Stanowisko Unii w ramach Wspólnego Komitetu EOG powinno zatem opierać się na załączonym projekcie decyzji,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Stanowisko, jakie należy przyjąć w imieniu Unii w ramach Wspólnego Komitetu EOG w odniesieniu do proponowanych zmian załącznika II (Przepisy techniczne, normy, badania i certyfikacja) i załącznika XI (Komunikacja elektroniczna, usługi audiowizualne i społeczeństwo informacyjne) do Porozumienia EOG, oparte jest na projekcie decyzji Wspólnego Komitetu EOG dołączonym do niniejszej decyzji.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keepLines/>
        <w:rPr>
          <w:noProof/>
        </w:rPr>
      </w:pPr>
      <w:r>
        <w:rPr>
          <w:noProof/>
        </w:rPr>
        <w:t>Niniejsza decyzja wchodzi w życie z dniem jej przyjęcia.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Dz.U. L 241 z 17.9.2015, s. 1-15.</w:t>
      </w:r>
    </w:p>
  </w:footnote>
  <w:footnote w:id="2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Dz.U. L 305 z 30.11.1994, s. 6–8.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Dz.U. L 305 z 30.11.1994, s. 6.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Dz.U. L 1 z 3.1.1994, s. 3.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Dyrektywa (UE) 2015/1535 Parlamentu Europejskiego i Rady z dnia 9 września 2015 r. ustanawiająca procedurę udzielania informacji w dziedzinie przepisów technicznych oraz zasad dotyczących usług społeczeństwa informacyjnego (Dz.U. L 241 z 17.9.2015, s. 1-15).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D825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9641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429B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7EA8C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8C65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4E72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39C37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39AF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57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43:5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09F4BBDD-5915-4A3F-B23C-B4FA424DCA2D"/>
    <w:docVar w:name="LW_COVERPAGE_TYPE" w:val="1"/>
    <w:docVar w:name="LW_CROSSREFERENCE" w:val="&lt;UNUSED&gt;"/>
    <w:docVar w:name="LW_DocType" w:val="COM"/>
    <w:docVar w:name="LW_EMISSION" w:val="31.1.2019"/>
    <w:docVar w:name="LW_EMISSION_ISODATE" w:val="2019-01-31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(Tekst maj\u261?cy znaczenie dla EOG)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1"/>
    <w:docVar w:name="LW_REF.II.NEW.CP_YEAR" w:val="2019"/>
    <w:docVar w:name="LW_REF.INST.NEW" w:val="COM"/>
    <w:docVar w:name="LW_REF.INST.NEW_ADOPTED" w:val="final"/>
    <w:docVar w:name="LW_REF.INST.NEW_TEXT" w:val="(2019) 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stanowiska, jakie nale\u380?y przyj\u261?\u263? w imieniu Unii Europejskiej_x000b_we Wspólnym Komitecie EOG, dotycz\u261?cego zmiany za\u322?\u261?cznika II_x000b_(Przepisy techniczne, normy, badania i certyfikacja) oraz za\u322?\u261?cznika XI (Komunikacja elektroniczna, us\u322?ugi audiowizualne i spo\u322?ecze\u324?stwo informacyjne) do Porozumienia EOG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0"/>
      <w:ind w:left="283"/>
      <w:jc w:val="left"/>
    </w:pPr>
  </w:style>
  <w:style w:type="character" w:customStyle="1" w:styleId="BodyTextIndentChar">
    <w:name w:val="Body Text Indent Char"/>
    <w:link w:val="BodyTextIndent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pPr>
      <w:spacing w:line="480" w:lineRule="auto"/>
    </w:pPr>
  </w:style>
  <w:style w:type="character" w:customStyle="1" w:styleId="BodyText2Char">
    <w:name w:val="Body Text 2 Char"/>
    <w:link w:val="BodyText2"/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pPr>
      <w:numPr>
        <w:numId w:val="1"/>
      </w:numPr>
      <w:contextualSpacing/>
    </w:pPr>
  </w:style>
  <w:style w:type="paragraph" w:styleId="ListBullet2">
    <w:name w:val="List Bullet 2"/>
    <w:basedOn w:val="Normal"/>
    <w:pPr>
      <w:numPr>
        <w:numId w:val="2"/>
      </w:numPr>
      <w:contextualSpacing/>
    </w:pPr>
  </w:style>
  <w:style w:type="paragraph" w:styleId="ListBullet3">
    <w:name w:val="List Bullet 3"/>
    <w:basedOn w:val="Normal"/>
    <w:pPr>
      <w:numPr>
        <w:numId w:val="3"/>
      </w:numPr>
      <w:contextualSpacing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Number">
    <w:name w:val="List Number"/>
    <w:basedOn w:val="Normal"/>
    <w:pPr>
      <w:numPr>
        <w:numId w:val="6"/>
      </w:numPr>
      <w:contextualSpacing/>
    </w:pPr>
  </w:style>
  <w:style w:type="paragraph" w:styleId="ListNumber2">
    <w:name w:val="List Number 2"/>
    <w:basedOn w:val="Normal"/>
    <w:pPr>
      <w:numPr>
        <w:numId w:val="7"/>
      </w:numPr>
      <w:contextualSpacing/>
    </w:pPr>
  </w:style>
  <w:style w:type="paragraph" w:styleId="ListNumber3">
    <w:name w:val="List Number 3"/>
    <w:basedOn w:val="Normal"/>
    <w:pPr>
      <w:numPr>
        <w:numId w:val="8"/>
      </w:numPr>
      <w:contextualSpacing/>
    </w:pPr>
  </w:style>
  <w:style w:type="paragraph" w:styleId="ListNumber4">
    <w:name w:val="List Number 4"/>
    <w:basedOn w:val="Normal"/>
    <w:pPr>
      <w:numPr>
        <w:numId w:val="9"/>
      </w:numPr>
      <w:contextualSpacing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BulletBorderNoborder">
    <w:name w:val="Bullet  + Border: : (No border)"/>
    <w:basedOn w:val="Bullet2"/>
    <w:rPr>
      <w:rFonts w:eastAsia="Arial Unicode MS"/>
      <w:u w:color="000000"/>
      <w:bdr w:val="ni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0"/>
      <w:ind w:left="283"/>
      <w:jc w:val="left"/>
    </w:pPr>
  </w:style>
  <w:style w:type="character" w:customStyle="1" w:styleId="BodyTextIndentChar">
    <w:name w:val="Body Text Indent Char"/>
    <w:link w:val="BodyTextIndent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pPr>
      <w:spacing w:line="480" w:lineRule="auto"/>
    </w:pPr>
  </w:style>
  <w:style w:type="character" w:customStyle="1" w:styleId="BodyText2Char">
    <w:name w:val="Body Text 2 Char"/>
    <w:link w:val="BodyText2"/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pPr>
      <w:numPr>
        <w:numId w:val="1"/>
      </w:numPr>
      <w:contextualSpacing/>
    </w:pPr>
  </w:style>
  <w:style w:type="paragraph" w:styleId="ListBullet2">
    <w:name w:val="List Bullet 2"/>
    <w:basedOn w:val="Normal"/>
    <w:pPr>
      <w:numPr>
        <w:numId w:val="2"/>
      </w:numPr>
      <w:contextualSpacing/>
    </w:pPr>
  </w:style>
  <w:style w:type="paragraph" w:styleId="ListBullet3">
    <w:name w:val="List Bullet 3"/>
    <w:basedOn w:val="Normal"/>
    <w:pPr>
      <w:numPr>
        <w:numId w:val="3"/>
      </w:numPr>
      <w:contextualSpacing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Number">
    <w:name w:val="List Number"/>
    <w:basedOn w:val="Normal"/>
    <w:pPr>
      <w:numPr>
        <w:numId w:val="6"/>
      </w:numPr>
      <w:contextualSpacing/>
    </w:pPr>
  </w:style>
  <w:style w:type="paragraph" w:styleId="ListNumber2">
    <w:name w:val="List Number 2"/>
    <w:basedOn w:val="Normal"/>
    <w:pPr>
      <w:numPr>
        <w:numId w:val="7"/>
      </w:numPr>
      <w:contextualSpacing/>
    </w:pPr>
  </w:style>
  <w:style w:type="paragraph" w:styleId="ListNumber3">
    <w:name w:val="List Number 3"/>
    <w:basedOn w:val="Normal"/>
    <w:pPr>
      <w:numPr>
        <w:numId w:val="8"/>
      </w:numPr>
      <w:contextualSpacing/>
    </w:pPr>
  </w:style>
  <w:style w:type="paragraph" w:styleId="ListNumber4">
    <w:name w:val="List Number 4"/>
    <w:basedOn w:val="Normal"/>
    <w:pPr>
      <w:numPr>
        <w:numId w:val="9"/>
      </w:numPr>
      <w:contextualSpacing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BulletBorderNoborder">
    <w:name w:val="Bullet  + Border: : (No border)"/>
    <w:basedOn w:val="Bullet2"/>
    <w:rPr>
      <w:rFonts w:eastAsia="Arial Unicode MS"/>
      <w:u w:color="000000"/>
      <w:bdr w:val="ni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08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19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3062-571D-46F7-9349-F80B60F1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985</Words>
  <Characters>6286</Characters>
  <Application>Microsoft Office Word</Application>
  <DocSecurity>0</DocSecurity>
  <Lines>133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2017-10-12T11:21:00Z</cp:lastPrinted>
  <dcterms:created xsi:type="dcterms:W3CDTF">2019-01-16T09:21:00Z</dcterms:created>
  <dcterms:modified xsi:type="dcterms:W3CDTF">2019-01-28T12:43:00Z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5.8.64.0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5.8.2, Build 20120919</vt:lpwstr>
  </property>
  <property fmtid="{D5CDD505-2E9C-101B-9397-08002B2CF9AE}" pid="6" name="LWTemplateID">
    <vt:lpwstr>SJ-019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