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86CA15A-7E98-4898-8914-3F62040DCD41" style="width:450.4pt;height:424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</w:rPr>
        <w:t>DECYZJA WSPÓLNEGO KOMITETU EOG</w:t>
      </w:r>
    </w:p>
    <w:p>
      <w:pPr>
        <w:spacing w:after="0"/>
        <w:jc w:val="center"/>
        <w:rPr>
          <w:b/>
          <w:noProof/>
          <w:color w:val="0000FF"/>
          <w:szCs w:val="24"/>
        </w:rPr>
      </w:pPr>
      <w:r>
        <w:rPr>
          <w:b/>
          <w:noProof/>
        </w:rPr>
        <w:t xml:space="preserve">nr </w:t>
      </w:r>
    </w:p>
    <w:p>
      <w:pPr>
        <w:spacing w:before="360" w:after="0"/>
        <w:jc w:val="center"/>
        <w:rPr>
          <w:b/>
          <w:noProof/>
          <w:color w:val="0000FF"/>
          <w:szCs w:val="24"/>
        </w:rPr>
      </w:pPr>
      <w:r>
        <w:rPr>
          <w:b/>
          <w:noProof/>
          <w:color w:val="000000" w:themeColor="text1"/>
        </w:rPr>
        <w:t>z dnia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zmieniająca załącznik II (Przepisy techniczne, normy, badania i certyfikacja) oraz załącznik XI (Komunikacja elektroniczna, usługi audiowizualne i społeczeństwo informacyjne) do Porozumienia EOG</w:t>
      </w:r>
    </w:p>
    <w:p>
      <w:pPr>
        <w:spacing w:before="60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WSPÓLNY KOMITET EOG,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uwzględniając Porozumienie o Europejskim Obszarze Gospodarczym („Porozumienie EOG”), w szczególności jego art. 98,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a także mając na uwadze, co następuje:</w:t>
      </w:r>
    </w:p>
    <w:p>
      <w:pPr>
        <w:pStyle w:val="Considrant"/>
        <w:numPr>
          <w:ilvl w:val="0"/>
          <w:numId w:val="9"/>
        </w:numPr>
        <w:rPr>
          <w:noProof/>
        </w:rPr>
      </w:pPr>
      <w:r>
        <w:rPr>
          <w:noProof/>
        </w:rPr>
        <w:t>W Porozumieniu EOG należy uwzględnić dyrektywę (UE) 2015/1535 Parlamentu Europejskiego i Rady z dnia 9 września 2015 r. ustanawiającą procedurę udzielania informacji w dziedzinie przepisów technicznych oraz zasad dotyczących usług społeczeństwa informacyjnego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Considrant"/>
        <w:rPr>
          <w:noProof/>
          <w:szCs w:val="24"/>
        </w:rPr>
      </w:pPr>
      <w:r>
        <w:rPr>
          <w:noProof/>
        </w:rPr>
        <w:t>Dyrektywa (UE) 2015/1535 uchyla dyrektywę 98/34/WE Parlamentu Europejskiego i Rady</w:t>
      </w:r>
      <w:r>
        <w:rPr>
          <w:rStyle w:val="FootnoteReference"/>
          <w:noProof/>
        </w:rPr>
        <w:footnoteReference w:id="2"/>
      </w:r>
      <w:r>
        <w:rPr>
          <w:noProof/>
        </w:rPr>
        <w:t>, zmienioną dyrektywą 98/48/WE Parlamentu Europejskiego i Rady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i włączoną do Porozumienia EOG, którą w związku z powyższym uchyla się w ramach Porozumienia EOG.</w:t>
      </w:r>
    </w:p>
    <w:p>
      <w:pPr>
        <w:pStyle w:val="Considrant"/>
        <w:rPr>
          <w:noProof/>
          <w:szCs w:val="24"/>
        </w:rPr>
      </w:pPr>
      <w:r>
        <w:rPr>
          <w:noProof/>
        </w:rPr>
        <w:t>Państwa EFTA mogą przedkładać uwagi i szczegółowe opinie w odniesieniu do projektu przepisów technicznych zgłoszonych przez inne państwa EFTA, ale w odniesieniu do projektu przepisów technicznych zgłoszonych przez państwa członkowskie Unii mogą one jedynie przedstawiać uwagi i odwrotnie.</w:t>
      </w:r>
    </w:p>
    <w:p>
      <w:pPr>
        <w:pStyle w:val="Considrant"/>
        <w:rPr>
          <w:noProof/>
          <w:color w:val="000000" w:themeColor="text1"/>
          <w:szCs w:val="24"/>
        </w:rPr>
      </w:pPr>
      <w:r>
        <w:rPr>
          <w:noProof/>
        </w:rPr>
        <w:t>W związku z powyższym należy odpowiednio zmienić załączniki II i XI do Porozumienia EOG,</w:t>
      </w:r>
    </w:p>
    <w:p>
      <w:pPr>
        <w:keepNext/>
        <w:tabs>
          <w:tab w:val="left" w:pos="709"/>
        </w:tabs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PRZYJMUJE NINIEJSZĄ DECYZJĘ:</w:t>
      </w:r>
    </w:p>
    <w:p>
      <w:pPr>
        <w:pStyle w:val="Articleheading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Tekst pkt 1 (dyrektywa 98/34/WE Parlamentu Europejskiego i Rady) rozdziału XIX załącznika II do Porozumienia EOG zastępuje się następującym tekstem:</w:t>
      </w:r>
    </w:p>
    <w:p>
      <w:pPr>
        <w:rPr>
          <w:noProof/>
        </w:rPr>
      </w:pPr>
      <w:r>
        <w:rPr>
          <w:noProof/>
        </w:rPr>
        <w:t>„</w:t>
      </w:r>
      <w:r>
        <w:rPr>
          <w:b/>
          <w:noProof/>
        </w:rPr>
        <w:t>32015 L 1535</w:t>
      </w:r>
      <w:r>
        <w:rPr>
          <w:noProof/>
        </w:rPr>
        <w:t>: Dyrektywa (UE) 2015/1535 Parlamentu Europejskiego i Rady z dnia 9 września 2015 r. ustanawiająca procedurę udzielania informacji w dziedzinie przepisów technicznych oraz zasad dotyczących usług społeczeństwa informacyjnego (Dz.U. L 241 z 17.9.2015, s. 1).</w:t>
      </w:r>
    </w:p>
    <w:p>
      <w:pPr>
        <w:rPr>
          <w:noProof/>
        </w:rPr>
      </w:pPr>
      <w:r>
        <w:rPr>
          <w:noProof/>
        </w:rPr>
        <w:t xml:space="preserve">Do celów Porozumienia przepisy tej dyrektywy odczytuje się z uwzględnieniem następujących dostosowań: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w art. 1 ust. 1 lit. c) akapit drugi odczytuje się jako: </w:t>
      </w:r>
    </w:p>
    <w:p>
      <w:pPr>
        <w:pStyle w:val="Text1"/>
        <w:rPr>
          <w:noProof/>
        </w:rPr>
      </w:pPr>
      <w:r>
        <w:rPr>
          <w:noProof/>
        </w:rPr>
        <w:t>»Termin 'specyfikacja techniczna' obejmuje także metody produkcji oraz przetwórstwa stosowane w stosunku do produktów przeznaczonych do spożycia przez człowieka i zwierzęta oraz produktów leczniczych określonych w art. 1 dyrektywy 2001/83/WE (włączonej do pkt 15q rozdziału XIII załącznika II do Porozumienia EOG decyzją Wspólnego Komitetu EOG nr 82/2002 z dnia 25 czerwca 2002 r.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), jak również metody produkcji oraz przetwarzania odnoszące się do innych produktów, gdzie mają one wpływ na ich charakterystykę;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w art. 5 ust. 1 do akapitu pierwszego dodaje się, co następuje: </w:t>
      </w:r>
    </w:p>
    <w:p>
      <w:pPr>
        <w:pStyle w:val="Text1"/>
        <w:rPr>
          <w:noProof/>
        </w:rPr>
      </w:pPr>
      <w:r>
        <w:rPr>
          <w:noProof/>
        </w:rPr>
        <w:t xml:space="preserve">»Pełny tekst zgłoszonego projektu przepisów technicznych zostaje udostępniony w języku oryginalnym, jak również w pełnym tłumaczeniu na jeden z języków urzędowych Unii.«; 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w art. 5 ust. 1 dodaje się akapit w brzmieniu: </w:t>
      </w:r>
    </w:p>
    <w:p>
      <w:pPr>
        <w:pStyle w:val="Text1"/>
        <w:rPr>
          <w:noProof/>
        </w:rPr>
      </w:pPr>
      <w:r>
        <w:rPr>
          <w:noProof/>
        </w:rPr>
        <w:t xml:space="preserve">»Komisja w imieniu Unii, z jednej strony, oraz Urząd Nadzoru EFTA albo państwa EFTA za pośrednictwem Urzędu Nadzoru EFTA, z drugiej strony, mogą zwrócić się o dalsze informacje na temat zgłoszonego projektu przepisów technicznych.«;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w art. 5 ust. 2 dodaje się akapit w brzmieniu: </w:t>
      </w:r>
    </w:p>
    <w:p>
      <w:pPr>
        <w:pStyle w:val="Text1"/>
        <w:rPr>
          <w:noProof/>
        </w:rPr>
      </w:pPr>
      <w:r>
        <w:rPr>
          <w:noProof/>
        </w:rPr>
        <w:t>»Uwagi państw członkowskich EFTA zostaną przekazane przez Urząd Nadzoru EFTA Komisji w formie jednego skoordynowanego komunikatu, a uwagi Unii zostaną przekazane przez Komisję Urzędowi Nadzoru EFTA.«;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terminy »państwo członkowskie« i »Komisja« w art. 6 ust. 1, 2 i 7 zastępuje się odpowiednio terminami »państwo EFTA« i »Urząd Nadzoru EFTA«; 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art. 6 ust. 3, 4, 5 i 6 nie mają zastosowania.”. </w:t>
      </w:r>
    </w:p>
    <w:p>
      <w:pPr>
        <w:pStyle w:val="Articleheading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Tekst pkt 5i (dyrektywa 98/34/WE Parlamentu Europejskiego i Rady) w załączniku XI do Porozumienia EOG zastępuje się tekstem:</w:t>
      </w:r>
    </w:p>
    <w:p>
      <w:pPr>
        <w:rPr>
          <w:noProof/>
        </w:rPr>
      </w:pPr>
      <w:r>
        <w:rPr>
          <w:noProof/>
        </w:rPr>
        <w:t>„</w:t>
      </w:r>
      <w:r>
        <w:rPr>
          <w:b/>
          <w:noProof/>
        </w:rPr>
        <w:t>32015 L 1535</w:t>
      </w:r>
      <w:r>
        <w:rPr>
          <w:noProof/>
        </w:rPr>
        <w:t>: Dyrektywa (UE) 2015/1535 Parlamentu Europejskiego i Rady z dnia 9 września 2015 r. ustanawiająca procedurę udzielania informacji w dziedzinie przepisów technicznych oraz zasad dotyczących usług społeczeństwa informacyjnego (Dz.U. L 241 z 17.9.2015, s. 1).</w:t>
      </w:r>
    </w:p>
    <w:p>
      <w:pPr>
        <w:rPr>
          <w:noProof/>
        </w:rPr>
      </w:pPr>
      <w:r>
        <w:rPr>
          <w:noProof/>
        </w:rPr>
        <w:t xml:space="preserve">Do celów Porozumienia przepisy tej dyrektywy odczytuje się z uwzględnieniem następujących dostosowań: 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w art. 1 ust. 1 lit. c) akapit drugi odczytuje się jako: </w:t>
      </w:r>
    </w:p>
    <w:p>
      <w:pPr>
        <w:pStyle w:val="Point0"/>
        <w:ind w:firstLine="0"/>
        <w:rPr>
          <w:noProof/>
        </w:rPr>
      </w:pPr>
      <w:r>
        <w:rPr>
          <w:noProof/>
        </w:rPr>
        <w:t>»Termin 'specyfikacja techniczna' obejmuje także metody produkcji oraz przetwórstwa stosowane w stosunku do produktów przeznaczonych do spożycia przez człowieka i zwierzęta oraz produktów leczniczych określonych w art. 1 dyrektywy 2001/83/WE (włączonej do pkt 15q rozdziału XIII załącznika II do Porozumienia EOG decyzją Wspólnego Komitetu EOG nr 82/2002 z dnia 25 czerwca 2002 r.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), jak również metody produkcji oraz przetwarzania odnoszące się do innych produktów, gdzie mają one wpływ na ich charakterystykę; 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w art. 5 ust. 1 do akapitu pierwszego dodaje się, co następuje: 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»Pełny tekst zgłoszonego projektu przepisów technicznych zostaje udostępniony w języku oryginalnym, jak również w pełnym tłumaczeniu na jeden z języków urzędowych Unii.«; 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w art. 5 ust. 1 dodaje się akapit w brzmieniu: </w:t>
      </w:r>
    </w:p>
    <w:p>
      <w:pPr>
        <w:pStyle w:val="Point0"/>
        <w:rPr>
          <w:noProof/>
        </w:rPr>
      </w:pPr>
      <w:r>
        <w:rPr>
          <w:noProof/>
        </w:rPr>
        <w:tab/>
        <w:t xml:space="preserve">»Komisja w imieniu Unii, z jednej strony, oraz Urząd Nadzoru EFTA albo państwa EFTA za pośrednictwem Urzędu Nadzoru EFTA, z drugiej strony, mogą zwrócić się o dalsze informacje na temat zgłoszonego projektu przepisów technicznych.«; 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w art. 5 ust. 2 dodaje się akapit w brzmieniu: </w:t>
      </w:r>
    </w:p>
    <w:p>
      <w:pPr>
        <w:pStyle w:val="Point0"/>
        <w:ind w:firstLine="0"/>
        <w:rPr>
          <w:noProof/>
        </w:rPr>
      </w:pPr>
      <w:r>
        <w:rPr>
          <w:noProof/>
        </w:rPr>
        <w:t>»Uwagi państw członkowskich EFTA zostaną przekazane przez Urząd Nadzoru EFTA Komisji w formie jednego skoordynowanego komunikatu, a uwagi Unii zostaną przekazane przez Komisję Urzędowi Nadzoru EFTA.«;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terminy »państwo członkowskie« i »Komisja« w art. 6 ust. 1, 2 i 7 zastępuje się odpowiednio terminami »państwo EFTA« i »Urząd Nadzoru EFTA«; 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art. 6 ust. 3, 4, 5 i 6 nie mają zastosowania.”. </w:t>
      </w:r>
    </w:p>
    <w:p>
      <w:pPr>
        <w:pStyle w:val="Articleheading"/>
        <w:rPr>
          <w:noProof/>
        </w:rPr>
      </w:pPr>
      <w:r>
        <w:rPr>
          <w:noProof/>
        </w:rPr>
        <w:t>Artykuł 3</w:t>
      </w:r>
    </w:p>
    <w:p>
      <w:pPr>
        <w:rPr>
          <w:noProof/>
        </w:rPr>
      </w:pPr>
      <w:r>
        <w:rPr>
          <w:noProof/>
        </w:rPr>
        <w:t xml:space="preserve">Teksty dyrektywy (UE) 2015/1535 w języku islandzkim i norweskim, które zostaną opublikowane w Suplemencie EOG do </w:t>
      </w:r>
      <w:r>
        <w:rPr>
          <w:i/>
          <w:noProof/>
        </w:rPr>
        <w:t>Dziennika Urzędowego Unii Europejskiej</w:t>
      </w:r>
      <w:r>
        <w:rPr>
          <w:noProof/>
        </w:rPr>
        <w:t>, są autentyczne.</w:t>
      </w:r>
    </w:p>
    <w:p>
      <w:pPr>
        <w:pStyle w:val="Articleheading"/>
        <w:rPr>
          <w:noProof/>
        </w:rPr>
      </w:pPr>
      <w:r>
        <w:rPr>
          <w:noProof/>
        </w:rPr>
        <w:t>Artykuł 4</w:t>
      </w:r>
    </w:p>
    <w:p>
      <w:pPr>
        <w:rPr>
          <w:noProof/>
        </w:rPr>
      </w:pPr>
      <w:r>
        <w:rPr>
          <w:noProof/>
        </w:rPr>
        <w:t xml:space="preserve">Niniejsza decyzja wchodzi w życie z dniem </w:t>
      </w:r>
      <w:r>
        <w:rPr>
          <w:rStyle w:val="Marker"/>
          <w:noProof/>
        </w:rPr>
        <w:t>[…]</w:t>
      </w:r>
      <w:r>
        <w:rPr>
          <w:noProof/>
        </w:rPr>
        <w:t xml:space="preserve">, pod warunkiem dokonania wszystkich notyfikacji przewidzianych w art. 103 ust. 1 Porozumienia EOG </w:t>
      </w:r>
      <w:r>
        <w:rPr>
          <w:rStyle w:val="FootnoteReference"/>
          <w:b/>
          <w:noProof/>
        </w:rPr>
        <w:footnoteReference w:customMarkFollows="1" w:id="6"/>
        <w:sym w:font="Symbol" w:char="F02A"/>
      </w:r>
      <w:r>
        <w:rPr>
          <w:noProof/>
        </w:rPr>
        <w:t>.</w:t>
      </w:r>
    </w:p>
    <w:p>
      <w:pPr>
        <w:pStyle w:val="Articleheading"/>
        <w:rPr>
          <w:noProof/>
        </w:rPr>
      </w:pPr>
      <w:r>
        <w:rPr>
          <w:noProof/>
        </w:rPr>
        <w:t>Artykuł 5</w:t>
      </w:r>
    </w:p>
    <w:p>
      <w:pPr>
        <w:rPr>
          <w:noProof/>
        </w:rPr>
      </w:pPr>
      <w:r>
        <w:rPr>
          <w:noProof/>
        </w:rPr>
        <w:t xml:space="preserve">Niniejsza decyzja zostaje opublikowana w sekcji EOG i w Suplemencie EOG do </w:t>
      </w:r>
      <w:r>
        <w:rPr>
          <w:i/>
          <w:noProof/>
        </w:rPr>
        <w:t>Dziennika Urzędowego Unii Europejskiej</w:t>
      </w:r>
      <w:r>
        <w:rPr>
          <w:noProof/>
        </w:rPr>
        <w:t>.</w:t>
      </w:r>
    </w:p>
    <w:p>
      <w:pPr>
        <w:spacing w:after="0"/>
        <w:rPr>
          <w:noProof/>
          <w:szCs w:val="24"/>
        </w:rPr>
      </w:pPr>
      <w:r>
        <w:rPr>
          <w:noProof/>
        </w:rPr>
        <w:t xml:space="preserve">Sporządzono w Brukseli dnia </w:t>
      </w:r>
      <w:r>
        <w:rPr>
          <w:rStyle w:val="Marker"/>
          <w:noProof/>
        </w:rPr>
        <w:t>[…]</w:t>
      </w:r>
      <w:r>
        <w:rPr>
          <w:noProof/>
        </w:rPr>
        <w:t> r.</w:t>
      </w:r>
    </w:p>
    <w:p>
      <w:pPr>
        <w:tabs>
          <w:tab w:val="left" w:pos="4253"/>
        </w:tabs>
        <w:spacing w:before="720"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W imieniu Wspólnego Komitetu EOG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i/>
          <w:noProof/>
        </w:rPr>
        <w:t>Przewodniczący</w:t>
      </w:r>
    </w:p>
    <w:p>
      <w:pPr>
        <w:tabs>
          <w:tab w:val="left" w:pos="4253"/>
        </w:tabs>
        <w:spacing w:after="0"/>
        <w:rPr>
          <w:i/>
          <w:noProof/>
          <w:szCs w:val="24"/>
        </w:rPr>
      </w:pPr>
      <w:r>
        <w:rPr>
          <w:noProof/>
        </w:rPr>
        <w:tab/>
      </w:r>
      <w:r>
        <w:rPr>
          <w:rStyle w:val="Marker"/>
          <w:i/>
          <w:noProof/>
        </w:rPr>
        <w:t>[…]</w:t>
      </w:r>
    </w:p>
    <w:p>
      <w:pPr>
        <w:pStyle w:val="ListParagraph"/>
        <w:ind w:left="0"/>
        <w:rPr>
          <w:rStyle w:val="Marker"/>
          <w:noProof/>
        </w:rPr>
      </w:pP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 w:val="24"/>
          <w:szCs w:val="24"/>
        </w:rPr>
      </w:pPr>
      <w:r>
        <w:rPr>
          <w:noProof/>
        </w:rPr>
        <w:tab/>
      </w:r>
      <w:r>
        <w:rPr>
          <w:i/>
          <w:noProof/>
          <w:sz w:val="24"/>
        </w:rPr>
        <w:t>Sekretarze</w:t>
      </w:r>
    </w:p>
    <w:p>
      <w:pPr>
        <w:pStyle w:val="ListParagraph"/>
        <w:tabs>
          <w:tab w:val="left" w:pos="4253"/>
        </w:tabs>
        <w:ind w:left="0"/>
        <w:rPr>
          <w:rFonts w:cs="Times New Roman"/>
          <w:i/>
          <w:noProof/>
          <w:sz w:val="24"/>
          <w:szCs w:val="24"/>
        </w:rPr>
      </w:pPr>
      <w:r>
        <w:rPr>
          <w:noProof/>
        </w:rPr>
        <w:tab/>
      </w:r>
      <w:r>
        <w:rPr>
          <w:i/>
          <w:noProof/>
          <w:sz w:val="24"/>
        </w:rPr>
        <w:t>Wspólnego Komitetu EOG</w:t>
      </w:r>
    </w:p>
    <w:p>
      <w:pPr>
        <w:pStyle w:val="ListParagraph"/>
        <w:tabs>
          <w:tab w:val="left" w:pos="4253"/>
        </w:tabs>
        <w:ind w:left="0"/>
        <w:rPr>
          <w:noProof/>
        </w:rPr>
      </w:pPr>
      <w:r>
        <w:rPr>
          <w:noProof/>
        </w:rPr>
        <w:tab/>
      </w:r>
      <w:r>
        <w:rPr>
          <w:rStyle w:val="Marker"/>
          <w:i/>
          <w:noProof/>
          <w:sz w:val="24"/>
        </w:rPr>
        <w:t>[…]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color w:val="0000FF"/>
        </w:rPr>
      </w:pPr>
      <w:r>
        <w:rPr>
          <w:rStyle w:val="FootnoteReference"/>
        </w:rPr>
        <w:footnoteRef/>
      </w:r>
      <w:r>
        <w:tab/>
        <w:t>Dz.U. L 241 z 17.9.2015, s.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Dz.U. L 204 z 21.7.1998, s. 37.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Dz.U. L 217 z 5.8.1998, s. 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L 266 z 3.1.2002, s. 32 oraz Suplement EOG nr 49 z 3.10.2002, s. 22.«;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Dz.U. L 266 z 3.1.2002, s. 32 oraz Suplement EOG nr 49 z 3.10.2002, s. 22.</w:t>
      </w:r>
    </w:p>
  </w:footnote>
  <w:footnote w:id="6">
    <w:p>
      <w:pPr>
        <w:pStyle w:val="FootnoteText"/>
      </w:pPr>
      <w:r>
        <w:rPr>
          <w:rStyle w:val="FootnoteReference"/>
        </w:rPr>
        <w:t>, O</w:t>
      </w:r>
      <w:r>
        <w:rPr>
          <w:rStyle w:val="FootnoteReference"/>
        </w:rPr>
        <w:sym w:font="Symbol" w:char="F02A"/>
      </w:r>
      <w:r>
        <w:tab/>
        <w:t>[Nie wskazano wymogów konstytucyjnych.] [Wskazano wymogi konstytucyjne.]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62E34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EBE04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8F6B4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52A4E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C24B2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3565A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814CC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58C7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NANDEZ ANTUNEZ Maria Aranzazu (GROW)">
    <w15:presenceInfo w15:providerId="None" w15:userId="HERNANDEZ ANTUNEZ Maria Aranzazu (GROW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3:47:5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86CA15A-7E98-4898-8914-3F62040DCD41"/>
    <w:docVar w:name="LW_COVERPAGE_TYPE" w:val="1"/>
    <w:docVar w:name="LW_CROSSREFERENCE" w:val="&lt;UNUSED&gt;"/>
    <w:docVar w:name="LW_DocType" w:val="ANNEX"/>
    <w:docVar w:name="LW_EMISSION" w:val="31.1.2019"/>
    <w:docVar w:name="LW_EMISSION_ISODATE" w:val="2019-01-31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nale\u380?y przyj\u261?\u263? w&lt;LWCR:NBS&gt;imieniu Unii Europejskiej_x000b_we Wspólnym Komitecie EOG, dotycz\u261?cego zmiany za\u322?\u261?cznika II_x000b_(Przepisy techniczne, normy, badania i&lt;LWCR:NBS&gt;certyfikacja) oraz za\u322?\u261?cznika&lt;LWCR:NBS&gt;XI (Komunikacja elektroniczna, us\u322?ugi audiowizualne i&lt;LWCR:NBS&gt;spo\u322?ecze\u324?stwo informacyjne) do Porozumienia EOG"/>
    <w:docVar w:name="LW_OBJETACTEPRINCIPAL.CP" w:val="w sprawie stanowiska, jakie nale\u380?y przyj\u261?\u263? w imieniu Unii Europejskiej_x000b_we Wspólnym Komitecie EOG, dotycz\u261?cego zmiany za\u322?\u261?cznika II_x000b_(Przepisy techniczne, normy, badania i certyfikacja) oraz za\u322?\u261?cznika XI (Komunikacja elektroniczna, us\u322?ugi audiowizualne i spo\u322?ecze\u324?stwo informacyjne) do Porozumienia EOG"/>
    <w:docVar w:name="LW_PART_NBR" w:val="1"/>
    <w:docVar w:name="LW_PART_NBR_TOTAL" w:val="1"/>
    <w:docVar w:name="LW_REF.INST.NEW" w:val="COM"/>
    <w:docVar w:name="LW_REF.INST.NEW_ADOPTED" w:val="final"/>
    <w:docVar w:name="LW_REF.INST.NEW_TEXT" w:val="(2019) 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Rady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character" w:customStyle="1" w:styleId="Point0Char">
    <w:name w:val="Point 0 Char"/>
    <w:basedOn w:val="DefaultParagraphFont"/>
    <w:rPr>
      <w:rFonts w:ascii="Times New Roman" w:hAnsi="Times New Roman" w:cs="Times New Roman"/>
      <w:sz w:val="24"/>
      <w:lang w:val="pl-P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881</Words>
  <Characters>5194</Characters>
  <Application>Microsoft Office Word</Application>
  <DocSecurity>0</DocSecurity>
  <Lines>110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dcterms:created xsi:type="dcterms:W3CDTF">2019-01-16T09:07:00Z</dcterms:created>
  <dcterms:modified xsi:type="dcterms:W3CDTF">2019-01-28T12:47:00Z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