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FC7941A1-1ABC-49EE-AB57-7D0131460FEC" style="width:450.7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PRILOGA 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SKLEP SKUPNEGA ODBORA EGP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szCs w:val="24"/>
        </w:rPr>
        <w:t>št.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00" w:themeColor="text1"/>
          <w:szCs w:val="24"/>
        </w:rPr>
        <w:t>z dne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t>o spremembi Priloge II (Tehnični predpisi, standardi, preskušanje in certificiranje) in Priloge XI (Elektronske komunikacije, avdiovizualne storitve in informacijska družba) k Sporazumu EGP</w:t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SKUPNI ODBOR EGP JE –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ob upoštevanju Sporazuma o Evropskem gospodarskem prostoru (v nadaljnjem besedilu: Sporazum EGP) in zlasti člena 98 Sporazuma EGP,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ob upoštevanju naslednjega:</w:t>
      </w:r>
    </w:p>
    <w:p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>Direktivo (EU) 2015/1535 Evropskega parlamenta in Sveta z dne 9. septembra 2015 o določitvi postopka za zbiranje informacij na področju tehničnih predpisov in pravil za storitve informacijske družbe</w:t>
      </w:r>
      <w:r>
        <w:rPr>
          <w:rStyle w:val="FootnoteReference"/>
          <w:noProof/>
          <w:szCs w:val="24"/>
        </w:rPr>
        <w:footnoteReference w:id="1"/>
      </w:r>
      <w:r>
        <w:rPr>
          <w:noProof/>
          <w:color w:val="000000" w:themeColor="text1"/>
          <w:szCs w:val="24"/>
        </w:rPr>
        <w:t xml:space="preserve"> </w:t>
      </w:r>
      <w:r>
        <w:rPr>
          <w:noProof/>
        </w:rPr>
        <w:t xml:space="preserve"> je treba vključiti v Sporazum EGP.</w:t>
      </w:r>
    </w:p>
    <w:p>
      <w:pPr>
        <w:pStyle w:val="Considrant"/>
        <w:numPr>
          <w:ilvl w:val="0"/>
          <w:numId w:val="12"/>
        </w:numPr>
        <w:rPr>
          <w:noProof/>
          <w:szCs w:val="24"/>
        </w:rPr>
      </w:pPr>
      <w:r>
        <w:rPr>
          <w:noProof/>
        </w:rPr>
        <w:t>Direktiva (EU) 2015/1535 razveljavlja Direktivo 98/34/ES Evropskega parlamenta in Sveta</w:t>
      </w:r>
      <w:r>
        <w:rPr>
          <w:rStyle w:val="FootnoteReference"/>
          <w:noProof/>
        </w:rPr>
        <w:footnoteReference w:id="2"/>
      </w:r>
      <w:r>
        <w:rPr>
          <w:noProof/>
        </w:rPr>
        <w:t>, kakor je bila spremenjena z Direktivo 98/48/ES Evropskega parlamenta in Sveta</w:t>
      </w:r>
      <w:r>
        <w:rPr>
          <w:rStyle w:val="FootnoteReference"/>
          <w:noProof/>
        </w:rPr>
        <w:footnoteReference w:id="3"/>
      </w:r>
      <w:r>
        <w:rPr>
          <w:noProof/>
        </w:rPr>
        <w:t>, ki je vključena v Sporazum EGP in jo je zato treba v okviru Sporazuma EGP razveljaviti.</w:t>
      </w:r>
    </w:p>
    <w:p>
      <w:pPr>
        <w:pStyle w:val="Considrant"/>
        <w:numPr>
          <w:ilvl w:val="0"/>
          <w:numId w:val="12"/>
        </w:numPr>
        <w:rPr>
          <w:noProof/>
          <w:szCs w:val="24"/>
        </w:rPr>
      </w:pPr>
      <w:r>
        <w:rPr>
          <w:noProof/>
        </w:rPr>
        <w:t>Države Efte lahko izdajo pripombe in podrobna mnenja v zvezi z osnutkom tehničnega predpisa, ki so ga priglasile druge države Efte, vendar lahko predložijo le pripombe v zvezi z osnutkom tehničnega predpisa, ki ga priglasijo države članice Unije, in obratno.</w:t>
      </w:r>
    </w:p>
    <w:p>
      <w:pPr>
        <w:pStyle w:val="Considrant"/>
        <w:numPr>
          <w:ilvl w:val="0"/>
          <w:numId w:val="12"/>
        </w:numPr>
        <w:rPr>
          <w:noProof/>
          <w:color w:val="000000" w:themeColor="text1"/>
          <w:szCs w:val="24"/>
        </w:rPr>
      </w:pPr>
      <w:r>
        <w:rPr>
          <w:noProof/>
        </w:rPr>
        <w:t>Prilogi II in XI k Sporazumu EGP bi bilo zato treba ustrezno spremeniti –</w:t>
      </w:r>
    </w:p>
    <w:p>
      <w:pPr>
        <w:keepNext/>
        <w:tabs>
          <w:tab w:val="left" w:pos="709"/>
        </w:tabs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SPREJEL NASLEDNJI SKLEP:</w:t>
      </w:r>
    </w:p>
    <w:p>
      <w:pPr>
        <w:pStyle w:val="Articleheading"/>
        <w:rPr>
          <w:noProof/>
          <w:lang w:val="sl-SI"/>
        </w:rPr>
      </w:pPr>
      <w:r>
        <w:rPr>
          <w:noProof/>
          <w:lang w:val="sl-SI"/>
        </w:rPr>
        <w:t>Člen 1</w:t>
      </w:r>
    </w:p>
    <w:p>
      <w:pPr>
        <w:rPr>
          <w:noProof/>
        </w:rPr>
      </w:pPr>
      <w:r>
        <w:rPr>
          <w:noProof/>
        </w:rPr>
        <w:t>Besedilo točke 1 (Direktiva 98/34/ES Evropskega parlamenta in Sveta) v poglavju XIX Priloge II k Sporazumu EGP se nadomesti z naslednjim:</w:t>
      </w:r>
    </w:p>
    <w:p>
      <w:pPr>
        <w:rPr>
          <w:noProof/>
        </w:rPr>
      </w:pPr>
      <w:r>
        <w:rPr>
          <w:noProof/>
        </w:rPr>
        <w:t>„</w:t>
      </w:r>
      <w:r>
        <w:rPr>
          <w:b/>
          <w:noProof/>
        </w:rPr>
        <w:t>32015 L 1535</w:t>
      </w:r>
      <w:r>
        <w:rPr>
          <w:noProof/>
        </w:rPr>
        <w:t>: Direktiva (EU) 2015/1535 Evropskega parlamenta in Sveta z dne 9. septembra 2015 o določitvi postopka za zbiranje informacij na področju tehničnih predpisov in pravil za storitve informacijske družbe (UL L 241, 17.9.2015, str. 1).</w:t>
      </w:r>
    </w:p>
    <w:p>
      <w:pPr>
        <w:rPr>
          <w:noProof/>
        </w:rPr>
      </w:pPr>
      <w:r>
        <w:rPr>
          <w:noProof/>
        </w:rPr>
        <w:t xml:space="preserve">Za namene tega sporazuma se določbe Direktive uporabljajo z naslednjimi prilagoditvami: 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drugi pododstavek člena 1(1)(c) se nadomesti z naslednjim: </w:t>
      </w:r>
    </w:p>
    <w:p>
      <w:pPr>
        <w:pStyle w:val="Text1"/>
        <w:rPr>
          <w:noProof/>
        </w:rPr>
      </w:pPr>
      <w:r>
        <w:rPr>
          <w:noProof/>
        </w:rPr>
        <w:t xml:space="preserve">,Izraz ,tehnična specifikacija‘ zajema tudi proizvodne metode in postopke, ki se uporabljajo za proizvode, namenjene za prehrano ljudi in živali ter medicinske </w:t>
      </w:r>
      <w:r>
        <w:rPr>
          <w:noProof/>
        </w:rPr>
        <w:lastRenderedPageBreak/>
        <w:t>proizvode, kakor so opredeljeni v členu 1 Direktive 2001/83/ES (kakor je vključena v točko 15q poglavja XIII Priloge II k Sporazumu s Sklepom Skupnega odbora EGP št. 82/2002 z dne 25. junija 2002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), kot tudi proizvodne metode in postopke v zvezi z drugimi proizvodi, kadar ti vplivajo na njihove značilnosti.‘; </w:t>
      </w:r>
    </w:p>
    <w:p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 xml:space="preserve">v členu 5(1) se prvemu pododstavku doda naslednji stavek: </w:t>
      </w:r>
    </w:p>
    <w:p>
      <w:pPr>
        <w:pStyle w:val="Text1"/>
        <w:rPr>
          <w:noProof/>
        </w:rPr>
      </w:pPr>
      <w:r>
        <w:rPr>
          <w:noProof/>
        </w:rPr>
        <w:t xml:space="preserve">,Celotno besedilo priglašenega osnutka tehničnega predpisa mora biti na voljo v jeziku izvirnika in v celoti prevedeno v enega od uradnih jezikov Unije.‘; </w:t>
      </w:r>
    </w:p>
    <w:p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 xml:space="preserve">v členu 5(1) se doda naslednji pododstavek: </w:t>
      </w:r>
    </w:p>
    <w:p>
      <w:pPr>
        <w:pStyle w:val="Text1"/>
        <w:rPr>
          <w:noProof/>
        </w:rPr>
      </w:pPr>
      <w:r>
        <w:rPr>
          <w:noProof/>
        </w:rPr>
        <w:t xml:space="preserve">,Komisija v imenu Unije na eni strani in Nadzorni organ Efte ali države Efte prek Nadzornega organa Efte na drugi strani lahko zaprosijo za dodatne informacije v zvezi s priglašenim osnutkom tehničnega predpisa.‘; </w:t>
      </w:r>
    </w:p>
    <w:p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 xml:space="preserve">v členu 5(2) se doda naslednji pododstavek: </w:t>
      </w:r>
    </w:p>
    <w:p>
      <w:pPr>
        <w:pStyle w:val="Text1"/>
        <w:rPr>
          <w:noProof/>
        </w:rPr>
      </w:pPr>
      <w:r>
        <w:rPr>
          <w:noProof/>
        </w:rPr>
        <w:t>,Nadzorni organ Efte posreduje Komisiji pripombe držav Efte v obliki enkratnega koordiniranega obvestila, pripombe Uniji pa Komisija posreduje Nadzornemu organu Efte.‘;</w:t>
      </w:r>
    </w:p>
    <w:p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 xml:space="preserve">izraza ,država članica‘ in ,Komisija‘ v členih 6(1), (2) in (7) se nadomestita z izrazom ,država Efte‘ oziroma ,Nadzorni organ Efte‘; </w:t>
      </w:r>
    </w:p>
    <w:p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 xml:space="preserve">člen 6(3), (4), (5) in (6) se ne uporablja.“ </w:t>
      </w:r>
    </w:p>
    <w:p>
      <w:pPr>
        <w:pStyle w:val="Articleheading"/>
        <w:rPr>
          <w:noProof/>
          <w:lang w:val="sl-SI"/>
        </w:rPr>
      </w:pPr>
      <w:r>
        <w:rPr>
          <w:noProof/>
          <w:lang w:val="sl-SI"/>
        </w:rPr>
        <w:t>Člen 2</w:t>
      </w:r>
    </w:p>
    <w:p>
      <w:pPr>
        <w:rPr>
          <w:noProof/>
        </w:rPr>
      </w:pPr>
      <w:r>
        <w:rPr>
          <w:noProof/>
        </w:rPr>
        <w:t>Besedilo točke 5i (Direktiva 98/34/ES Evropskega parlamenta in Sveta) Priloge XI k Sporazumu EGP se nadomesti z naslednjim:</w:t>
      </w:r>
    </w:p>
    <w:p>
      <w:pPr>
        <w:rPr>
          <w:noProof/>
        </w:rPr>
      </w:pPr>
      <w:r>
        <w:rPr>
          <w:noProof/>
        </w:rPr>
        <w:t>„</w:t>
      </w:r>
      <w:r>
        <w:rPr>
          <w:b/>
          <w:noProof/>
        </w:rPr>
        <w:t>32015 L 1535</w:t>
      </w:r>
      <w:r>
        <w:rPr>
          <w:noProof/>
        </w:rPr>
        <w:t>: Direktiva (EU) 2015/1535 Evropskega parlamenta in Sveta z dne 9. septembra 2015 o določitvi postopka za zbiranje informacij na področju tehničnih predpisov in pravil za storitve informacijske družbe (UL L 241, 17.9.2015, str. 1).</w:t>
      </w:r>
    </w:p>
    <w:p>
      <w:pPr>
        <w:rPr>
          <w:noProof/>
        </w:rPr>
      </w:pPr>
      <w:r>
        <w:rPr>
          <w:noProof/>
        </w:rPr>
        <w:t xml:space="preserve">Za namene tega sporazuma se določbe Direktive uporabljajo z naslednjimi prilagoditvami: </w:t>
      </w:r>
    </w:p>
    <w:p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drugi pododstavek člena 1(1)(c) se nadomesti z naslednjim: </w:t>
      </w:r>
    </w:p>
    <w:p>
      <w:pPr>
        <w:pStyle w:val="Point0"/>
        <w:ind w:firstLine="0"/>
        <w:rPr>
          <w:noProof/>
        </w:rPr>
      </w:pPr>
      <w:r>
        <w:rPr>
          <w:noProof/>
        </w:rPr>
        <w:t>,Izraz ,tehnična specifikacija‘ zajema tudi proizvodne metode in postopke, ki se uporabljajo za proizvode, namenjene za prehrano ljudi in živali ter medicinske proizvode, kakor so opredeljeni v členu 1 Direktive 2001/83/ES (kakor je vključena v točko 15q poglavja XIII Priloge II k Sporazumu s Sklepom Skupnega odbora EGP št. 82/2002 z dne 25. junija 2002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), kot tudi proizvodne metode in postopke v zvezi z drugimi proizvodi, kadar ti vplivajo na njihove značilnosti.‘; </w:t>
      </w:r>
    </w:p>
    <w:p>
      <w:pPr>
        <w:pStyle w:val="Point0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v členu 5(1) se prvemu pododstavku doda naslednji stavek: 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,Celotno besedilo priglašenega osnutka tehničnega predpisa mora biti na voljo v jeziku izvirnika in v celoti prevedeno v enega od uradnih jezikov Unije.‘; </w:t>
      </w:r>
    </w:p>
    <w:p>
      <w:pPr>
        <w:pStyle w:val="Point0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v členu 5(1) se doda naslednji pododstavek: 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,Komisija v imenu Unije na eni strani in Nadzorni organ Efte ali države Efte prek Nadzornega organa Efte na drugi strani lahko zaprosijo za dodatne informacije v zvezi s priglašenim osnutkom tehničnega predpisa.‘; </w:t>
      </w:r>
    </w:p>
    <w:p>
      <w:pPr>
        <w:pStyle w:val="Point0"/>
        <w:rPr>
          <w:noProof/>
        </w:rPr>
      </w:pPr>
      <w:r>
        <w:rPr>
          <w:noProof/>
        </w:rPr>
        <w:lastRenderedPageBreak/>
        <w:t>(d)</w:t>
      </w:r>
      <w:r>
        <w:rPr>
          <w:noProof/>
        </w:rPr>
        <w:tab/>
        <w:t xml:space="preserve">v členu 5(2) se doda naslednji pododstavek: </w:t>
      </w:r>
    </w:p>
    <w:p>
      <w:pPr>
        <w:pStyle w:val="Point0"/>
        <w:ind w:firstLine="0"/>
        <w:rPr>
          <w:noProof/>
        </w:rPr>
      </w:pPr>
      <w:r>
        <w:rPr>
          <w:noProof/>
        </w:rPr>
        <w:t>,Nadzorni organ Efte posreduje Komisiji pripombe držav Efte v obliki enkratnega koordiniranega obvestila, pripombe Uniji pa Komisija posreduje Nadzornemu organu Efte.‘;</w:t>
      </w:r>
    </w:p>
    <w:p>
      <w:pPr>
        <w:pStyle w:val="Point0"/>
        <w:rPr>
          <w:noProof/>
        </w:rPr>
      </w:pPr>
      <w:r>
        <w:rPr>
          <w:noProof/>
        </w:rPr>
        <w:t>(e)</w:t>
      </w:r>
      <w:r>
        <w:rPr>
          <w:noProof/>
        </w:rPr>
        <w:tab/>
        <w:t xml:space="preserve">izraza ,država članica‘ in ,Komisija‘ v členih 6(1), (2) in (7) se nadomestita z izrazom ,država Efte‘ oziroma ,Nadzorni organ Efte‘; </w:t>
      </w:r>
    </w:p>
    <w:p>
      <w:pPr>
        <w:pStyle w:val="Point0"/>
        <w:rPr>
          <w:noProof/>
        </w:rPr>
      </w:pPr>
      <w:r>
        <w:rPr>
          <w:noProof/>
        </w:rPr>
        <w:t>(f)</w:t>
      </w:r>
      <w:r>
        <w:rPr>
          <w:noProof/>
        </w:rPr>
        <w:tab/>
        <w:t xml:space="preserve">člen 6(3), (4), (5) in (6) se ne uporablja.“ </w:t>
      </w:r>
    </w:p>
    <w:p>
      <w:pPr>
        <w:pStyle w:val="Articleheading"/>
        <w:rPr>
          <w:noProof/>
          <w:lang w:val="sl-SI"/>
        </w:rPr>
      </w:pPr>
      <w:r>
        <w:rPr>
          <w:noProof/>
          <w:lang w:val="sl-SI"/>
        </w:rPr>
        <w:t>Člen 3</w:t>
      </w:r>
    </w:p>
    <w:p>
      <w:pPr>
        <w:rPr>
          <w:noProof/>
        </w:rPr>
      </w:pPr>
      <w:r>
        <w:rPr>
          <w:noProof/>
        </w:rPr>
        <w:t xml:space="preserve">Besedilo Direktive (EU) 2015/1535 v islandskem in norveškem jeziku, ki se objavi v Dopolnilu EGP k </w:t>
      </w:r>
      <w:r>
        <w:rPr>
          <w:i/>
          <w:noProof/>
        </w:rPr>
        <w:t>Uradnemu listu Evropske unije</w:t>
      </w:r>
      <w:r>
        <w:rPr>
          <w:noProof/>
        </w:rPr>
        <w:t>, je verodostojno.</w:t>
      </w:r>
    </w:p>
    <w:p>
      <w:pPr>
        <w:pStyle w:val="Articleheading"/>
        <w:rPr>
          <w:noProof/>
          <w:lang w:val="sl-SI"/>
        </w:rPr>
      </w:pPr>
      <w:r>
        <w:rPr>
          <w:noProof/>
          <w:lang w:val="sl-SI"/>
        </w:rPr>
        <w:t>Člen 4</w:t>
      </w:r>
    </w:p>
    <w:p>
      <w:pPr>
        <w:rPr>
          <w:noProof/>
        </w:rPr>
      </w:pPr>
      <w:r>
        <w:rPr>
          <w:noProof/>
        </w:rPr>
        <w:t xml:space="preserve">Ta sklep začne veljati </w:t>
      </w:r>
      <w:r>
        <w:rPr>
          <w:rStyle w:val="Marker"/>
          <w:noProof/>
        </w:rPr>
        <w:t>[…]</w:t>
      </w:r>
      <w:r>
        <w:rPr>
          <w:noProof/>
        </w:rPr>
        <w:t xml:space="preserve"> pod pogojem, da so bila predložena vsa uradna obvestila v skladu s členom 103(1) Sporazuma EGP</w:t>
      </w:r>
      <w:r>
        <w:rPr>
          <w:rStyle w:val="FootnoteReference"/>
          <w:b/>
          <w:noProof/>
        </w:rPr>
        <w:footnoteReference w:customMarkFollows="1" w:id="6"/>
        <w:sym w:font="Symbol" w:char="F02A"/>
      </w:r>
      <w:r>
        <w:rPr>
          <w:noProof/>
        </w:rPr>
        <w:t>.</w:t>
      </w:r>
    </w:p>
    <w:p>
      <w:pPr>
        <w:pStyle w:val="Articleheading"/>
        <w:rPr>
          <w:noProof/>
          <w:lang w:val="sl-SI"/>
        </w:rPr>
      </w:pPr>
      <w:r>
        <w:rPr>
          <w:noProof/>
          <w:lang w:val="sl-SI"/>
        </w:rPr>
        <w:t>Člen 5</w:t>
      </w:r>
    </w:p>
    <w:p>
      <w:pPr>
        <w:rPr>
          <w:noProof/>
        </w:rPr>
      </w:pPr>
      <w:r>
        <w:rPr>
          <w:noProof/>
        </w:rPr>
        <w:t xml:space="preserve">Ta sklep se objavi v sklopu EGP </w:t>
      </w:r>
      <w:r>
        <w:rPr>
          <w:i/>
          <w:noProof/>
        </w:rPr>
        <w:t>Uradnega lista Evropske unije</w:t>
      </w:r>
      <w:r>
        <w:rPr>
          <w:noProof/>
        </w:rPr>
        <w:t xml:space="preserve"> in Dopolnilu EGP k </w:t>
      </w:r>
      <w:r>
        <w:rPr>
          <w:i/>
          <w:noProof/>
        </w:rPr>
        <w:t>Uradnemu listu Evropske unije</w:t>
      </w:r>
      <w:r>
        <w:rPr>
          <w:noProof/>
        </w:rPr>
        <w:t>.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V Bruslju, </w:t>
      </w:r>
      <w:r>
        <w:rPr>
          <w:rStyle w:val="Marker"/>
          <w:noProof/>
          <w:szCs w:val="24"/>
        </w:rPr>
        <w:t>[…]</w:t>
      </w:r>
      <w:r>
        <w:rPr>
          <w:noProof/>
        </w:rPr>
        <w:t>.</w:t>
      </w:r>
    </w:p>
    <w:p>
      <w:pPr>
        <w:tabs>
          <w:tab w:val="left" w:pos="4253"/>
        </w:tabs>
        <w:spacing w:before="720" w:after="0"/>
        <w:rPr>
          <w:i/>
          <w:noProof/>
          <w:szCs w:val="24"/>
        </w:rPr>
      </w:pPr>
      <w:r>
        <w:rPr>
          <w:i/>
          <w:noProof/>
          <w:szCs w:val="24"/>
        </w:rPr>
        <w:tab/>
        <w:t>Za Skupni odbor EGP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i/>
          <w:noProof/>
          <w:szCs w:val="24"/>
        </w:rPr>
        <w:tab/>
        <w:t>Predsednik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i/>
          <w:noProof/>
          <w:szCs w:val="24"/>
        </w:rPr>
        <w:tab/>
      </w:r>
      <w:r>
        <w:rPr>
          <w:rStyle w:val="Marker"/>
          <w:i/>
          <w:noProof/>
          <w:szCs w:val="24"/>
        </w:rPr>
        <w:t>[…]</w:t>
      </w:r>
    </w:p>
    <w:p>
      <w:pPr>
        <w:pStyle w:val="ListParagraph"/>
        <w:ind w:left="0"/>
        <w:rPr>
          <w:rStyle w:val="Marker"/>
          <w:noProof/>
          <w:lang w:val="sl-SI"/>
        </w:rPr>
      </w:pP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 w:val="24"/>
          <w:szCs w:val="24"/>
          <w:lang w:val="sl-SI"/>
        </w:rPr>
      </w:pPr>
      <w:r>
        <w:rPr>
          <w:i/>
          <w:noProof/>
          <w:sz w:val="24"/>
          <w:szCs w:val="24"/>
          <w:lang w:val="sl-SI"/>
        </w:rPr>
        <w:tab/>
        <w:t>Sekretarja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 w:val="24"/>
          <w:szCs w:val="24"/>
          <w:lang w:val="sl-SI"/>
        </w:rPr>
      </w:pPr>
      <w:r>
        <w:rPr>
          <w:i/>
          <w:noProof/>
          <w:sz w:val="24"/>
          <w:szCs w:val="24"/>
          <w:lang w:val="sl-SI"/>
        </w:rPr>
        <w:tab/>
        <w:t>Skupnega odbora EGP</w:t>
      </w:r>
    </w:p>
    <w:p>
      <w:pPr>
        <w:pStyle w:val="ListParagraph"/>
        <w:tabs>
          <w:tab w:val="left" w:pos="4253"/>
        </w:tabs>
        <w:ind w:left="0"/>
        <w:rPr>
          <w:rStyle w:val="Marker"/>
          <w:rFonts w:cs="Times New Roman"/>
          <w:i/>
          <w:noProof/>
          <w:sz w:val="24"/>
          <w:szCs w:val="24"/>
          <w:lang w:val="sl-SI"/>
        </w:rPr>
      </w:pPr>
      <w:r>
        <w:rPr>
          <w:i/>
          <w:noProof/>
          <w:sz w:val="24"/>
          <w:szCs w:val="24"/>
          <w:lang w:val="sl-SI"/>
        </w:rPr>
        <w:tab/>
      </w:r>
      <w:r>
        <w:rPr>
          <w:rStyle w:val="Marker"/>
          <w:i/>
          <w:noProof/>
          <w:sz w:val="24"/>
          <w:szCs w:val="24"/>
          <w:lang w:val="sl-SI"/>
        </w:rPr>
        <w:t>[…]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color w:val="0000FF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UL L 241, 17.9.2015, str. 1.</w:t>
      </w:r>
    </w:p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UL L 204, 21.7.1998, str. 37.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UL L 217, 5.8.1998, str. 18.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UL L 266, 3.1.2002, str. 32 in Dopolnilo EGP št. 49, 3.10.2002, str. 22.</w:t>
      </w:r>
    </w:p>
  </w:footnote>
  <w:footnote w:id="5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UL L 266, 3.1.2002, str. 32 in Dopolnilo EGP št. 49, 3.10.2002, str. 22.</w:t>
      </w:r>
    </w:p>
  </w:footnote>
  <w:footnote w:id="6">
    <w:p>
      <w:pPr>
        <w:pStyle w:val="FootnoteText"/>
        <w:rPr>
          <w:lang w:val="it-IT"/>
        </w:rPr>
      </w:pPr>
      <w:r>
        <w:rPr>
          <w:rStyle w:val="FootnoteReference"/>
          <w:lang w:val="it-IT"/>
        </w:rPr>
        <w:t>, O</w:t>
      </w:r>
      <w:r>
        <w:rPr>
          <w:rStyle w:val="FootnoteReference"/>
        </w:rPr>
        <w:sym w:font="Symbol" w:char="F02A"/>
      </w:r>
      <w:r>
        <w:rPr>
          <w:lang w:val="it-IT"/>
        </w:rPr>
        <w:tab/>
        <w:t>[Navedena ni nobena ustavna zahteva.] [Navedene so ustavne zahteve.]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62E34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EBE04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8F6B4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52A4E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C24B2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3565A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814CC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8C7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NANDEZ ANTUNEZ Maria Aranzazu (GROW)">
    <w15:presenceInfo w15:providerId="None" w15:userId="HERNANDEZ ANTUNEZ Maria Aranzazu (GROW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46:3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C7941A1-1ABC-49EE-AB57-7D0131460FEC"/>
    <w:docVar w:name="LW_COVERPAGE_TYPE" w:val="1"/>
    <w:docVar w:name="LW_CROSSREFERENCE" w:val="&lt;UNUSED&gt;"/>
    <w:docVar w:name="LW_DocType" w:val="ANNEX"/>
    <w:docVar w:name="LW_EMISSION" w:val="31.1.2019"/>
    <w:docVar w:name="LW_EMISSION_ISODATE" w:val="2019-01-31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stali\u353?\u269?u, ki se v imenu Evropske unije zavzame v Skupnem odboru EGP glede spremembe Priloge II (Tehni\u269?ni predpisi, standardi, presku\u353?anje in certificiranje) in Priloge XI (Elektronske komunikacije, avdiovizualne storitve in informacijska dru\u382?ba) k Sporazumu EGP_x000b_"/>
    <w:docVar w:name="LW_OBJETACTEPRINCIPAL.CP" w:val="o stali\u353?\u269?u, ki se v imenu Evropske unije zavzame v Skupnem odboru EGP glede spremembe Priloge II (Tehni\u269?ni predpisi, standardi, presku\u353?anje in certificiranje) in Priloge XI (Elektronske komunikacije, avdiovizualne storitve in informacijska dru\u382?ba) k Sporazumu EGP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edlogu sklepa Sveta"/>
    <w:docVar w:name="LW_TYPEACTEPRINCIPAL.CP" w:val="predlogu sklepa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  <w:lang w:val="en-US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  <w:lang w:val="en-US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  <w:lang w:val="en-US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  <w:lang w:val="en-US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843</Words>
  <Characters>4699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DIGIT/C6</cp:lastModifiedBy>
  <cp:revision>8</cp:revision>
  <dcterms:created xsi:type="dcterms:W3CDTF">2019-01-16T09:37:00Z</dcterms:created>
  <dcterms:modified xsi:type="dcterms:W3CDTF">2019-01-28T12:46:00Z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