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44C2041-57BD-4E46-9B3A-AC21A4795E9C" style="width:451.25pt;height:409.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BEGRUNDELSE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BAGGRUND FOR FORSLAGET</w:t>
      </w:r>
    </w:p>
    <w:p>
      <w:pPr>
        <w:pStyle w:val="Point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Forslagets begrundelse og formål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Udkastet til Det Blandede EØS-Udvalgs afgørelse (der er knyttet som bilag til forslaget for Rådets afgørelse) har til formål at ændre bilag IX (Finansielle tjenesteydelser) og bilag XIX (Forbrugerbeskyttelse) til EØS-aftalen med henblik på at indarbejde Europa-Parlamentets og Rådets direktiv 2014/17/EU af 4. februar 2014 om forbrugerkreditaftaler i forbindelse med fast ejendom til beboelse.</w:t>
      </w:r>
    </w:p>
    <w:p>
      <w:pPr>
        <w:pStyle w:val="Point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Sammenhæng med de gældende regler på samme område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Vedlagte udkast til Det Blandede EØS-Udvalgs afgørelse udvider den allerede eksisterende EU-politik til EØS/EFTA-landene (Norge, Island og Liechtenstein). </w:t>
      </w:r>
    </w:p>
    <w:p>
      <w:pPr>
        <w:pStyle w:val="Point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Sammenhæng med Unionens politik på andre områder</w:t>
      </w:r>
    </w:p>
    <w:p>
      <w:pPr>
        <w:rPr>
          <w:noProof/>
        </w:rPr>
      </w:pPr>
      <w:r>
        <w:rPr>
          <w:noProof/>
        </w:rPr>
        <w:t xml:space="preserve">Udvidelsen af den gældende EU-ret til at omfatte EØS/EFTA-landene ved indarbejdelse heraf i EØS-aftalen gennemføres i overensstemmelse med målene og principperne i aftalen, der har til formål at oprette et dynamisk og ensartet Europæisk Økonomisk Samarbejdsområde, som skal bygge på fælles regler og lige konkurrencevilkår.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RETSGRUNDLAG, NÆRHEDSPRINCIPPET OG PROPORTIONALITETSPRINCIPPET</w:t>
      </w:r>
    </w:p>
    <w:p>
      <w:pPr>
        <w:pStyle w:val="Point0"/>
        <w:rPr>
          <w:rFonts w:eastAsia="Arial Unicode MS"/>
          <w:b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Retsgrundlag</w:t>
      </w:r>
    </w:p>
    <w:p>
      <w:pPr>
        <w:rPr>
          <w:noProof/>
        </w:rPr>
      </w:pPr>
      <w:r>
        <w:rPr>
          <w:noProof/>
        </w:rPr>
        <w:t>Den lovgivning, der skal indarbejdes i EØS-aftalen, bygger på artikel 114 i traktaten om Den Europæiske Unions funktionsmåde.</w:t>
      </w:r>
    </w:p>
    <w:p>
      <w:pPr>
        <w:rPr>
          <w:noProof/>
        </w:rPr>
      </w:pPr>
      <w:r>
        <w:rPr>
          <w:noProof/>
        </w:rPr>
        <w:t>I henhold til artikel 1, stk. 3, i Rådets forordning (EF) nr. 2894/94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om visse gennemførelsesbestemmelser til EØS-aftalen fastlægger Rådet på forslag af Kommissionen den holdning, som skal indtages på Unionens vegne til sådanne afgørelser. </w:t>
      </w:r>
    </w:p>
    <w:p>
      <w:pPr>
        <w:rPr>
          <w:noProof/>
        </w:rPr>
      </w:pPr>
      <w:r>
        <w:rPr>
          <w:noProof/>
        </w:rPr>
        <w:t>Kommissionen forelægger i samarbejde med EU-Udenrigstjenesten udkastet til Det Blandede EØS-Udvalgs afgørelse til vedtagelse i Rådet som Unionens holdning. Kommissionen håber snarest muligt at kunne forelægge det i Det Blandede EØS-Udvalg.</w:t>
      </w:r>
    </w:p>
    <w:p>
      <w:pPr>
        <w:pStyle w:val="Point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Nærhedsprincippet (for områder, der ikke er omfattet af enekompetence)</w:t>
      </w: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Forslaget er i overensstemmelse med nærhedsprincippet af følgende grund: </w:t>
      </w:r>
    </w:p>
    <w:p>
      <w:pPr>
        <w:rPr>
          <w:noProof/>
        </w:rPr>
      </w:pPr>
      <w:r>
        <w:rPr>
          <w:noProof/>
        </w:rPr>
        <w:t xml:space="preserve">Målet for dette forslag, nemlig at sikre ensartethed på det indre marked, kan ikke i tilstrækkelig grad opfyldes af medlemsstaterne og kan derfor på grund af foranstaltningens virkninger bedre nås på EU-plan. </w:t>
      </w:r>
    </w:p>
    <w:p>
      <w:pPr>
        <w:rPr>
          <w:noProof/>
        </w:rPr>
      </w:pPr>
      <w:r>
        <w:rPr>
          <w:noProof/>
        </w:rPr>
        <w:t xml:space="preserve">Indarbejdelsen af gældende EU-ret i EØS-aftalen foretages i overensstemmelse med Rådets forordning (EF) nr. 2894/94 af 28. november 1994 om visse gennemførelsesbestemmelser til aftalen om Det Europæiske Økonomiske Samarbejdsområde, hvilket bekræfter den valgte tilgang. </w:t>
      </w:r>
    </w:p>
    <w:p>
      <w:pPr>
        <w:pStyle w:val="Point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Proportionalitetsprincippet</w:t>
      </w:r>
    </w:p>
    <w:p>
      <w:pPr>
        <w:rPr>
          <w:noProof/>
        </w:rPr>
      </w:pPr>
      <w:r>
        <w:rPr>
          <w:noProof/>
        </w:rPr>
        <w:lastRenderedPageBreak/>
        <w:t>I overensstemmelse med proportionalitetsprincippet går dette forslag ikke videre, end hvad der er nødvendigt for at nå dets mål.</w:t>
      </w:r>
    </w:p>
    <w:p>
      <w:pPr>
        <w:pStyle w:val="Point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Valg af retsakt</w:t>
      </w:r>
    </w:p>
    <w:p>
      <w:pPr>
        <w:rPr>
          <w:noProof/>
        </w:rPr>
      </w:pPr>
      <w:r>
        <w:rPr>
          <w:noProof/>
        </w:rPr>
        <w:t xml:space="preserve">I henhold til artikel 98 i EØS-aftalen er reguleringsmidlet Det Blandede EØS-Udvalgs afgørelse. Det Blandede EØS-Udvalg sikrer en effektiv gennemførelse og anvendelse af EØS-aftalen. Den træffer med henblik herpå afgørelser i de i EØS-aftalen fastsatte tilfælde.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RESULTATER AF EFTERFØLGENDE EVALUERINGER, HØRINGER AF INTERESSEREDE PARTER OG KONSEKVENSANALYSER</w:t>
      </w:r>
    </w:p>
    <w:p>
      <w:pPr>
        <w:rPr>
          <w:noProof/>
        </w:rPr>
      </w:pPr>
      <w:r>
        <w:rPr>
          <w:noProof/>
        </w:rPr>
        <w:t>Ikke relevant.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VIRKNINGER FOR BUDGETTET</w:t>
      </w:r>
    </w:p>
    <w:p>
      <w:pPr>
        <w:rPr>
          <w:noProof/>
        </w:rPr>
      </w:pPr>
      <w:r>
        <w:rPr>
          <w:noProof/>
        </w:rPr>
        <w:t>Indarbejdelsen af direktiv 2014/17/EU i EØS-aftalen forventes ikke at få virkninger for budgettet.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ANDRE FORHOLD</w:t>
      </w:r>
    </w:p>
    <w:p>
      <w:pPr>
        <w:rPr>
          <w:rFonts w:eastAsia="Arial Unicode MS"/>
          <w:b/>
          <w:noProof/>
          <w:u w:val="single"/>
          <w:bdr w:val="nil"/>
        </w:rPr>
      </w:pPr>
      <w:r>
        <w:rPr>
          <w:b/>
          <w:noProof/>
          <w:u w:val="single"/>
          <w:bdr w:val="nil"/>
        </w:rPr>
        <w:t xml:space="preserve">De vigtigste tilpasninger, som EFTA har anmodet om: </w:t>
      </w:r>
    </w:p>
    <w:p>
      <w:pPr>
        <w:rPr>
          <w:noProof/>
        </w:rPr>
      </w:pPr>
      <w:r>
        <w:rPr>
          <w:noProof/>
        </w:rPr>
        <w:t>Begrundelse og foreslået løsning:</w:t>
      </w:r>
    </w:p>
    <w:p>
      <w:pPr>
        <w:rPr>
          <w:noProof/>
          <w:u w:val="single"/>
        </w:rPr>
      </w:pPr>
      <w:r>
        <w:rPr>
          <w:noProof/>
          <w:u w:val="single"/>
        </w:rPr>
        <w:t>Tilpasning til artikel 5, stk. 3, litra b) — tilpasning b)</w:t>
      </w:r>
    </w:p>
    <w:p>
      <w:pPr>
        <w:rPr>
          <w:noProof/>
        </w:rPr>
      </w:pPr>
      <w:r>
        <w:rPr>
          <w:noProof/>
        </w:rPr>
        <w:t>Som følge af kompetencefordelingen mellem Den Europæiske Banktilsynsmyndighed (EBA) og EFTA-Tilsynsmyndigheden er en tilpasning blevet indført med henblik på at medtage EFTA-Tilsynsmyndigheden på listen over myndigheder, som de nationale myndigheder skal samarbejde med.</w:t>
      </w:r>
    </w:p>
    <w:p>
      <w:pPr>
        <w:rPr>
          <w:noProof/>
          <w:u w:val="single"/>
        </w:rPr>
      </w:pPr>
      <w:r>
        <w:rPr>
          <w:noProof/>
          <w:u w:val="single"/>
        </w:rPr>
        <w:t>Tilpasning til artikel 12, stk. 3, og artikel 27, stk. 3 — tilpasning c)</w:t>
      </w:r>
    </w:p>
    <w:p>
      <w:pPr>
        <w:rPr>
          <w:noProof/>
        </w:rPr>
      </w:pPr>
      <w:r>
        <w:rPr>
          <w:noProof/>
        </w:rPr>
        <w:t xml:space="preserve">I overensstemmelse med artikel 7 i EØS-aftalen er kun de retsakter, som er indarbejdet i EØS-aftalen, bindende for EØS/EFTA-landene. Visse af direktivets forpligtelser finder således kun anvendelse fra datoen for ikrafttrædelsen af Det Blandede EØS-Udvalgs afgørelse om indarbejdelse heraf i EØS-aftalen. Med tilpasning c) sikres det, at den relevante dato for anvendelsen af artikel 12, stk. 3, og artikel 27, stk. 3, er datoen for direktivets ikrafttrædelse i EØS. </w:t>
      </w:r>
    </w:p>
    <w:p>
      <w:pPr>
        <w:rPr>
          <w:noProof/>
        </w:rPr>
      </w:pPr>
      <w:r>
        <w:rPr>
          <w:noProof/>
          <w:u w:val="single"/>
        </w:rPr>
        <w:t>Tilpasning til artikel 14, stk. 5 — tilpasning d)</w:t>
      </w:r>
    </w:p>
    <w:p>
      <w:pPr>
        <w:rPr>
          <w:noProof/>
        </w:rPr>
      </w:pPr>
      <w:r>
        <w:rPr>
          <w:noProof/>
        </w:rPr>
        <w:t xml:space="preserve">I overensstemmelse med artikel 7 i EØS-aftalen er kun de retsakter, som er indarbejdet i EØS-aftalen, bindende for EØS/EFTA-landene. Visse af direktivets forpligtelser finder således kun anvendelse fra datoen for ikrafttrædelsen af Det Blandede EØS-Udvalgs afgørelse om indarbejdelse heraf i EØS-aftalen. Med tilpasning d) sikres det, at de overgangsperioder, der forud for direktivets ikrafttrædelse gælder for de eksisterende nationale regler, anvendes i en EØS-sammenhæng i forbindelse med direktivets ikrafttrædelse i EØS. </w:t>
      </w:r>
    </w:p>
    <w:p>
      <w:pPr>
        <w:rPr>
          <w:noProof/>
        </w:rPr>
      </w:pPr>
      <w:r>
        <w:rPr>
          <w:noProof/>
          <w:u w:val="single"/>
        </w:rPr>
        <w:t>Tilpasning til artikel 26, stk. 2 — tilpasning e)</w:t>
      </w:r>
    </w:p>
    <w:p>
      <w:pPr>
        <w:rPr>
          <w:noProof/>
        </w:rPr>
      </w:pPr>
      <w:r>
        <w:rPr>
          <w:noProof/>
        </w:rPr>
        <w:t>Ifølge tallene fra Liechtensteins skattemyndighed finder der hvert år 50 til 100 transaktioner vedrørende fast ejendom sted i Liechtenstein. For at kunne skabe pålidelige og meningsfulde statistiske resultater om boligejendomsmarkedet som fastsat i direktivets artikel 26, stk. 2, ville der være behov for mange flere transaktioner vedrørende fast ejendom.</w:t>
      </w:r>
    </w:p>
    <w:p>
      <w:pPr>
        <w:rPr>
          <w:noProof/>
        </w:rPr>
      </w:pPr>
      <w:r>
        <w:rPr>
          <w:noProof/>
        </w:rPr>
        <w:lastRenderedPageBreak/>
        <w:t>I den pågældende situation ville den statistiske overvågning være i modstrid med følgende principper i adfærdskodeksen for europæiske statistikker:</w:t>
      </w:r>
    </w:p>
    <w:p>
      <w:pPr>
        <w:pStyle w:val="Point0"/>
        <w:rPr>
          <w:noProof/>
        </w:rPr>
      </w:pPr>
      <w:r>
        <w:rPr>
          <w:noProof/>
        </w:rPr>
        <w:t>•</w:t>
      </w:r>
      <w:r>
        <w:rPr>
          <w:noProof/>
        </w:rPr>
        <w:tab/>
        <w:t>Princip 4: Statistikmyndigheder har en kvalitetsforpligtelse.</w:t>
      </w:r>
    </w:p>
    <w:p>
      <w:pPr>
        <w:pStyle w:val="Point0"/>
        <w:rPr>
          <w:noProof/>
        </w:rPr>
      </w:pPr>
      <w:r>
        <w:rPr>
          <w:noProof/>
        </w:rPr>
        <w:t>•</w:t>
      </w:r>
      <w:r>
        <w:rPr>
          <w:noProof/>
        </w:rPr>
        <w:tab/>
        <w:t>Princip 7: Statistikker af høj kvalitet er baseret på en god metodologi.</w:t>
      </w:r>
    </w:p>
    <w:p>
      <w:pPr>
        <w:pStyle w:val="Point0"/>
        <w:rPr>
          <w:noProof/>
        </w:rPr>
      </w:pPr>
      <w:r>
        <w:rPr>
          <w:noProof/>
        </w:rPr>
        <w:t>•</w:t>
      </w:r>
      <w:r>
        <w:rPr>
          <w:noProof/>
        </w:rPr>
        <w:tab/>
        <w:t>Princip 12: Europæiske statistikker afspejler nøjagtigt og pålideligt virkeligheden.</w:t>
      </w:r>
    </w:p>
    <w:p>
      <w:pPr>
        <w:rPr>
          <w:noProof/>
        </w:rPr>
      </w:pPr>
      <w:r>
        <w:rPr>
          <w:noProof/>
        </w:rPr>
        <w:t xml:space="preserve">Som følge heraf fritager tilpasning e) Liechtenstein for at være forpligtet til at sikre passende statistisk overvågning af boligejendomsmarkedet på sit område som fastsat i direktivets artikel 26, stk. 2. </w:t>
      </w:r>
    </w:p>
    <w:p>
      <w:pPr>
        <w:rPr>
          <w:noProof/>
        </w:rPr>
      </w:pPr>
      <w:r>
        <w:rPr>
          <w:noProof/>
          <w:u w:val="single"/>
        </w:rPr>
        <w:t>Tilpasning til artikel 34, stk. 2 og 4, og artikel 37 — tilpasning f) og g)</w:t>
      </w:r>
    </w:p>
    <w:p>
      <w:pPr>
        <w:rPr>
          <w:noProof/>
        </w:rPr>
      </w:pPr>
      <w:r>
        <w:rPr>
          <w:noProof/>
        </w:rPr>
        <w:t>I henhold til det system, der er fastsat i punkt 31g i bilag IX til EØS-aftalen, overdrages beføjelserne til at vedtage beslutninger, der i henhold til EBA-forordningens artikel 19 er bindende i EFTA-søjlen, til EFTA-Tilsynsmyndigheden, hvorimod de fleste af de tekniske tilsynsaspekter med hensyn til forhold, der vedrører EFTA-lande, vil blive udført af EBA. EBA vil derudover have beføjelser til at udføre ikkebindende mægling i henhold til EBA-forordningens artikel 19, stk. 2.</w:t>
      </w:r>
    </w:p>
    <w:p>
      <w:pPr>
        <w:rPr>
          <w:noProof/>
        </w:rPr>
      </w:pPr>
      <w:r>
        <w:rPr>
          <w:noProof/>
        </w:rPr>
        <w:t xml:space="preserve">Med tilpasning f) og g) præciseres det, at henvisningerne til EBA's beføjelser i medfør af henholdsvis EBA-forordningens artikel 19 og direktivets artikel 34, stk. 2 og 4, og artikel 37, alt efter omstændighederne, skal forstås som henvisninger til ETFA-Tilsynsmyndighedens beføjelser. </w:t>
      </w:r>
    </w:p>
    <w:p>
      <w:pPr>
        <w:rPr>
          <w:noProof/>
        </w:rPr>
      </w:pPr>
      <w:r>
        <w:rPr>
          <w:noProof/>
          <w:u w:val="single"/>
        </w:rPr>
        <w:t>Tilpasning til artikel 43 — tilpasning h)</w:t>
      </w:r>
    </w:p>
    <w:p>
      <w:pPr>
        <w:rPr>
          <w:noProof/>
        </w:rPr>
      </w:pPr>
      <w:r>
        <w:rPr>
          <w:noProof/>
        </w:rPr>
        <w:t xml:space="preserve">I overensstemmelse med artikel 7 i EØS-aftalen er kun de retsakter, som er indarbejdet i EØS-aftalen, bindende for EØS/EFTA-landene. Visse af direktivets forpligtelser finder således kun anvendelse fra datoen for ikrafttrædelsen af Det Blandede EØS-Udvalgs afgørelse om indarbejdelse heraf i EØS-aftalen. Med tilpasning h) sikres det, at de overgangsperioder, som er fastsat i direktivets artikel 43, anvendes i en EØS-sammenhæng i forbindelse med direktivets ikrafttrædelse i EØS. 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2019/0023 (NLE)</w:t>
      </w:r>
    </w:p>
    <w:p>
      <w:pPr>
        <w:pStyle w:val="Statut"/>
        <w:rPr>
          <w:noProof/>
        </w:rPr>
      </w:pPr>
      <w:r>
        <w:rPr>
          <w:noProof/>
        </w:rPr>
        <w:t>Forslag til</w:t>
      </w:r>
    </w:p>
    <w:p>
      <w:pPr>
        <w:pStyle w:val="Typedudocument"/>
        <w:rPr>
          <w:noProof/>
        </w:rPr>
      </w:pPr>
      <w:r>
        <w:rPr>
          <w:noProof/>
        </w:rPr>
        <w:t>RÅDETS AFGØRELSE</w:t>
      </w:r>
    </w:p>
    <w:p>
      <w:pPr>
        <w:pStyle w:val="Titreobjet"/>
        <w:rPr>
          <w:noProof/>
        </w:rPr>
      </w:pPr>
      <w:r>
        <w:rPr>
          <w:noProof/>
        </w:rPr>
        <w:t>om den holdning, der skal indtages på Den Europæiske Unions vegne</w:t>
      </w:r>
      <w:r>
        <w:rPr>
          <w:noProof/>
        </w:rPr>
        <w:br/>
        <w:t>i Det Blandede EØS-Udvalg vedrørende en ændring af bilag IX (Finansielle tjenesteydelser) og bilag XIX (Forbrugerbeskyttelse) til EØS-aftalen</w:t>
      </w:r>
    </w:p>
    <w:p>
      <w:pPr>
        <w:pStyle w:val="IntrtEEE"/>
        <w:rPr>
          <w:noProof/>
        </w:rPr>
      </w:pPr>
      <w:r>
        <w:rPr>
          <w:noProof/>
        </w:rPr>
        <w:t>(EØS-relevant tekst)</w:t>
      </w:r>
    </w:p>
    <w:p>
      <w:pPr>
        <w:pStyle w:val="Institutionquiagit"/>
        <w:rPr>
          <w:noProof/>
        </w:rPr>
      </w:pPr>
      <w:r>
        <w:rPr>
          <w:noProof/>
        </w:rPr>
        <w:t>RÅDET FOR DEN EUROPÆISKE UNION HAR —</w:t>
      </w:r>
    </w:p>
    <w:p>
      <w:pPr>
        <w:rPr>
          <w:noProof/>
        </w:rPr>
      </w:pPr>
      <w:r>
        <w:rPr>
          <w:noProof/>
        </w:rPr>
        <w:t>under henvisning til traktaten om Den Europæiske Unions funktionsmåde, særlig artikel 114,</w:t>
      </w:r>
    </w:p>
    <w:p>
      <w:pPr>
        <w:rPr>
          <w:noProof/>
        </w:rPr>
      </w:pPr>
      <w:r>
        <w:rPr>
          <w:noProof/>
        </w:rPr>
        <w:t>under henvisning til Rådets forordning (EF) nr. 2894/94 af 28. november 1994 om visse gennemførelsesbestemmelser til aftalen om Det Europæiske Økonomiske Samarbejdsområde</w:t>
      </w:r>
      <w:r>
        <w:rPr>
          <w:rStyle w:val="FootnoteReference"/>
          <w:noProof/>
        </w:rPr>
        <w:footnoteReference w:id="2"/>
      </w:r>
      <w:r>
        <w:rPr>
          <w:noProof/>
        </w:rPr>
        <w:t>, særlig artikel 1, stk. 3,</w:t>
      </w:r>
    </w:p>
    <w:p>
      <w:pPr>
        <w:rPr>
          <w:noProof/>
        </w:rPr>
      </w:pPr>
      <w:r>
        <w:rPr>
          <w:noProof/>
        </w:rPr>
        <w:t>under henvisning til forslag fra Europa-Kommissionen, og</w:t>
      </w:r>
    </w:p>
    <w:p>
      <w:pPr>
        <w:rPr>
          <w:noProof/>
        </w:rPr>
      </w:pPr>
      <w:r>
        <w:rPr>
          <w:noProof/>
        </w:rPr>
        <w:t>ud fra følgende betragtninger: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Aftalen om Det Europæiske Økonomiske Samarbejdsområde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("EØS-aftalen") trådte i kraft den 1. januar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 henhold til EØS-aftalens artikel 98 kan Det Blandede EØS-Udvalg træffe afgørelse om at ændre bl.a. bilag IX (Finansielle tjenesteydelser) og bilag XIX (Forbrugerbeskyttelse) til EØS-aftalen.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Europa-Parlamentets og Rådets direktiv 2014/17/EU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skal indarbejdes i EØS-aftalen.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Bilag IX (Finansielle tjenesteydelser) og bilag XIX (Forbrugerbeskyttelse) til EØS-aftalen bør derfor ændres.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Den holdning, der skal indtages på Unionens vegne i Det Blandede EØS-Udvalg, bør derfor baseres på det udkast til afgørelse, der er knyttet til nærværende afgørelse —</w:t>
      </w:r>
    </w:p>
    <w:p>
      <w:pPr>
        <w:pStyle w:val="Formuledadoption"/>
        <w:rPr>
          <w:noProof/>
        </w:rPr>
      </w:pPr>
      <w:r>
        <w:rPr>
          <w:noProof/>
        </w:rPr>
        <w:t xml:space="preserve">VEDTAGET DENNE AFGØRELSE: </w:t>
      </w:r>
    </w:p>
    <w:p>
      <w:pPr>
        <w:pStyle w:val="Titrearticle"/>
        <w:rPr>
          <w:noProof/>
        </w:rPr>
      </w:pPr>
      <w:r>
        <w:rPr>
          <w:noProof/>
        </w:rPr>
        <w:t>Artikel 1</w:t>
      </w:r>
    </w:p>
    <w:p>
      <w:pPr>
        <w:rPr>
          <w:noProof/>
        </w:rPr>
      </w:pPr>
      <w:r>
        <w:rPr>
          <w:noProof/>
        </w:rPr>
        <w:t>Den holdning, der skal indtages på Unionens vegne i Det Blandede EØS-Udvalg til den foreslåede ændring af bilag IX (Finansielle tjenesteydelser) og bilag XIX (Forbrugerbeskyttelse) til EØS-aftalen, baseres på det udkast til Det Blandede EØS-Udvalgs afgørelse, der er knyttet til nærværende afgørelse.</w:t>
      </w:r>
    </w:p>
    <w:p>
      <w:pPr>
        <w:spacing w:before="0" w:after="200" w:line="276" w:lineRule="auto"/>
        <w:jc w:val="left"/>
        <w:rPr>
          <w:i/>
          <w:noProof/>
        </w:rPr>
      </w:pPr>
      <w:r>
        <w:rPr>
          <w:noProof/>
        </w:rPr>
        <w:br w:type="page"/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Artikel 2</w:t>
      </w:r>
    </w:p>
    <w:p>
      <w:pPr>
        <w:keepLines/>
        <w:rPr>
          <w:noProof/>
        </w:rPr>
      </w:pPr>
      <w:r>
        <w:rPr>
          <w:noProof/>
        </w:rPr>
        <w:t>Denne afgørelse træder i kraft på datoen for vedtagelsen.</w:t>
      </w:r>
    </w:p>
    <w:p>
      <w:pPr>
        <w:pStyle w:val="Fait"/>
        <w:rPr>
          <w:noProof/>
        </w:rPr>
      </w:pPr>
      <w:r>
        <w:t xml:space="preserve">Udfærdiget i Bruxelles, den </w:t>
      </w:r>
      <w:r>
        <w:rPr>
          <w:rStyle w:val="Marker"/>
        </w:rPr>
        <w:t>[…]</w:t>
      </w:r>
      <w:r>
        <w:t>.</w:t>
      </w:r>
    </w:p>
    <w:p>
      <w:pPr>
        <w:pStyle w:val="Institutionquisigne"/>
        <w:rPr>
          <w:noProof/>
        </w:rPr>
      </w:pPr>
      <w:r>
        <w:rPr>
          <w:noProof/>
        </w:rPr>
        <w:tab/>
        <w:t>På Rådets vegne</w:t>
      </w:r>
    </w:p>
    <w:p>
      <w:pPr>
        <w:pStyle w:val="Personnequisigne"/>
        <w:rPr>
          <w:noProof/>
        </w:rPr>
      </w:pPr>
      <w:r>
        <w:rPr>
          <w:noProof/>
        </w:rPr>
        <w:tab/>
        <w:t>Formand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EFT L 305 af 30.11.1994, s. 6.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EFT L 305 af 30.11.1994, s. 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EFT L 1 af 3.1.1994, s. 3. </w:t>
      </w:r>
    </w:p>
  </w:footnote>
  <w:footnote w:id="4">
    <w:p>
      <w:pPr>
        <w:pStyle w:val="FootnoteText"/>
        <w:rPr>
          <w:lang w:eastAsia="de-DE"/>
        </w:rPr>
      </w:pPr>
      <w:r>
        <w:rPr>
          <w:rStyle w:val="FootnoteReference"/>
        </w:rPr>
        <w:footnoteRef/>
      </w:r>
      <w:r>
        <w:tab/>
        <w:t>Europa-Parlamentets og Rådets direktiv 2014/17/EU af 4. februar 2014 om forbrugerkreditaftaler i forbindelse med fast ejendom til beboelse og om ændring af direktiv 2008/48/EF og 2013/36/EU og forordning (EU) nr. 1093/2010 (EUT L 60 af 28.2.2014, s. 34).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760B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DF04A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0456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F8CC2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47A84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02A34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104BB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5344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51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RRIGENDUM" w:val="&lt;UNUSED&gt;"/>
    <w:docVar w:name="LW_COVERPAGE_EXISTS" w:val="True"/>
    <w:docVar w:name="LW_COVERPAGE_GUID" w:val="644C2041-57BD-4E46-9B3A-AC21A4795E9C"/>
    <w:docVar w:name="LW_COVERPAGE_TYPE" w:val="1"/>
    <w:docVar w:name="LW_CROSSREFERENCE" w:val="&lt;UNUSED&gt;"/>
    <w:docVar w:name="LW_DocType" w:val="COM"/>
    <w:docVar w:name="LW_EMISSION" w:val="31.1.2019"/>
    <w:docVar w:name="LW_EMISSION_ISODATE" w:val="2019-01-31"/>
    <w:docVar w:name="LW_EMISSION_LOCATION" w:val="BRX"/>
    <w:docVar w:name="LW_EMISSION_PREFIX" w:val="Bruxelles, den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EØS-relevant tekst)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3"/>
    <w:docVar w:name="LW_REF.II.NEW.CP_YEAR" w:val="2019"/>
    <w:docVar w:name="LW_REF.INST.NEW" w:val="COM"/>
    <w:docVar w:name="LW_REF.INST.NEW_ADOPTED" w:val="final"/>
    <w:docVar w:name="LW_REF.INST.NEW_TEXT" w:val="(2019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Forslag til"/>
    <w:docVar w:name="LW_SUPERTITRE" w:val="&lt;UNUSED&gt;"/>
    <w:docVar w:name="LW_TITRE.OBJ.CP" w:val="om den holdning, der skal indtages på Den Europæiske Unions vegne_x000b_i Det Blandede EØS-Udvalg vedrørende en ændring af bilag IX (Finansielle tjenesteydelser) og bilag XIX (Forbrugerbeskyttelse) til EØS-aftalen"/>
    <w:docVar w:name="LW_TYPE.DOC.CP" w:val="RÅDETS AFGØRE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1215</Words>
  <Characters>7588</Characters>
  <Application>Microsoft Office Word</Application>
  <DocSecurity>0</DocSecurity>
  <Lines>143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2019-01-15T11:48:00Z</dcterms:created>
  <dcterms:modified xsi:type="dcterms:W3CDTF">2019-01-28T12:51:00Z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