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E2FD6DE-7DCE-419B-A9B8-DA6ED225FC5F" style="width:450.75pt;height:409.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PASKAIDROJUMA RAKSTS</w:t>
      </w:r>
    </w:p>
    <w:p>
      <w:pPr>
        <w:pStyle w:val="ManualHeading1"/>
        <w:rPr>
          <w:noProof/>
        </w:rPr>
      </w:pPr>
      <w:r>
        <w:t>1.</w:t>
      </w:r>
      <w:r>
        <w:tab/>
      </w:r>
      <w:r>
        <w:rPr>
          <w:noProof/>
        </w:rPr>
        <w:t>PRIEKŠLIKUMA KONTEKSTS</w:t>
      </w:r>
    </w:p>
    <w:p>
      <w:pPr>
        <w:pStyle w:val="Point0"/>
        <w:rPr>
          <w:b/>
          <w:noProof/>
        </w:rPr>
      </w:pPr>
      <w:r>
        <w:rPr>
          <w:b/>
          <w:noProof/>
          <w:color w:val="000000"/>
          <w:u w:color="000000"/>
          <w:bdr w:val="nil"/>
        </w:rPr>
        <w:t>•</w:t>
      </w:r>
      <w:r>
        <w:rPr>
          <w:noProof/>
        </w:rPr>
        <w:tab/>
      </w:r>
      <w:r>
        <w:rPr>
          <w:b/>
          <w:noProof/>
        </w:rPr>
        <w:t>Priekšlikuma pamatojums un mērķi</w:t>
      </w:r>
    </w:p>
    <w:p>
      <w:pPr>
        <w:pBdr>
          <w:top w:val="nil"/>
          <w:left w:val="nil"/>
          <w:bottom w:val="nil"/>
          <w:right w:val="nil"/>
          <w:between w:val="nil"/>
          <w:bar w:val="nil"/>
        </w:pBdr>
        <w:spacing w:before="0" w:after="240"/>
        <w:rPr>
          <w:rFonts w:eastAsia="Arial Unicode MS"/>
          <w:noProof/>
        </w:rPr>
      </w:pPr>
      <w:r>
        <w:rPr>
          <w:noProof/>
        </w:rPr>
        <w:t>Ierosinātā Padomes lēmuma pielikumā pievienotā EEZ Apvienotās komitejas lēmuma projekta mērķis ir grozīt EEZ līguma IX pielikumu (Finanšu pakalpojumi) un XIX pielikumu (Patērētāju tiesību aizsardzība), lai iekļautu Eiropas Parlamenta un Padomes 2014. gada 4. februāra Direktīvu 2014/17/ES par patērētāju kredītlīgumiem saistībā ar mājokļa nekustamo īpašumu.</w:t>
      </w:r>
    </w:p>
    <w:p>
      <w:pPr>
        <w:pStyle w:val="Point0"/>
        <w:rPr>
          <w:b/>
          <w:noProof/>
          <w:color w:val="000000"/>
          <w:u w:color="000000"/>
          <w:bdr w:val="nil"/>
        </w:rPr>
      </w:pPr>
      <w:r>
        <w:rPr>
          <w:b/>
          <w:noProof/>
          <w:color w:val="000000"/>
          <w:u w:color="000000"/>
          <w:bdr w:val="nil"/>
        </w:rPr>
        <w:t>•</w:t>
      </w:r>
      <w:r>
        <w:rPr>
          <w:noProof/>
        </w:rPr>
        <w:tab/>
      </w:r>
      <w:r>
        <w:rPr>
          <w:b/>
          <w:noProof/>
          <w:color w:val="000000"/>
          <w:u w:color="000000"/>
          <w:bdr w:val="nil"/>
        </w:rPr>
        <w:t>Saskanība ar spēkā esošajiem noteikumiem konkrētajā politikas jomā</w:t>
      </w:r>
    </w:p>
    <w:p>
      <w:pPr>
        <w:pBdr>
          <w:top w:val="nil"/>
          <w:left w:val="nil"/>
          <w:bottom w:val="nil"/>
          <w:right w:val="nil"/>
          <w:between w:val="nil"/>
          <w:bar w:val="nil"/>
        </w:pBdr>
        <w:spacing w:before="0" w:after="240"/>
        <w:rPr>
          <w:noProof/>
        </w:rPr>
      </w:pPr>
      <w:r>
        <w:rPr>
          <w:noProof/>
        </w:rPr>
        <w:t xml:space="preserve">Pievienotajā Apvienotās komitejas lēmuma projektā jau spēkā esošā ES politika tiek paplašināta, to attiecinot arī uz EEZ EBTA valstīm (Norvēģiju, Islandi un Lihtenšteinu). </w:t>
      </w:r>
    </w:p>
    <w:p>
      <w:pPr>
        <w:pStyle w:val="Point0"/>
        <w:rPr>
          <w:b/>
          <w:noProof/>
          <w:color w:val="000000"/>
          <w:u w:color="000000"/>
          <w:bdr w:val="nil"/>
        </w:rPr>
      </w:pPr>
      <w:r>
        <w:rPr>
          <w:b/>
          <w:noProof/>
          <w:color w:val="000000"/>
          <w:u w:color="000000"/>
          <w:bdr w:val="nil"/>
        </w:rPr>
        <w:t>•</w:t>
      </w:r>
      <w:r>
        <w:rPr>
          <w:noProof/>
        </w:rPr>
        <w:tab/>
      </w:r>
      <w:r>
        <w:rPr>
          <w:b/>
          <w:noProof/>
          <w:color w:val="000000"/>
          <w:u w:color="000000"/>
          <w:bdr w:val="nil"/>
        </w:rPr>
        <w:t>Saskanība ar citām Savienības politikas jomām</w:t>
      </w:r>
    </w:p>
    <w:p>
      <w:pPr>
        <w:rPr>
          <w:noProof/>
        </w:rPr>
      </w:pPr>
      <w:r>
        <w:rPr>
          <w:noProof/>
        </w:rPr>
        <w:t xml:space="preserve">ES </w:t>
      </w:r>
      <w:r>
        <w:rPr>
          <w:i/>
          <w:noProof/>
        </w:rPr>
        <w:t>acquis</w:t>
      </w:r>
      <w:r>
        <w:rPr>
          <w:noProof/>
        </w:rPr>
        <w:t xml:space="preserve"> piemērošanas paplašināšana, iekļaujot to EEZ līgumā, lai attiecinātu to arī uz EEZ EBTA valstīm, tiek veikta saskaņā ar minētā līguma mērķiem un principiem, cenšoties izveidot dinamisku un viendabīgu Eiropas Ekonomikas zonu, kas balstās uz kopīgiem noteikumiem un vienādiem konkurences nosacījumiem. </w:t>
      </w:r>
    </w:p>
    <w:p>
      <w:pPr>
        <w:pStyle w:val="ManualHeading1"/>
        <w:rPr>
          <w:noProof/>
        </w:rPr>
      </w:pPr>
      <w:r>
        <w:t>2.</w:t>
      </w:r>
      <w:r>
        <w:tab/>
      </w:r>
      <w:r>
        <w:rPr>
          <w:noProof/>
        </w:rPr>
        <w:t>JURIDISKAIS PAMATS, SUBSIDIARITĀTE UN PROPORCIONALITĀTE</w:t>
      </w:r>
    </w:p>
    <w:p>
      <w:pPr>
        <w:pStyle w:val="Point0"/>
        <w:rPr>
          <w:b/>
          <w:noProof/>
          <w:color w:val="000000"/>
          <w:u w:color="000000"/>
          <w:bdr w:val="nil"/>
        </w:rPr>
      </w:pPr>
      <w:r>
        <w:rPr>
          <w:b/>
          <w:noProof/>
          <w:color w:val="000000"/>
          <w:u w:color="000000"/>
          <w:bdr w:val="nil"/>
        </w:rPr>
        <w:t>•</w:t>
      </w:r>
      <w:r>
        <w:rPr>
          <w:noProof/>
        </w:rPr>
        <w:tab/>
      </w:r>
      <w:r>
        <w:rPr>
          <w:b/>
          <w:noProof/>
          <w:color w:val="000000"/>
          <w:u w:color="000000"/>
          <w:bdr w:val="nil"/>
        </w:rPr>
        <w:t>Juridiskais pamats</w:t>
      </w:r>
    </w:p>
    <w:p>
      <w:pPr>
        <w:rPr>
          <w:noProof/>
        </w:rPr>
      </w:pPr>
      <w:r>
        <w:rPr>
          <w:noProof/>
        </w:rPr>
        <w:t>EEZ līgumā iekļaujamie tiesību akti ir balstīti uz Līguma par Eiropas Savienības darbību 114. pantu.</w:t>
      </w:r>
    </w:p>
    <w:p>
      <w:pPr>
        <w:rPr>
          <w:noProof/>
        </w:rPr>
      </w:pPr>
      <w:r>
        <w:rPr>
          <w:noProof/>
        </w:rPr>
        <w:t>Padomes Regulas (EK) Nr. 2894/94</w:t>
      </w:r>
      <w:r>
        <w:rPr>
          <w:rStyle w:val="FootnoteReference"/>
          <w:noProof/>
        </w:rPr>
        <w:footnoteReference w:id="1"/>
      </w:r>
      <w:r>
        <w:rPr>
          <w:noProof/>
        </w:rPr>
        <w:t xml:space="preserve"> par EEZ līguma īstenošanas kārtību 1. panta 3. punktā ir paredzēts, ka Padome pēc Komisijas priekšlikuma nosaka nostāju, kas par šādiem lēmumiem ir jāpieņem Savienības vārdā. </w:t>
      </w:r>
    </w:p>
    <w:p>
      <w:pPr>
        <w:rPr>
          <w:noProof/>
        </w:rPr>
      </w:pPr>
      <w:r>
        <w:rPr>
          <w:noProof/>
        </w:rPr>
        <w:t>Komisija sadarbībā ar EĀDD iesniedz EEZ Apvienotās komitejas lēmuma projektu, lai Padome to pieņemtu kā Savienības nostāju. Komisija cer pēc iespējas drīz iesniegt EEZ Apvienotajai komitejai minēto dokumentu.</w:t>
      </w:r>
    </w:p>
    <w:p>
      <w:pPr>
        <w:pStyle w:val="Point0"/>
        <w:rPr>
          <w:b/>
          <w:noProof/>
          <w:color w:val="000000"/>
          <w:u w:color="000000"/>
          <w:bdr w:val="nil"/>
        </w:rPr>
      </w:pPr>
      <w:r>
        <w:rPr>
          <w:b/>
          <w:noProof/>
          <w:color w:val="000000"/>
          <w:u w:color="000000"/>
          <w:bdr w:val="nil"/>
        </w:rPr>
        <w:t>•</w:t>
      </w:r>
      <w:r>
        <w:rPr>
          <w:noProof/>
        </w:rPr>
        <w:tab/>
      </w:r>
      <w:r>
        <w:rPr>
          <w:b/>
          <w:noProof/>
          <w:color w:val="000000"/>
          <w:u w:color="000000"/>
          <w:bdr w:val="nil"/>
        </w:rPr>
        <w:t xml:space="preserve">Subsidiaritāte (neekskluzīvas kompetences gadījumā) </w:t>
      </w:r>
    </w:p>
    <w:p>
      <w:pPr>
        <w:rPr>
          <w:noProof/>
        </w:rPr>
      </w:pPr>
      <w:r>
        <w:rPr>
          <w:noProof/>
        </w:rPr>
        <w:t xml:space="preserve">Priekšlikums ir saskaņā ar subsidiaritātes principu šāda iemesla dēļ. </w:t>
      </w:r>
    </w:p>
    <w:p>
      <w:pPr>
        <w:rPr>
          <w:noProof/>
        </w:rPr>
      </w:pPr>
      <w:r>
        <w:rPr>
          <w:noProof/>
        </w:rPr>
        <w:t xml:space="preserve">Šā priekšlikuma mērķi, proti, nodrošināt iekšējā tirgus viendabīgumu, nevar pietiekami labi sasniegt dalībvalstīs, tāpēc tā ietekmes dēļ to var labāk sasniegt Savienības līmenī. </w:t>
      </w:r>
    </w:p>
    <w:p>
      <w:pPr>
        <w:rPr>
          <w:noProof/>
        </w:rPr>
      </w:pPr>
      <w:r>
        <w:rPr>
          <w:noProof/>
        </w:rPr>
        <w:t xml:space="preserve">Process ES </w:t>
      </w:r>
      <w:r>
        <w:rPr>
          <w:i/>
          <w:noProof/>
        </w:rPr>
        <w:t>acquis</w:t>
      </w:r>
      <w:r>
        <w:rPr>
          <w:noProof/>
        </w:rPr>
        <w:t xml:space="preserve"> iekļaušanai EEZ līgumā tiek veikts saskaņā ar Padomes 1994. gada 28. novembra Regulu (EK) Nr. 2894/94 par Eiropas Ekonomikas zonas līguma īstenošanas kārtību, kas apstiprina šo pieeju. </w:t>
      </w:r>
    </w:p>
    <w:p>
      <w:pPr>
        <w:pStyle w:val="Point0"/>
        <w:rPr>
          <w:b/>
          <w:noProof/>
          <w:color w:val="000000"/>
          <w:u w:color="000000"/>
          <w:bdr w:val="nil"/>
        </w:rPr>
      </w:pPr>
      <w:r>
        <w:rPr>
          <w:b/>
          <w:noProof/>
          <w:color w:val="000000"/>
          <w:u w:color="000000"/>
          <w:bdr w:val="nil"/>
        </w:rPr>
        <w:t>•</w:t>
      </w:r>
      <w:r>
        <w:rPr>
          <w:noProof/>
        </w:rPr>
        <w:tab/>
      </w:r>
      <w:r>
        <w:rPr>
          <w:b/>
          <w:noProof/>
          <w:color w:val="000000"/>
          <w:u w:color="000000"/>
          <w:bdr w:val="nil"/>
        </w:rPr>
        <w:t>Proporcionalitāte</w:t>
      </w:r>
    </w:p>
    <w:p>
      <w:pPr>
        <w:rPr>
          <w:noProof/>
        </w:rPr>
      </w:pPr>
      <w:r>
        <w:rPr>
          <w:noProof/>
        </w:rPr>
        <w:t>Saskaņā ar proporcionalitātes principu šajā priekšlikumā paredz vienīgi tos pasākumus, kas ir vajadzīgi minētā mērķa sasniegšanai.</w:t>
      </w:r>
    </w:p>
    <w:p>
      <w:pPr>
        <w:pStyle w:val="Point0"/>
        <w:rPr>
          <w:b/>
          <w:noProof/>
          <w:color w:val="000000"/>
          <w:u w:color="000000"/>
          <w:bdr w:val="nil"/>
        </w:rPr>
      </w:pPr>
      <w:r>
        <w:rPr>
          <w:b/>
          <w:noProof/>
          <w:color w:val="000000"/>
          <w:u w:color="000000"/>
          <w:bdr w:val="nil"/>
        </w:rPr>
        <w:t>•</w:t>
      </w:r>
      <w:r>
        <w:rPr>
          <w:noProof/>
        </w:rPr>
        <w:tab/>
      </w:r>
      <w:r>
        <w:rPr>
          <w:b/>
          <w:noProof/>
          <w:color w:val="000000"/>
          <w:u w:color="000000"/>
          <w:bdr w:val="nil"/>
        </w:rPr>
        <w:t>Juridiskā instrumenta izvēle</w:t>
      </w:r>
    </w:p>
    <w:p>
      <w:pPr>
        <w:rPr>
          <w:noProof/>
        </w:rPr>
      </w:pPr>
      <w:r>
        <w:rPr>
          <w:noProof/>
        </w:rPr>
        <w:t xml:space="preserve">Saskaņā ar EEZ līguma 98. pantu izvēlētais juridiskais instruments ir EEZ Apvienotās komitejas lēmums. EEZ Apvienotā komiteja nodrošina EEZ līguma faktisko īstenošanu un darbību. Lai sasniegtu šo mērķi, tā pieņem lēmumus EEZ līgumā paredzētajos gadījumos. </w:t>
      </w:r>
    </w:p>
    <w:p>
      <w:pPr>
        <w:pStyle w:val="ManualHeading1"/>
        <w:rPr>
          <w:noProof/>
        </w:rPr>
      </w:pPr>
      <w:r>
        <w:t>3.</w:t>
      </w:r>
      <w:r>
        <w:tab/>
      </w:r>
      <w:r>
        <w:rPr>
          <w:i/>
          <w:noProof/>
        </w:rPr>
        <w:t>EX POST</w:t>
      </w:r>
      <w:r>
        <w:rPr>
          <w:noProof/>
        </w:rPr>
        <w:t xml:space="preserve"> NOVĒRTĒJUMU, APSPRIEŠANĀS AR IEINTERESĒTAJĀM PERSONĀM UN IETEKMES NOVĒRTĒJUMU REZULTĀTI</w:t>
      </w:r>
    </w:p>
    <w:p>
      <w:pPr>
        <w:rPr>
          <w:noProof/>
        </w:rPr>
      </w:pPr>
      <w:r>
        <w:rPr>
          <w:noProof/>
        </w:rPr>
        <w:t>Neattiecas.</w:t>
      </w:r>
    </w:p>
    <w:p>
      <w:pPr>
        <w:pStyle w:val="ManualHeading1"/>
        <w:rPr>
          <w:noProof/>
        </w:rPr>
      </w:pPr>
      <w:r>
        <w:t>4.</w:t>
      </w:r>
      <w:r>
        <w:tab/>
      </w:r>
      <w:r>
        <w:rPr>
          <w:noProof/>
        </w:rPr>
        <w:t>IETEKME UZ BUDŽETU</w:t>
      </w:r>
    </w:p>
    <w:p>
      <w:pPr>
        <w:rPr>
          <w:noProof/>
        </w:rPr>
      </w:pPr>
      <w:r>
        <w:rPr>
          <w:noProof/>
        </w:rPr>
        <w:t>Nav paredzams, ka Direktīvas 2014/17/ES iekļaušana EEZ līgumā ietekmēs budžetu.</w:t>
      </w:r>
    </w:p>
    <w:p>
      <w:pPr>
        <w:pStyle w:val="ManualHeading1"/>
        <w:rPr>
          <w:noProof/>
        </w:rPr>
      </w:pPr>
      <w:r>
        <w:t>5.</w:t>
      </w:r>
      <w:r>
        <w:tab/>
      </w:r>
      <w:r>
        <w:rPr>
          <w:noProof/>
        </w:rPr>
        <w:t>CITI JAUTĀJUMI</w:t>
      </w:r>
    </w:p>
    <w:p>
      <w:pPr>
        <w:rPr>
          <w:b/>
          <w:noProof/>
          <w:u w:val="single"/>
        </w:rPr>
      </w:pPr>
      <w:r>
        <w:rPr>
          <w:b/>
          <w:noProof/>
          <w:u w:val="single"/>
        </w:rPr>
        <w:t xml:space="preserve">Galvenie pielāgojumi, kurus pieprasa EBTA </w:t>
      </w:r>
    </w:p>
    <w:p>
      <w:pPr>
        <w:rPr>
          <w:noProof/>
        </w:rPr>
      </w:pPr>
      <w:r>
        <w:rPr>
          <w:noProof/>
        </w:rPr>
        <w:t>Pamatojums un ierosinātais risinājums</w:t>
      </w:r>
    </w:p>
    <w:p>
      <w:pPr>
        <w:rPr>
          <w:noProof/>
          <w:u w:val="single"/>
        </w:rPr>
      </w:pPr>
      <w:r>
        <w:rPr>
          <w:noProof/>
          <w:u w:val="single"/>
        </w:rPr>
        <w:t>Direktīvas 5. panta 3. punkta b) apakšpunkta pielāgojums — b) pielāgojums</w:t>
      </w:r>
    </w:p>
    <w:p>
      <w:pPr>
        <w:rPr>
          <w:noProof/>
        </w:rPr>
      </w:pPr>
      <w:r>
        <w:rPr>
          <w:noProof/>
        </w:rPr>
        <w:t>Eiropas Banku iestādes (EBI) un EBTA Uzraudzības iestādes pilnvaru sadales dēļ ir ieviests pielāgojums, kas paredz iekļaut EBTA Uzraudzības iestādi to iestāžu sarakstā, ar kurām sadarbojas valsts iestādes.</w:t>
      </w:r>
    </w:p>
    <w:p>
      <w:pPr>
        <w:rPr>
          <w:noProof/>
          <w:u w:val="single"/>
        </w:rPr>
      </w:pPr>
      <w:r>
        <w:rPr>
          <w:noProof/>
          <w:u w:val="single"/>
        </w:rPr>
        <w:t>Direktīvas 12. panta 3. punkta un 27. panta 3. punkta pielāgojums — c) pielāgojums</w:t>
      </w:r>
    </w:p>
    <w:p>
      <w:pPr>
        <w:rPr>
          <w:noProof/>
        </w:rPr>
      </w:pPr>
      <w:r>
        <w:rPr>
          <w:noProof/>
        </w:rPr>
        <w:t xml:space="preserve">Saskaņā ar EEZ līguma 7. pantu EEZ EBTA valstīm saistoši ir tikai tie tiesību akti, kas ir iekļauti EEZ līgumā. Konkrētus direktīvā noteiktos pienākumus tādējādi var piemērot tikai no dienas, kad stājas spēkā Apvienotās komitejas lēmums, ar kuru tos iekļauj EEZ līgumā. Ar c) pielāgojumu tiek nodrošināts, ka attiecīgi 12. panta 3. punkta un 27. panta 3. punkta piemērošanas diena ir diena, kad direktīva stājas spēkā EEZ valstīs. </w:t>
      </w:r>
    </w:p>
    <w:p>
      <w:pPr>
        <w:rPr>
          <w:noProof/>
        </w:rPr>
      </w:pPr>
      <w:r>
        <w:rPr>
          <w:noProof/>
          <w:u w:val="single"/>
        </w:rPr>
        <w:t>Direktīvas 14. panta 5. punkta pielāgojums — d) pielāgojums</w:t>
      </w:r>
    </w:p>
    <w:p>
      <w:pPr>
        <w:rPr>
          <w:noProof/>
        </w:rPr>
      </w:pPr>
      <w:r>
        <w:rPr>
          <w:noProof/>
        </w:rPr>
        <w:t xml:space="preserve">Saskaņā ar EEZ līguma 7. pantu EEZ EBTA valstīm saistoši ir tikai tie tiesību akti, kas ir iekļauti EEZ līgumā. Konkrētus direktīvā noteiktos pienākumus tādējādi var piemērot tikai no dienas, kad stājas spēkā Apvienotās komitejas lēmums, ar kuru tos iekļauj EEZ līgumā. Ar d) pielāgojumu tiek nodrošināta izpratne, ka pārejas periodi, kas attiecas uz valsts noteikumiem, kurus piemēro pirms direktīvas stāšanās spēkā, EEZ kontekstā tiek piemēroti attiecībā pret direktīvas stāšanos spēkā EEZ valstīs. </w:t>
      </w:r>
    </w:p>
    <w:p>
      <w:pPr>
        <w:rPr>
          <w:noProof/>
        </w:rPr>
      </w:pPr>
      <w:r>
        <w:rPr>
          <w:noProof/>
          <w:u w:val="single"/>
        </w:rPr>
        <w:t>Direktīvas 26. panta 2. punkta pielāgojums — e) pielāgojums</w:t>
      </w:r>
    </w:p>
    <w:p>
      <w:pPr>
        <w:rPr>
          <w:noProof/>
        </w:rPr>
      </w:pPr>
      <w:r>
        <w:rPr>
          <w:noProof/>
        </w:rPr>
        <w:t>Lihtenšteinas nodokļu administrācijas dati liecina, ka Lihtenšteinā ik gadu notiek tikai 50 līdz 100 darījumu ar nekustamo īpašumu. Lai iegūtu uzticamus un jēgpilnus statistikas rezultātus par mājokļa īpašuma tirgu, kā tas paredzēts direktīvas 26. panta 2. punktā, vajadzētu daudz vairāk darījumu ar nekustamo īpašumu.</w:t>
      </w:r>
    </w:p>
    <w:p>
      <w:pPr>
        <w:rPr>
          <w:noProof/>
        </w:rPr>
      </w:pPr>
      <w:r>
        <w:rPr>
          <w:noProof/>
        </w:rPr>
        <w:t>Šajā situācijā statistiskā pārraudzība būtu pretrunā šādiem Eiropas Statistikas prakses kodeksa principiem:</w:t>
      </w:r>
    </w:p>
    <w:p>
      <w:pPr>
        <w:pStyle w:val="Point0"/>
        <w:rPr>
          <w:noProof/>
        </w:rPr>
      </w:pPr>
      <w:r>
        <w:rPr>
          <w:noProof/>
        </w:rPr>
        <w:t>•</w:t>
      </w:r>
      <w:r>
        <w:rPr>
          <w:noProof/>
        </w:rPr>
        <w:tab/>
        <w:t>4. princips. Statistikas iestādes apņemas nodrošināt kvalitāti;</w:t>
      </w:r>
    </w:p>
    <w:p>
      <w:pPr>
        <w:pStyle w:val="Point0"/>
        <w:rPr>
          <w:noProof/>
        </w:rPr>
      </w:pPr>
      <w:r>
        <w:rPr>
          <w:noProof/>
        </w:rPr>
        <w:t>•</w:t>
      </w:r>
      <w:r>
        <w:rPr>
          <w:noProof/>
        </w:rPr>
        <w:tab/>
        <w:t>7. princips. Kvalitatīvas statistikas pamatā ir pamatota metodoloģija;</w:t>
      </w:r>
    </w:p>
    <w:p>
      <w:pPr>
        <w:pStyle w:val="Point0"/>
        <w:rPr>
          <w:noProof/>
        </w:rPr>
      </w:pPr>
      <w:r>
        <w:rPr>
          <w:noProof/>
        </w:rPr>
        <w:t>•</w:t>
      </w:r>
      <w:r>
        <w:rPr>
          <w:noProof/>
        </w:rPr>
        <w:tab/>
        <w:t>12. princips. Eiropas statistika precīzi un ticami atspoguļo realitāti.</w:t>
      </w:r>
    </w:p>
    <w:p>
      <w:pPr>
        <w:rPr>
          <w:noProof/>
        </w:rPr>
      </w:pPr>
      <w:r>
        <w:rPr>
          <w:noProof/>
        </w:rPr>
        <w:t xml:space="preserve">Tādējādi ar e) pielāgojumu Lihtenšteina tiek atbrīvota no pienākuma nodrošināt atbilstīgu mājokļa īpašuma tirgus statistisko pārraudzību tās teritorijā saskaņā ar direktīvas 26. panta 2. punktu. </w:t>
      </w:r>
    </w:p>
    <w:p>
      <w:pPr>
        <w:rPr>
          <w:noProof/>
        </w:rPr>
      </w:pPr>
      <w:r>
        <w:rPr>
          <w:noProof/>
          <w:u w:val="single"/>
        </w:rPr>
        <w:t>Direktīvas 34. panta 2. un 4 punkta un 37. panta pielāgojums — f) un g) pielāgojums</w:t>
      </w:r>
    </w:p>
    <w:p>
      <w:pPr>
        <w:rPr>
          <w:noProof/>
        </w:rPr>
      </w:pPr>
      <w:r>
        <w:rPr>
          <w:noProof/>
        </w:rPr>
        <w:t>Sistēmā, kas izveidota ar EEZ līguma IX pielikuma 31.g punktu, kompetence pieņemt lēmumus, kas ir saistoši EBTA pīlārā saskaņā ar EBI regulas 19. pantu, ir piešķirtas EBTA Uzraudzības iestādei, taču lielāko daļu no uzraudzības tehniskajiem aspektiem attiecībā uz jautājumiem, kas skar EBTA valstis, veiks EBI. EBI būs arī kompetenta darboties kā vidutājs, kura lēmumi nav saistoši, saskaņā ar EBI regulas 19. panta 2. punktu.</w:t>
      </w:r>
    </w:p>
    <w:p>
      <w:pPr>
        <w:rPr>
          <w:noProof/>
        </w:rPr>
      </w:pPr>
      <w:r>
        <w:rPr>
          <w:noProof/>
        </w:rPr>
        <w:t xml:space="preserve">Ar f) un g) pielāgojumu tiek precizēts, ka atsauces uz EBI pilnvarām, kas noteiktas EBI regulas 19. pantā, attiecīgi direktīvas 34. panta 2. un 4. punktā un 37. pantā būtu jāsaprot kā atsauces EBTA Uzraudzības iestādes pilnvarām. </w:t>
      </w:r>
    </w:p>
    <w:p>
      <w:pPr>
        <w:rPr>
          <w:noProof/>
        </w:rPr>
      </w:pPr>
      <w:r>
        <w:rPr>
          <w:noProof/>
          <w:u w:val="single"/>
        </w:rPr>
        <w:t>Direktīvas 43. panta pielāgojums — h) pielāgojums</w:t>
      </w:r>
    </w:p>
    <w:p>
      <w:pPr>
        <w:rPr>
          <w:noProof/>
        </w:rPr>
      </w:pPr>
      <w:r>
        <w:rPr>
          <w:noProof/>
        </w:rPr>
        <w:t xml:space="preserve">Saskaņā ar EEZ līguma 7. pantu EEZ EBTA valstīm saistoši ir tikai tie tiesību akti, kas ir iekļauti EEZ līgumā. Konkrētus direktīvā noteiktos pienākumus tādējādi var piemērot tikai no dienas, kad stājas spēkā Apvienotās komitejas lēmums, ar kuru tos iekļauj EEZ līgumā. Ar h) pielāgojumu tiek nodrošināta izpratne, ka direktīvas 43. pantā noteiktie pārejas periodi EEZ kontekstā tiek piemēroti attiecībā pret direktīvas stāšanos spēkā EEZ valstīs. </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2019/0023 (NLE)</w:t>
      </w:r>
    </w:p>
    <w:p>
      <w:pPr>
        <w:pStyle w:val="Statut"/>
        <w:rPr>
          <w:noProof/>
        </w:rPr>
      </w:pPr>
      <w:r>
        <w:rPr>
          <w:noProof/>
        </w:rPr>
        <w:t>Priekšlikums</w:t>
      </w:r>
    </w:p>
    <w:p>
      <w:pPr>
        <w:pStyle w:val="Typedudocument"/>
        <w:rPr>
          <w:noProof/>
        </w:rPr>
      </w:pPr>
      <w:r>
        <w:rPr>
          <w:noProof/>
        </w:rPr>
        <w:t>PADOMES LĒMUMS</w:t>
      </w:r>
    </w:p>
    <w:p>
      <w:pPr>
        <w:pStyle w:val="Titreobjet"/>
        <w:rPr>
          <w:noProof/>
        </w:rPr>
      </w:pPr>
      <w:r>
        <w:rPr>
          <w:noProof/>
        </w:rPr>
        <w:t>par nostāju, kas Eiropas Savienības vārdā jāpieņem</w:t>
      </w:r>
      <w:r>
        <w:rPr>
          <w:noProof/>
        </w:rPr>
        <w:br/>
        <w:t>EEZ Apvienotajā komitejā attiecībā uz grozījumiem EEZ līguma IX pielikumā (Finanšu pakalpojumi) un XIX pielikumā (Patērētāju tiesību aizsardzība)</w:t>
      </w:r>
    </w:p>
    <w:p>
      <w:pPr>
        <w:pStyle w:val="IntrtEEE"/>
        <w:rPr>
          <w:noProof/>
        </w:rPr>
      </w:pPr>
      <w:r>
        <w:rPr>
          <w:noProof/>
        </w:rPr>
        <w:t>(Dokuments attiecas uz EEZ)</w:t>
      </w:r>
    </w:p>
    <w:p>
      <w:pPr>
        <w:pStyle w:val="Institutionquiagit"/>
        <w:rPr>
          <w:noProof/>
        </w:rPr>
      </w:pPr>
      <w:r>
        <w:rPr>
          <w:noProof/>
        </w:rPr>
        <w:t>EIROPAS SAVIENĪBAS PADOME,</w:t>
      </w:r>
    </w:p>
    <w:p>
      <w:pPr>
        <w:rPr>
          <w:noProof/>
        </w:rPr>
      </w:pPr>
      <w:r>
        <w:rPr>
          <w:noProof/>
        </w:rPr>
        <w:t>ņemot vērā Līgumu par Eiropas Savienības darbību un jo īpaši tā 114. pantu saistībā ar 218. panta 9. punktu,</w:t>
      </w:r>
    </w:p>
    <w:p>
      <w:pPr>
        <w:rPr>
          <w:noProof/>
        </w:rPr>
      </w:pPr>
      <w:r>
        <w:rPr>
          <w:noProof/>
        </w:rPr>
        <w:t>ņemot vērā Padomes Regulu (EK) Nr. 2894/94 (1994. gada 28. novembris) par Eiropas Ekonomikas zonas līguma īstenošanas kārtību</w:t>
      </w:r>
      <w:r>
        <w:rPr>
          <w:rStyle w:val="FootnoteReference"/>
          <w:noProof/>
        </w:rPr>
        <w:footnoteReference w:id="2"/>
      </w:r>
      <w:r>
        <w:rPr>
          <w:noProof/>
        </w:rPr>
        <w:t xml:space="preserve"> un jo īpaši tās 1. panta 3. punktu,</w:t>
      </w:r>
    </w:p>
    <w:p>
      <w:pPr>
        <w:rPr>
          <w:noProof/>
        </w:rPr>
      </w:pPr>
      <w:r>
        <w:rPr>
          <w:noProof/>
        </w:rPr>
        <w:t>ņemot vērā Eiropas Komisijas priekšlikumu,</w:t>
      </w:r>
    </w:p>
    <w:p>
      <w:pPr>
        <w:rPr>
          <w:noProof/>
        </w:rPr>
      </w:pPr>
      <w:r>
        <w:rPr>
          <w:noProof/>
        </w:rPr>
        <w:t>tā kā:</w:t>
      </w:r>
    </w:p>
    <w:p>
      <w:pPr>
        <w:pStyle w:val="ManualConsidrant"/>
        <w:rPr>
          <w:noProof/>
        </w:rPr>
      </w:pPr>
      <w:r>
        <w:t>(1)</w:t>
      </w:r>
      <w:r>
        <w:tab/>
      </w:r>
      <w:r>
        <w:rPr>
          <w:noProof/>
        </w:rPr>
        <w:t>Līgums par Eiropas Ekonomikas zonu</w:t>
      </w:r>
      <w:r>
        <w:rPr>
          <w:rStyle w:val="FootnoteReference"/>
          <w:noProof/>
        </w:rPr>
        <w:footnoteReference w:id="3"/>
      </w:r>
      <w:r>
        <w:rPr>
          <w:noProof/>
        </w:rPr>
        <w:t xml:space="preserve"> (“EEZ līgums”) stājās spēkā 1994. gada 1. janvārī.</w:t>
      </w:r>
    </w:p>
    <w:p>
      <w:pPr>
        <w:pStyle w:val="ManualConsidrant"/>
        <w:rPr>
          <w:noProof/>
        </w:rPr>
      </w:pPr>
      <w:r>
        <w:t>(2)</w:t>
      </w:r>
      <w:r>
        <w:tab/>
      </w:r>
      <w:r>
        <w:rPr>
          <w:noProof/>
        </w:rPr>
        <w:t>Saskaņā ar EEZ līguma 98. pantu EEZ Apvienotā komiteja var nolemt citstarp grozīt EEZ līguma IX pielikumu (Finanšu pakalpojumi) un XIX pielikumu (Patērētāju tiesību aizsardzība).</w:t>
      </w:r>
    </w:p>
    <w:p>
      <w:pPr>
        <w:pStyle w:val="ManualConsidrant"/>
        <w:rPr>
          <w:noProof/>
        </w:rPr>
      </w:pPr>
      <w:r>
        <w:t>(3)</w:t>
      </w:r>
      <w:r>
        <w:tab/>
      </w:r>
      <w:r>
        <w:rPr>
          <w:noProof/>
        </w:rPr>
        <w:t>EEZ līgumā ir jāiekļauj Eiropas Parlamenta un Padomes Direktīva 2014/17/ES</w:t>
      </w:r>
      <w:r>
        <w:rPr>
          <w:rStyle w:val="FootnoteReference"/>
          <w:noProof/>
        </w:rPr>
        <w:footnoteReference w:id="4"/>
      </w:r>
      <w:r>
        <w:rPr>
          <w:noProof/>
        </w:rPr>
        <w:t>.</w:t>
      </w:r>
    </w:p>
    <w:p>
      <w:pPr>
        <w:pStyle w:val="ManualConsidrant"/>
        <w:rPr>
          <w:noProof/>
        </w:rPr>
      </w:pPr>
      <w:r>
        <w:t>(4)</w:t>
      </w:r>
      <w:r>
        <w:tab/>
      </w:r>
      <w:r>
        <w:rPr>
          <w:noProof/>
        </w:rPr>
        <w:t xml:space="preserve">Tādēļ būtu attiecīgi jāgroza EEZ līguma IX pielikums (Finanšu pakalpojumi) un XIX pielikums (Patērētāju tiesību aizsardzība). </w:t>
      </w:r>
    </w:p>
    <w:p>
      <w:pPr>
        <w:pStyle w:val="ManualConsidrant"/>
        <w:rPr>
          <w:noProof/>
        </w:rPr>
      </w:pPr>
      <w:r>
        <w:t>(5)</w:t>
      </w:r>
      <w:r>
        <w:tab/>
      </w:r>
      <w:r>
        <w:rPr>
          <w:noProof/>
        </w:rPr>
        <w:t>Tādēļ nostājai, ko Savienība pieņem EEZ Apvienotajā komitejā, pamatā vajadzētu būt pievienotajam lēmuma projektam,</w:t>
      </w:r>
    </w:p>
    <w:p>
      <w:pPr>
        <w:pStyle w:val="Formuledadoption"/>
        <w:rPr>
          <w:noProof/>
        </w:rPr>
      </w:pPr>
      <w:r>
        <w:rPr>
          <w:noProof/>
        </w:rPr>
        <w:t xml:space="preserve">IR PIEŅĒMUSI ŠO LĒMUMU. </w:t>
      </w:r>
    </w:p>
    <w:p>
      <w:pPr>
        <w:pStyle w:val="Titrearticle"/>
        <w:rPr>
          <w:noProof/>
        </w:rPr>
      </w:pPr>
      <w:r>
        <w:rPr>
          <w:noProof/>
        </w:rPr>
        <w:t>1. pants</w:t>
      </w:r>
    </w:p>
    <w:p>
      <w:pPr>
        <w:rPr>
          <w:noProof/>
        </w:rPr>
      </w:pPr>
      <w:r>
        <w:rPr>
          <w:noProof/>
        </w:rPr>
        <w:t>Nostājai, kas Savienības vārdā jāpieņem EEZ Apvienotajā komitejā par ierosinātajiem grozījumiem EEZ līguma IX pielikumā (Finanšu pakalpojumi) un XIX pielikumā (Patērētāju tiesību aizsardzība), pamatā ir EEZ Apvienotās komitejas lēmuma projekts, kas pievienots šim lēmumam.</w:t>
      </w:r>
    </w:p>
    <w:p>
      <w:pPr>
        <w:pStyle w:val="Titrearticle"/>
        <w:rPr>
          <w:noProof/>
        </w:rPr>
      </w:pPr>
      <w:r>
        <w:rPr>
          <w:noProof/>
        </w:rPr>
        <w:t>2. pants</w:t>
      </w:r>
    </w:p>
    <w:p>
      <w:pPr>
        <w:keepLines/>
        <w:rPr>
          <w:noProof/>
        </w:rPr>
      </w:pPr>
      <w:r>
        <w:rPr>
          <w:noProof/>
        </w:rPr>
        <w:t>Šis lēmums stājas spēkā tā pieņemšanas dienā.</w:t>
      </w: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iCs/>
          <w:lang w:val="nn-NO"/>
        </w:rPr>
      </w:pPr>
      <w:r>
        <w:rPr>
          <w:rStyle w:val="FootnoteReference"/>
        </w:rPr>
        <w:footnoteRef/>
      </w:r>
      <w:r>
        <w:rPr>
          <w:lang w:val="nn-NO"/>
        </w:rPr>
        <w:tab/>
        <w:t>OV L 305, 30.11.1994., 6.–8. lpp.</w:t>
      </w:r>
    </w:p>
  </w:footnote>
  <w:footnote w:id="2">
    <w:p>
      <w:pPr>
        <w:pStyle w:val="FootnoteText"/>
        <w:rPr>
          <w:lang w:val="nn-NO"/>
        </w:rPr>
      </w:pPr>
      <w:r>
        <w:rPr>
          <w:rStyle w:val="FootnoteReference"/>
        </w:rPr>
        <w:footnoteRef/>
      </w:r>
      <w:r>
        <w:rPr>
          <w:lang w:val="nn-NO"/>
        </w:rPr>
        <w:tab/>
        <w:t>OV L 305, 30.11.1994., 6. lpp.</w:t>
      </w:r>
    </w:p>
  </w:footnote>
  <w:footnote w:id="3">
    <w:p>
      <w:pPr>
        <w:pStyle w:val="FootnoteText"/>
        <w:rPr>
          <w:lang w:val="nn-NO"/>
        </w:rPr>
      </w:pPr>
      <w:r>
        <w:rPr>
          <w:rStyle w:val="FootnoteReference"/>
        </w:rPr>
        <w:footnoteRef/>
      </w:r>
      <w:r>
        <w:rPr>
          <w:lang w:val="nn-NO"/>
        </w:rPr>
        <w:tab/>
        <w:t xml:space="preserve">OV L 1, 3.1.1994., 3. lpp. </w:t>
      </w:r>
    </w:p>
  </w:footnote>
  <w:footnote w:id="4">
    <w:p>
      <w:pPr>
        <w:pStyle w:val="FootnoteText"/>
        <w:rPr>
          <w:lang w:val="nn-NO" w:eastAsia="de-DE"/>
        </w:rPr>
      </w:pPr>
      <w:r>
        <w:rPr>
          <w:rStyle w:val="FootnoteReference"/>
        </w:rPr>
        <w:footnoteRef/>
      </w:r>
      <w:r>
        <w:rPr>
          <w:lang w:val="nn-NO"/>
        </w:rPr>
        <w:tab/>
        <w:t>Eiropas Parlamenta un Padomes Direktīvu 2014/17/ES (2014. gada 4. februāris) par patērētāju kredītlīgumiem saistībā ar mājokļa nekustamo īpašumu un ar ko groza Direktīvas 2008/48/EK un 2013/36/ES un Regulu (ES) Nr. 1093/2010 (OV L 60, 28.2.2014., 34.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760B0D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DF04AE6"/>
    <w:lvl w:ilvl="0">
      <w:start w:val="1"/>
      <w:numFmt w:val="decimal"/>
      <w:pStyle w:val="ListNumber3"/>
      <w:lvlText w:val="%1."/>
      <w:lvlJc w:val="left"/>
      <w:pPr>
        <w:tabs>
          <w:tab w:val="num" w:pos="926"/>
        </w:tabs>
        <w:ind w:left="926" w:hanging="360"/>
      </w:pPr>
    </w:lvl>
  </w:abstractNum>
  <w:abstractNum w:abstractNumId="2">
    <w:nsid w:val="FFFFFF7F"/>
    <w:multiLevelType w:val="singleLevel"/>
    <w:tmpl w:val="1A0456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F8CC29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47A840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02A34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104BB7E"/>
    <w:lvl w:ilvl="0">
      <w:start w:val="1"/>
      <w:numFmt w:val="decimal"/>
      <w:pStyle w:val="ListNumber"/>
      <w:lvlText w:val="%1."/>
      <w:lvlJc w:val="left"/>
      <w:pPr>
        <w:tabs>
          <w:tab w:val="num" w:pos="360"/>
        </w:tabs>
        <w:ind w:left="360" w:hanging="360"/>
      </w:pPr>
    </w:lvl>
  </w:abstractNum>
  <w:abstractNum w:abstractNumId="7">
    <w:nsid w:val="FFFFFF89"/>
    <w:multiLevelType w:val="singleLevel"/>
    <w:tmpl w:val="A53447D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8 14:02:2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E2FD6DE-7DCE-419B-A9B8-DA6ED225FC5F"/>
    <w:docVar w:name="LW_COVERPAGE_TYPE" w:val="1"/>
    <w:docVar w:name="LW_CROSSREFERENCE" w:val="&lt;UNUSED&gt;"/>
    <w:docVar w:name="LW_DocType" w:val="COM"/>
    <w:docVar w:name="LW_EMISSION" w:val="31.1.2019"/>
    <w:docVar w:name="LW_EMISSION_ISODATE" w:val="2019-01-31"/>
    <w:docVar w:name="LW_EMISSION_LOCATION" w:val="BRX"/>
    <w:docVar w:name="LW_EMISSION_PREFIX" w:val="Briselē, "/>
    <w:docVar w:name="LW_EMISSION_SUFFIX" w:val="."/>
    <w:docVar w:name="LW_ID_DOCMODEL" w:val="SJ-019"/>
    <w:docVar w:name="LW_ID_DOCSIGNATURE" w:val="SJ-019"/>
    <w:docVar w:name="LW_ID_DOCSTRUCTURE" w:val="COM/PL/ORG"/>
    <w:docVar w:name="LW_ID_DOCTYPE" w:val="SJ-019"/>
    <w:docVar w:name="LW_ID_EXP.MOTIFS.NEW" w:val="EM_PL_"/>
    <w:docVar w:name="LW_ID_STATUT" w:val="SJ-019"/>
    <w:docVar w:name="LW_INTERETEEE.CP" w:val="(Dokuments attiecas uz EEZ)"/>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023"/>
    <w:docVar w:name="LW_REF.II.NEW.CP_YEAR" w:val="2019"/>
    <w:docVar w:name="LW_REF.INST.NEW" w:val="COM"/>
    <w:docVar w:name="LW_REF.INST.NEW_ADOPTED" w:val="final"/>
    <w:docVar w:name="LW_REF.INST.NEW_TEXT" w:val="(2019) 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par nost\u257?ju, kas Eiropas Savien\u299?bas v\u257?rd\u257? j\u257?pie\u326?em_x000b_EEZ Apvienotaj\u257? komitej\u257? attiec\u299?b\u257? uz groz\u299?jumiem EEZ l\u299?guma IX pielikum\u257? (Finan\u353?u pakalpojumi) un XIX pielikum\u257? (Pat\u275?r\u275?t\u257?ju ties\u299?bu aizsardz\u299?ba)"/>
    <w:docVar w:name="LW_TYPE.DOC.CP" w:val="PADOMES L\u274?M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6</Pages>
  <Words>1108</Words>
  <Characters>6917</Characters>
  <Application>Microsoft Office Word</Application>
  <DocSecurity>0</DocSecurity>
  <Lines>133</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2019-01-15T12:34:00Z</dcterms:created>
  <dcterms:modified xsi:type="dcterms:W3CDTF">2019-01-28T13:02:00Z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