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DD0AEB26-F832-48F0-898E-C0F1BE737D6C" style="width:451pt;height:396.8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PRILOG </w:t>
      </w:r>
    </w:p>
    <w:p>
      <w:pPr>
        <w:pStyle w:val="Typedudocument"/>
        <w:rPr>
          <w:noProof/>
        </w:rPr>
      </w:pPr>
      <w:r>
        <w:rPr>
          <w:noProof/>
        </w:rPr>
        <w:t xml:space="preserve">ODLUCI ZAJEDNIČKOG ODBORA EGP-a </w:t>
      </w:r>
      <w:r>
        <w:rPr>
          <w:noProof/>
        </w:rPr>
        <w:br/>
        <w:t xml:space="preserve">br. </w:t>
      </w:r>
    </w:p>
    <w:p>
      <w:pPr>
        <w:pStyle w:val="Datedadoption"/>
        <w:rPr>
          <w:noProof/>
        </w:rPr>
      </w:pPr>
      <w:r>
        <w:rPr>
          <w:noProof/>
        </w:rPr>
        <w:t xml:space="preserve">оd </w:t>
      </w:r>
    </w:p>
    <w:p>
      <w:pPr>
        <w:pStyle w:val="Titreobjet"/>
        <w:rPr>
          <w:noProof/>
        </w:rPr>
      </w:pPr>
      <w:r>
        <w:rPr>
          <w:noProof/>
        </w:rPr>
        <w:t>o izmjeni Priloga IX. (Financijske usluge) i Priloga XIX. (Zaštita potrošača) Sporazumu o EGP-u</w:t>
      </w:r>
    </w:p>
    <w:p>
      <w:pPr>
        <w:pStyle w:val="Institutionquiagit"/>
        <w:rPr>
          <w:noProof/>
        </w:rPr>
      </w:pPr>
      <w:r>
        <w:rPr>
          <w:noProof/>
        </w:rPr>
        <w:t>ZAJEDNIČKI ODBOR EGP-a,</w:t>
      </w:r>
    </w:p>
    <w:p>
      <w:pPr>
        <w:rPr>
          <w:noProof/>
        </w:rPr>
      </w:pPr>
      <w:r>
        <w:rPr>
          <w:noProof/>
        </w:rPr>
        <w:t>uzimajući u obzir Sporazum o Europskom gospodarskom prostoru („Sporazum o EGP-u”), a posebno njegov članak 98.,</w:t>
      </w:r>
    </w:p>
    <w:p>
      <w:pPr>
        <w:rPr>
          <w:noProof/>
        </w:rPr>
      </w:pPr>
      <w:r>
        <w:rPr>
          <w:noProof/>
        </w:rPr>
        <w:t>budući da: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Direktiva 2014/17/ЕU Europskog parlamenta i Vijeća od 4. veljače 2014. o ugovorima o potrošačkim kreditima koji se odnose na stambene nekretnine i o izmjeni direktiva 2008/48/EZ i 2013/36/EU i Uredbe (EU) br. 1093/2010</w:t>
      </w:r>
      <w:r>
        <w:rPr>
          <w:rStyle w:val="FootnoteReference"/>
          <w:noProof/>
        </w:rPr>
        <w:footnoteReference w:id="1"/>
      </w:r>
      <w:r>
        <w:rPr>
          <w:noProof/>
        </w:rPr>
        <w:t>, kako je ispravljena u SL L 246, 23.9.2015., str. 11., treba se uključiti u Sporazum o EGP-u.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Priloge IX. i XIX. Sporazumu o EGP-u trebalo bi stoga na odgovarajući način izmijeniti,</w:t>
      </w:r>
    </w:p>
    <w:p>
      <w:pPr>
        <w:pStyle w:val="Formuledadoption"/>
        <w:rPr>
          <w:noProof/>
        </w:rPr>
      </w:pPr>
      <w:r>
        <w:rPr>
          <w:noProof/>
        </w:rPr>
        <w:t>DONIO JE OVU ODLUKU:</w:t>
      </w:r>
    </w:p>
    <w:p>
      <w:pPr>
        <w:pStyle w:val="Titrearticle"/>
        <w:rPr>
          <w:noProof/>
        </w:rPr>
      </w:pPr>
      <w:r>
        <w:rPr>
          <w:noProof/>
        </w:rPr>
        <w:t>Članak 1.</w:t>
      </w:r>
    </w:p>
    <w:p>
      <w:pPr>
        <w:rPr>
          <w:noProof/>
        </w:rPr>
      </w:pPr>
      <w:r>
        <w:rPr>
          <w:noProof/>
        </w:rPr>
        <w:t>Prilog IX. Sporazumu o EGP-u mijenja se kako slijedi: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U točki 31.g (Uredba (EU) br. 1093/2010 Europskog parlamenta i Vijeća) dodaje se sljedeća alineja:</w:t>
      </w:r>
    </w:p>
    <w:p>
      <w:pPr>
        <w:pStyle w:val="Point1"/>
        <w:rPr>
          <w:noProof/>
        </w:rPr>
      </w:pPr>
      <w:r>
        <w:rPr>
          <w:noProof/>
        </w:rPr>
        <w:t>„—</w:t>
      </w:r>
      <w:r>
        <w:rPr>
          <w:noProof/>
        </w:rPr>
        <w:tab/>
      </w:r>
      <w:r>
        <w:rPr>
          <w:b/>
          <w:noProof/>
        </w:rPr>
        <w:t>32014 L 0017</w:t>
      </w:r>
      <w:r>
        <w:rPr>
          <w:noProof/>
        </w:rPr>
        <w:t>: Direktivom 2014/17/EU Europskog parlamenta i Vijeća od 4. veljače 2014. (SL L 60, 28.2.2014., str. 34.), kako je ispravljena u SL L 246, 23.9.2015., str. 11.”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Nakon točke 31.i (Uredba (EU) br. 1095/2010 Europskog parlamenta i Vijeća) umeće se sljedeća točka:</w:t>
      </w:r>
    </w:p>
    <w:p>
      <w:pPr>
        <w:pStyle w:val="Point1"/>
        <w:rPr>
          <w:noProof/>
        </w:rPr>
      </w:pPr>
      <w:r>
        <w:rPr>
          <w:noProof/>
        </w:rPr>
        <w:t>„31.j</w:t>
      </w:r>
      <w:r>
        <w:rPr>
          <w:noProof/>
        </w:rPr>
        <w:tab/>
      </w:r>
      <w:r>
        <w:rPr>
          <w:b/>
          <w:noProof/>
        </w:rPr>
        <w:t>32014 L 0017</w:t>
      </w:r>
      <w:r>
        <w:rPr>
          <w:noProof/>
        </w:rPr>
        <w:t>: Direktiva 2014/17/EU Europskog parlamenta i Vijeća od 4. veljače 2014. o ugovorima o potrošačkim kreditima koji se odnose na stambene nekretnine i o izmjeni direktiva 2008/48/EZ i 2013/36/EU i Uredbe (EU) br. 1093/2010 (SL L 60, 28.2.2014., str. 34.), kako je ispravljena u SL L 246, 23.9.2015., str. 11.</w:t>
      </w:r>
    </w:p>
    <w:p>
      <w:pPr>
        <w:pStyle w:val="Text2"/>
        <w:ind w:left="1418"/>
        <w:rPr>
          <w:noProof/>
        </w:rPr>
      </w:pPr>
      <w:r>
        <w:rPr>
          <w:noProof/>
        </w:rPr>
        <w:t>Za potrebe ovog Sporazuma odredbe Direktive sadržavaju sljedeće prilagodbe:</w:t>
      </w:r>
    </w:p>
    <w:p>
      <w:pPr>
        <w:pStyle w:val="Point2"/>
        <w:rPr>
          <w:noProof/>
        </w:rPr>
      </w:pPr>
      <w:r>
        <w:rPr>
          <w:noProof/>
        </w:rPr>
        <w:t>(a)</w:t>
      </w:r>
      <w:r>
        <w:rPr>
          <w:noProof/>
        </w:rPr>
        <w:tab/>
        <w:t>Neovisno o odredbama Protokola 1 uz ovaj Sporazum i osim ako je drukčije predviđeno ovim Sporazumom, izrazi „države članice” i „nadležna tijela” uključuju, osim značenja iz Direktive, države EFTA-e, odnosno njihova nadležna tijela.</w:t>
      </w:r>
    </w:p>
    <w:p>
      <w:pPr>
        <w:pStyle w:val="Point2"/>
        <w:rPr>
          <w:noProof/>
        </w:rPr>
      </w:pPr>
      <w:r>
        <w:rPr>
          <w:noProof/>
        </w:rPr>
        <w:t>(b)</w:t>
      </w:r>
      <w:r>
        <w:rPr>
          <w:noProof/>
        </w:rPr>
        <w:tab/>
        <w:t>U članku 5. stavku 3. točki (b) nakon riječi „Europskim nadzornim tijelom (Europskim nadzornim tijelom za bankarstvo) (EBA)” umeću se riječi „ili, ovisno o slučaju, Nadzornim tijelom EFTA-e”.</w:t>
      </w:r>
    </w:p>
    <w:p>
      <w:pPr>
        <w:pStyle w:val="Point2"/>
        <w:rPr>
          <w:noProof/>
        </w:rPr>
      </w:pPr>
      <w:r>
        <w:rPr>
          <w:noProof/>
        </w:rPr>
        <w:t>(c)</w:t>
      </w:r>
      <w:r>
        <w:rPr>
          <w:noProof/>
        </w:rPr>
        <w:tab/>
        <w:t>U članku 12. stavku 3. i članku 27. stavku 3., kad je riječ o državama EFTA-e, riječi „20. ožujka 2014.” glase „datuma stupanja na snagu Odluke Zajedničkog odbora EGP-a br. …/… od … [ova Odluka]”.</w:t>
      </w:r>
    </w:p>
    <w:p>
      <w:pPr>
        <w:pStyle w:val="Point2"/>
        <w:rPr>
          <w:noProof/>
        </w:rPr>
      </w:pPr>
      <w:r>
        <w:rPr>
          <w:noProof/>
        </w:rPr>
        <w:t>(d)</w:t>
      </w:r>
      <w:r>
        <w:rPr>
          <w:noProof/>
        </w:rPr>
        <w:tab/>
        <w:t>U članku 14. stavku 5., kad je riječ o državama EFTA-e, riječi „20. ožujka 2014.” glase „datuma stupanja na snagu Odluke Zajedničkog odbora EGP-a br. …/… od … [ova Odluka]”, a riječi „do 21. ožujka 2019.” glase „pet godina nakon toga”.</w:t>
      </w:r>
    </w:p>
    <w:p>
      <w:pPr>
        <w:pStyle w:val="Point2"/>
        <w:rPr>
          <w:noProof/>
        </w:rPr>
      </w:pPr>
      <w:r>
        <w:rPr>
          <w:noProof/>
        </w:rPr>
        <w:t>(e)</w:t>
      </w:r>
      <w:r>
        <w:rPr>
          <w:noProof/>
        </w:rPr>
        <w:tab/>
        <w:t>U članku 26. stavku 2. dodaje se sljedeći podstavak:</w:t>
      </w:r>
    </w:p>
    <w:p>
      <w:pPr>
        <w:pStyle w:val="Point2"/>
        <w:rPr>
          <w:noProof/>
        </w:rPr>
      </w:pPr>
      <w:r>
        <w:rPr>
          <w:noProof/>
        </w:rPr>
        <w:tab/>
        <w:t>„Lihtenštajn se izuzima iz statističkog praćenja propisanog člankom 26. stavkom 2.”</w:t>
      </w:r>
    </w:p>
    <w:p>
      <w:pPr>
        <w:pStyle w:val="Point2"/>
        <w:rPr>
          <w:noProof/>
        </w:rPr>
      </w:pPr>
      <w:r>
        <w:rPr>
          <w:noProof/>
        </w:rPr>
        <w:t>(f)</w:t>
      </w:r>
      <w:r>
        <w:rPr>
          <w:noProof/>
        </w:rPr>
        <w:tab/>
        <w:t>U članku 34. stavku 2. petom podstavku i stavku 4. točki (b) riječi „EBA može djelovati” zamjenjuju se riječima „EBA ili, ovisno o slučaju, Nadzorno tijelo EFTA-e može djelovati”.</w:t>
      </w:r>
    </w:p>
    <w:p>
      <w:pPr>
        <w:pStyle w:val="Point2"/>
        <w:rPr>
          <w:noProof/>
        </w:rPr>
      </w:pPr>
      <w:r>
        <w:rPr>
          <w:noProof/>
        </w:rPr>
        <w:t>(g)</w:t>
      </w:r>
      <w:r>
        <w:rPr>
          <w:noProof/>
        </w:rPr>
        <w:tab/>
        <w:t>U članku 37. riječi „EBA može postupati u skladu s ovlastima koje su joj dodijeljene na temelju tog članka i svaka obvezujuća odluka EBA-e” zamjenjuju se riječima „EBA ili, ovisno o slučaju, Nadzorno tijelo EFTA-e može postupati u skladu s ovlastima koje su mu dodijeljene na temelju tog članka i svaka obvezujuća odluka EBA-e ili, ovisno o slučaju, Nadzornog tijela EFTA-e”.</w:t>
      </w:r>
    </w:p>
    <w:p>
      <w:pPr>
        <w:pStyle w:val="Point2"/>
        <w:rPr>
          <w:noProof/>
        </w:rPr>
      </w:pPr>
      <w:r>
        <w:rPr>
          <w:noProof/>
        </w:rPr>
        <w:t>(h)</w:t>
      </w:r>
      <w:r>
        <w:rPr>
          <w:noProof/>
        </w:rPr>
        <w:tab/>
        <w:t>U članku 43., kad je riječ o državama EFTA-e, riječi „21. ožujka 2016.” i „20. ožujka 2014.” glase „datuma stupanja na snagu Odluke Zajedničkog odbora EGP-a br. …/… od … [ova Odluka]”, a riječi „21. ožujka 2017.” glase „godine dana nakon stupanja na snagu Odluke Zajedničkog odbora EGP-a br. …/… od … [ova Odluka]”.”</w:t>
      </w:r>
    </w:p>
    <w:p>
      <w:pPr>
        <w:pStyle w:val="Titrearticle"/>
        <w:rPr>
          <w:noProof/>
        </w:rPr>
      </w:pPr>
      <w:r>
        <w:rPr>
          <w:noProof/>
        </w:rPr>
        <w:t>Članak 2.</w:t>
      </w:r>
    </w:p>
    <w:p>
      <w:pPr>
        <w:rPr>
          <w:noProof/>
        </w:rPr>
      </w:pPr>
      <w:r>
        <w:rPr>
          <w:noProof/>
        </w:rPr>
        <w:t>U točki 7.h (Direktiva 2008/48/EZ Europskog parlamenta i Vijeća) Priloga XIX. Sporazumu o EGP-u dodaje se sljedeća alineja:</w:t>
      </w:r>
    </w:p>
    <w:p>
      <w:pPr>
        <w:pStyle w:val="Point0"/>
        <w:rPr>
          <w:noProof/>
        </w:rPr>
      </w:pPr>
      <w:r>
        <w:rPr>
          <w:noProof/>
        </w:rPr>
        <w:t>„—</w:t>
      </w:r>
      <w:r>
        <w:rPr>
          <w:noProof/>
        </w:rPr>
        <w:tab/>
      </w:r>
      <w:r>
        <w:rPr>
          <w:b/>
          <w:noProof/>
        </w:rPr>
        <w:t>32014 L 0017</w:t>
      </w:r>
      <w:r>
        <w:rPr>
          <w:noProof/>
        </w:rPr>
        <w:t>: Direktivom 2014/17/EU Europskog parlamenta i Vijeća od 4. veljače 2014. (SL L 60, 28.2.2014., str. 34.), kako je ispravljena u SL L 246, 23.9.2015., str. 11.”</w:t>
      </w:r>
    </w:p>
    <w:p>
      <w:pPr>
        <w:pStyle w:val="Titrearticle"/>
        <w:rPr>
          <w:noProof/>
        </w:rPr>
      </w:pPr>
      <w:r>
        <w:rPr>
          <w:noProof/>
        </w:rPr>
        <w:t>Članak 3.</w:t>
      </w:r>
    </w:p>
    <w:p>
      <w:pPr>
        <w:rPr>
          <w:noProof/>
        </w:rPr>
      </w:pPr>
      <w:r>
        <w:rPr>
          <w:noProof/>
        </w:rPr>
        <w:t xml:space="preserve">Vjerodostojni su tekstovi Direktive 2014/17/EU, kako su ispravljeni u SL L 246, 23.9.2015., str. 11., na islandskom i norveškom jeziku koji se objavljuju u Dodatku o EGP-u </w:t>
      </w:r>
      <w:r>
        <w:rPr>
          <w:i/>
          <w:noProof/>
        </w:rPr>
        <w:t>Službenom listu Europske unije</w:t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Članak 4.</w:t>
      </w:r>
    </w:p>
    <w:p>
      <w:pPr>
        <w:rPr>
          <w:noProof/>
        </w:rPr>
      </w:pPr>
      <w:r>
        <w:rPr>
          <w:noProof/>
        </w:rPr>
        <w:t>Ova Odluka stupa na snagu […], pod uvjetom da su podnesene sve obavijesti iz članka 103. stavka 1. Sporazuma o EGP-u</w:t>
      </w:r>
      <w:r>
        <w:rPr>
          <w:rStyle w:val="FootnoteReference"/>
          <w:noProof/>
        </w:rPr>
        <w:sym w:font="Symbol" w:char="F02A"/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footnoteReference w:customMarkFollows="1" w:id="2"/>
        <w:t>Članak 5.</w:t>
      </w:r>
    </w:p>
    <w:p>
      <w:pPr>
        <w:rPr>
          <w:noProof/>
        </w:rPr>
      </w:pPr>
      <w:r>
        <w:rPr>
          <w:noProof/>
        </w:rPr>
        <w:t xml:space="preserve">Ova se Odluka objavljuje u odjeljku o EGP-u </w:t>
      </w:r>
      <w:r>
        <w:rPr>
          <w:i/>
          <w:noProof/>
        </w:rPr>
        <w:t>Službenog lista Europske unije</w:t>
      </w:r>
      <w:r>
        <w:rPr>
          <w:noProof/>
        </w:rPr>
        <w:t xml:space="preserve"> i u Dodatku o EGP-u </w:t>
      </w:r>
      <w:r>
        <w:rPr>
          <w:i/>
          <w:noProof/>
        </w:rPr>
        <w:t>Službenom listu Europske unije</w:t>
      </w:r>
      <w:r>
        <w:rPr>
          <w:noProof/>
        </w:rPr>
        <w:t>.</w:t>
      </w:r>
    </w:p>
    <w:p>
      <w:pPr>
        <w:pStyle w:val="Fait"/>
        <w:rPr>
          <w:noProof/>
        </w:rPr>
      </w:pPr>
      <w:r>
        <w:rPr>
          <w:noProof/>
        </w:rPr>
        <w:t>Sastavljeno u Bruxellesu</w:t>
      </w:r>
    </w:p>
    <w:p>
      <w:pPr>
        <w:pStyle w:val="Institutionquisigne"/>
        <w:rPr>
          <w:noProof/>
        </w:rPr>
      </w:pPr>
      <w:r>
        <w:rPr>
          <w:noProof/>
        </w:rPr>
        <w:tab/>
        <w:t>Za Zajednički odbor EGP-a</w:t>
      </w:r>
    </w:p>
    <w:p>
      <w:pPr>
        <w:pStyle w:val="Personnequisigne"/>
        <w:rPr>
          <w:noProof/>
        </w:rPr>
      </w:pPr>
      <w:r>
        <w:rPr>
          <w:noProof/>
        </w:rPr>
        <w:tab/>
        <w:t>Predsjednik</w:t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tab/>
        <w:t>Tajnici</w:t>
      </w:r>
      <w:r>
        <w:rPr>
          <w:noProof/>
        </w:rPr>
        <w:br/>
      </w:r>
      <w:r>
        <w:rPr>
          <w:noProof/>
        </w:rPr>
        <w:tab/>
        <w:t>Zajedničkog odbora EGP-a</w:t>
      </w:r>
      <w:r>
        <w:rPr>
          <w:noProof/>
        </w:rPr>
        <w:br/>
      </w:r>
      <w:r>
        <w:rPr>
          <w:noProof/>
        </w:rPr>
        <w:tab/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SL L 60, 28.2.2014., str. 34.</w:t>
      </w:r>
    </w:p>
  </w:footnote>
  <w:footnote w:id="2">
    <w:p>
      <w:pPr>
        <w:pStyle w:val="FootnoteText"/>
      </w:pPr>
      <w:r>
        <w:rPr>
          <w:rStyle w:val="FootnoteReference"/>
        </w:rPr>
        <w:sym w:font="Symbol" w:char="F02A"/>
      </w:r>
      <w:r>
        <w:tab/>
        <w:t>[Ustavni zahtjevi nisu navedeni.] [Ustavni su zahtjevi navedeni.]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6C861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2DA43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ACD0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616C9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EB48F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E3AA7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A786E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4168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8 13:59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DD0AEB26-F832-48F0-898E-C0F1BE737D6C"/>
    <w:docVar w:name="LW_COVERPAGE_TYPE" w:val="1"/>
    <w:docVar w:name="LW_CROSSREFERENCE" w:val="&lt;UNUSED&gt;"/>
    <w:docVar w:name="LW_DocType" w:val="ANNEX"/>
    <w:docVar w:name="LW_EMISSION" w:val="31.1.2019."/>
    <w:docVar w:name="LW_EMISSION_ISODATE" w:val="2019-01-31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" w:val="o stajali\u353?tu koje treba zauzeti, u ime Europske unije,_x000b_u Zajedni\u269?kom odboru EGP-a o izmjeni Priloga IX. (Financijske usluge) i Priloga XIX. (Za\u353?tita potro\u353?a\u269?a) Sporazumu o EGP-u"/>
    <w:docVar w:name="LW_OBJETACTEPRINCIPAL.CP" w:val="o stajali\u353?tu koje treba zauzeti, u ime Europske unije,_x000b_u Zajedni\u269?kom odboru EGP-a o izmjeni Priloga IX. (Financijske usluge) i Priloga XIX. (Za\u353?tita potro\u353?a\u269?a) Sporazumu o EGP-u"/>
    <w:docVar w:name="LW_PART_NBR" w:val="1"/>
    <w:docVar w:name="LW_PART_NBR_TOTAL" w:val="1"/>
    <w:docVar w:name="LW_REF.INST.NEW" w:val="COM"/>
    <w:docVar w:name="LW_REF.INST.NEW_ADOPTED" w:val="final"/>
    <w:docVar w:name="LW_REF.INST.NEW_TEXT" w:val="(2019) 3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LOG"/>
    <w:docVar w:name="LW_TYPE.DOC.CP" w:val="PRILOG"/>
    <w:docVar w:name="LW_TYPEACTEPRINCIPAL" w:val="Prijedlogu odluke Vije\u263?a"/>
    <w:docVar w:name="LW_TYPEACTEPRINCIPAL.CP" w:val="Prijedlogu odluke Vije\u263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rFonts w:eastAsia="Times New Roman"/>
      <w:b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hr-HR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rFonts w:eastAsia="Times New Roman"/>
      <w:b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hr-HR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700</Words>
  <Characters>3663</Characters>
  <Application>Microsoft Office Word</Application>
  <DocSecurity>0</DocSecurity>
  <Lines>91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KARLOWSKI Mikolaj</dc:creator>
  <cp:lastModifiedBy>DIGIT/C6</cp:lastModifiedBy>
  <cp:revision>8</cp:revision>
  <dcterms:created xsi:type="dcterms:W3CDTF">2019-01-15T12:34:00Z</dcterms:created>
  <dcterms:modified xsi:type="dcterms:W3CDTF">2019-01-28T12:59:00Z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