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96E06EA-3C4C-4D98-B4C7-0C703A156F44"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PRIEDAS </w:t>
      </w:r>
    </w:p>
    <w:p>
      <w:pPr>
        <w:pStyle w:val="Typedudocument"/>
        <w:rPr>
          <w:noProof/>
        </w:rPr>
      </w:pPr>
      <w:r>
        <w:rPr>
          <w:noProof/>
        </w:rPr>
        <w:t xml:space="preserve">EEE JUNGTINIO KOMITETO SPRENDIMAS </w:t>
      </w:r>
      <w:r>
        <w:rPr>
          <w:noProof/>
        </w:rPr>
        <w:br/>
        <w:t xml:space="preserve">Nr. </w:t>
      </w:r>
    </w:p>
    <w:p>
      <w:pPr>
        <w:pStyle w:val="Datedadoption"/>
        <w:rPr>
          <w:noProof/>
        </w:rPr>
      </w:pPr>
      <w:r>
        <w:rPr>
          <w:noProof/>
        </w:rPr>
        <w:t>kuriuo</w:t>
      </w:r>
    </w:p>
    <w:p>
      <w:pPr>
        <w:pStyle w:val="Titreobjet"/>
        <w:rPr>
          <w:noProof/>
        </w:rPr>
      </w:pPr>
      <w:r>
        <w:rPr>
          <w:noProof/>
        </w:rPr>
        <w:t>iš dalies keičiamas EEE susitarimo IX priedas (Finansinės paslaugos) ir XIX priedas (Vartotojų apsauga)</w:t>
      </w:r>
    </w:p>
    <w:p>
      <w:pPr>
        <w:pStyle w:val="Institutionquiagit"/>
        <w:rPr>
          <w:noProof/>
        </w:rPr>
      </w:pPr>
      <w:r>
        <w:rPr>
          <w:noProof/>
        </w:rPr>
        <w:t>EEE JUNGTINIS KOMITETAS,</w:t>
      </w:r>
    </w:p>
    <w:p>
      <w:pPr>
        <w:rPr>
          <w:noProof/>
        </w:rPr>
      </w:pPr>
      <w:r>
        <w:rPr>
          <w:noProof/>
        </w:rPr>
        <w:t>atsižvelgdamas į Europos ekonominės erdvės susitarimą (toliau – EEE susitarimas), ypač į jo 98 straipsnį,</w:t>
      </w:r>
    </w:p>
    <w:p>
      <w:pPr>
        <w:rPr>
          <w:noProof/>
        </w:rPr>
      </w:pPr>
      <w:r>
        <w:rPr>
          <w:noProof/>
        </w:rPr>
        <w:t>kadangi:</w:t>
      </w:r>
    </w:p>
    <w:p>
      <w:pPr>
        <w:pStyle w:val="Considrant"/>
        <w:numPr>
          <w:ilvl w:val="0"/>
          <w:numId w:val="1"/>
        </w:numPr>
        <w:rPr>
          <w:noProof/>
        </w:rPr>
      </w:pPr>
      <w:r>
        <w:rPr>
          <w:noProof/>
        </w:rPr>
        <w:t>į EEE susitarimą turi būti įtraukta 2014 m. vasario 4 d. Europos Parlamento ir Tarybos direktyva 2014/17/ES dėl vartojimo kredito sutarčių dėl gyvenamosios paskirties nekilnojamojo turto, kuria iš dalies keičiamos direktyvos 2008/48/EB ir 2013/36/ES bei Reglamentas (ES) Nr. 1093/2010</w:t>
      </w:r>
      <w:r>
        <w:rPr>
          <w:rStyle w:val="FootnoteReference"/>
          <w:noProof/>
        </w:rPr>
        <w:footnoteReference w:id="1"/>
      </w:r>
      <w:r>
        <w:rPr>
          <w:noProof/>
        </w:rPr>
        <w:t>, su pakeitimais, padarytais OL L 246, 2015 9 23, p. 11);</w:t>
      </w:r>
    </w:p>
    <w:p>
      <w:pPr>
        <w:pStyle w:val="Considrant"/>
        <w:numPr>
          <w:ilvl w:val="0"/>
          <w:numId w:val="1"/>
        </w:numPr>
        <w:rPr>
          <w:noProof/>
        </w:rPr>
      </w:pPr>
      <w:r>
        <w:rPr>
          <w:noProof/>
        </w:rPr>
        <w:t>todėl EEE susitarimo IX ir XIX priedai turėtų būti atitinkamai iš dalies pakeisti,</w:t>
      </w:r>
    </w:p>
    <w:p>
      <w:pPr>
        <w:pStyle w:val="Formuledadoption"/>
        <w:rPr>
          <w:noProof/>
        </w:rPr>
      </w:pPr>
      <w:r>
        <w:rPr>
          <w:noProof/>
        </w:rPr>
        <w:t>PRIĖMĖ ŠĮ SPRENDIMĄ:</w:t>
      </w:r>
    </w:p>
    <w:p>
      <w:pPr>
        <w:pStyle w:val="Titrearticle"/>
        <w:rPr>
          <w:noProof/>
        </w:rPr>
      </w:pPr>
      <w:r>
        <w:rPr>
          <w:noProof/>
        </w:rPr>
        <w:t>1 straipsnis</w:t>
      </w:r>
    </w:p>
    <w:p>
      <w:pPr>
        <w:rPr>
          <w:noProof/>
        </w:rPr>
      </w:pPr>
      <w:r>
        <w:rPr>
          <w:noProof/>
        </w:rPr>
        <w:t>EEE susitarimo IX priedas iš dalies keičiamas taip:</w:t>
      </w:r>
    </w:p>
    <w:p>
      <w:pPr>
        <w:pStyle w:val="Point0"/>
        <w:rPr>
          <w:noProof/>
        </w:rPr>
      </w:pPr>
      <w:r>
        <w:rPr>
          <w:noProof/>
        </w:rPr>
        <w:t>1.</w:t>
      </w:r>
      <w:r>
        <w:rPr>
          <w:noProof/>
        </w:rPr>
        <w:tab/>
        <w:t>31g punktas (Europos Parlamento ir Tarybos reglamentas (ES) Nr. 1093/2010) papildomas šia įtrauka:</w:t>
      </w:r>
    </w:p>
    <w:p>
      <w:pPr>
        <w:pStyle w:val="Point1"/>
        <w:rPr>
          <w:noProof/>
        </w:rPr>
      </w:pPr>
      <w:r>
        <w:rPr>
          <w:noProof/>
        </w:rPr>
        <w:t>„-</w:t>
      </w:r>
      <w:r>
        <w:rPr>
          <w:noProof/>
        </w:rPr>
        <w:tab/>
      </w:r>
      <w:r>
        <w:rPr>
          <w:b/>
          <w:noProof/>
        </w:rPr>
        <w:t>32014 L 0017</w:t>
      </w:r>
      <w:r>
        <w:rPr>
          <w:noProof/>
        </w:rPr>
        <w:t>: 2014 m. vasario 4 d. Europos Parlamento ir Tarybos direktyva 2014/17/ES (OL L 60, 2014 2 28, p. 34) su pataisymais, padarytais OL L 246, 2015 9 23, p. 11.“</w:t>
      </w:r>
    </w:p>
    <w:p>
      <w:pPr>
        <w:pStyle w:val="Point0"/>
        <w:rPr>
          <w:noProof/>
        </w:rPr>
      </w:pPr>
      <w:r>
        <w:rPr>
          <w:noProof/>
        </w:rPr>
        <w:t>2.</w:t>
      </w:r>
      <w:r>
        <w:rPr>
          <w:noProof/>
        </w:rPr>
        <w:tab/>
        <w:t>Po 31i punkto (Europos Parlamento ir Tarybos reglamentas (ES) Nr. 1095/2010) įterpiamas šis punktas:</w:t>
      </w:r>
    </w:p>
    <w:p>
      <w:pPr>
        <w:pStyle w:val="Point1"/>
        <w:rPr>
          <w:noProof/>
        </w:rPr>
      </w:pPr>
      <w:r>
        <w:rPr>
          <w:noProof/>
        </w:rPr>
        <w:t>„31j</w:t>
      </w:r>
      <w:r>
        <w:rPr>
          <w:noProof/>
        </w:rPr>
        <w:tab/>
      </w:r>
      <w:r>
        <w:rPr>
          <w:b/>
          <w:noProof/>
        </w:rPr>
        <w:t>32014 L 0017</w:t>
      </w:r>
      <w:r>
        <w:rPr>
          <w:noProof/>
        </w:rPr>
        <w:t>: 2014 m. vasario 4 d. Europos Parlamento ir Tarybos direktyva 2014/17/ES dėl vartojimo kredito sutarčių dėl gyvenamosios paskirties nekilnojamojo turto, kuria iš dalies keičiamos direktyvos 2008/48/EB ir 2013/36/ES bei Reglamentas (ES) Nr. 1093/2010 (OL L 60, 2014 2 28, p. 34), su pataisymais, padarytais OL L 246, 2015 9 23, p. 11.</w:t>
      </w:r>
    </w:p>
    <w:p>
      <w:pPr>
        <w:pStyle w:val="Text2"/>
        <w:ind w:left="1418"/>
        <w:rPr>
          <w:noProof/>
        </w:rPr>
      </w:pPr>
      <w:r>
        <w:rPr>
          <w:noProof/>
        </w:rPr>
        <w:t>Direktyvos nuostatos šio susitarimo tikslais pritaikomos taip:</w:t>
      </w:r>
    </w:p>
    <w:p>
      <w:pPr>
        <w:pStyle w:val="Point2"/>
        <w:rPr>
          <w:noProof/>
        </w:rPr>
      </w:pPr>
      <w:r>
        <w:rPr>
          <w:noProof/>
        </w:rPr>
        <w:t>(a)</w:t>
      </w:r>
      <w:r>
        <w:rPr>
          <w:noProof/>
        </w:rPr>
        <w:tab/>
        <w:t>nepaisant šio susitarimo 1 protokolo ir jeigu šiame susitarime nenumatyta kitaip, sąvokos „valstybė (-ės) narė (-ės)“ ir „kompetentingos institucijos“, be jų reikšmės direktyvoje, reiškia ir atitinkamai ELPA valstybes, ir jų kompetentingas institucijas;</w:t>
      </w:r>
    </w:p>
    <w:p>
      <w:pPr>
        <w:pStyle w:val="Point2"/>
        <w:rPr>
          <w:noProof/>
        </w:rPr>
      </w:pPr>
      <w:r>
        <w:rPr>
          <w:noProof/>
        </w:rPr>
        <w:lastRenderedPageBreak/>
        <w:t>(b)</w:t>
      </w:r>
      <w:r>
        <w:rPr>
          <w:noProof/>
        </w:rPr>
        <w:tab/>
        <w:t>5 straipsnio 3 dalies b punkte po žodžiais „Europos priežiūros institucija (Europos bankininkystės institucija) (EBI)“ įterpiami žodžiai „arba tam tikrais atvejais ELPA priežiūros institucija“;</w:t>
      </w:r>
    </w:p>
    <w:p>
      <w:pPr>
        <w:pStyle w:val="Point2"/>
        <w:rPr>
          <w:noProof/>
        </w:rPr>
      </w:pPr>
      <w:r>
        <w:rPr>
          <w:noProof/>
        </w:rPr>
        <w:t>(c)</w:t>
      </w:r>
      <w:r>
        <w:rPr>
          <w:noProof/>
        </w:rPr>
        <w:tab/>
        <w:t>12 straipsnio 3 dalyje ir 27 straipsnio 3 dalyje, kalbant apie ELPA valstybes, žodžiai „2014 m. kovo 20 d.“ pakeičiami žodžiais „EEE jungtinio komiteto sprendimo Nr. …/… [šio sprendimo] įsigaliojimo dienos“;</w:t>
      </w:r>
    </w:p>
    <w:p>
      <w:pPr>
        <w:pStyle w:val="Point2"/>
        <w:rPr>
          <w:noProof/>
        </w:rPr>
      </w:pPr>
      <w:r>
        <w:rPr>
          <w:noProof/>
        </w:rPr>
        <w:t>(d)</w:t>
      </w:r>
      <w:r>
        <w:rPr>
          <w:noProof/>
        </w:rPr>
        <w:tab/>
        <w:t>14 straipsnio 5 dalyje, kalbant apie ELPA valstybes, žodžiai „2014 m. kovo 20 d.“ pakeičiami žodžiais „EEE jungtinio komiteto sprendimo Nr. …/… [šio sprendimo] įsigaliojimo dieną“, o žodžiai „iki 2019 m. kovo 21 d.“ pakeičiami žodžiais „vėliau penkerius metus“;</w:t>
      </w:r>
    </w:p>
    <w:p>
      <w:pPr>
        <w:pStyle w:val="Point2"/>
        <w:rPr>
          <w:noProof/>
        </w:rPr>
      </w:pPr>
      <w:r>
        <w:rPr>
          <w:noProof/>
        </w:rPr>
        <w:t>(e)</w:t>
      </w:r>
      <w:r>
        <w:rPr>
          <w:noProof/>
        </w:rPr>
        <w:tab/>
        <w:t>26 straipsnio 2 dalis papildoma šia pastraipa:</w:t>
      </w:r>
    </w:p>
    <w:p>
      <w:pPr>
        <w:pStyle w:val="Point2"/>
        <w:rPr>
          <w:noProof/>
        </w:rPr>
      </w:pPr>
      <w:r>
        <w:rPr>
          <w:noProof/>
        </w:rPr>
        <w:tab/>
        <w:t>„Lichtenšteinas atleidžiamas nuo įpareigojimo vykdyti statistinę stebėseną, nustatyto pagal 26 straipsnio 2 dalį.“;</w:t>
      </w:r>
    </w:p>
    <w:p>
      <w:pPr>
        <w:pStyle w:val="Point2"/>
        <w:rPr>
          <w:noProof/>
        </w:rPr>
      </w:pPr>
      <w:r>
        <w:rPr>
          <w:noProof/>
        </w:rPr>
        <w:t>(f)</w:t>
      </w:r>
      <w:r>
        <w:rPr>
          <w:noProof/>
        </w:rPr>
        <w:tab/>
        <w:t>34 straipsnio 2 dalies penktoje pastraipoje ir 4 dalies b punkte žodžiai „EBI gali imtis veiksmų“ pakeičiami žodžiais „EBI arba tam tikrais atvejais ELPA priežiūros institucija gali imtis veiksmų“;</w:t>
      </w:r>
    </w:p>
    <w:p>
      <w:pPr>
        <w:pStyle w:val="Point2"/>
        <w:rPr>
          <w:noProof/>
        </w:rPr>
      </w:pPr>
      <w:r>
        <w:rPr>
          <w:noProof/>
        </w:rPr>
        <w:t>(g)</w:t>
      </w:r>
      <w:r>
        <w:rPr>
          <w:noProof/>
        </w:rPr>
        <w:tab/>
        <w:t>37 straipsnyje žodžiai „EBI gali imtis veiksmų pagal tuo straipsniu jai suteiktus įgaliojimus ir visi EBI pagal tą straipsnį priimti privalomi sprendimai“ pakeičiami žodžiais „EBI arba tam tikrais atvejais ELPA priežiūros institucija gali imtis veiksmų pagal tuo straipsniu jai suteiktus įgaliojimus ir visi EBI arba tam tikrais atvejais ELPA priežiūros institucijos pagal tą straipsnį priimti privalomi sprendimai“;</w:t>
      </w:r>
    </w:p>
    <w:p>
      <w:pPr>
        <w:pStyle w:val="Point2"/>
        <w:rPr>
          <w:noProof/>
        </w:rPr>
      </w:pPr>
      <w:r>
        <w:rPr>
          <w:noProof/>
        </w:rPr>
        <w:t>(h)</w:t>
      </w:r>
      <w:r>
        <w:rPr>
          <w:noProof/>
        </w:rPr>
        <w:tab/>
        <w:t>43 straipsnyje, kalbant apie ELPA valstybes, žodžiai „2016 m. kovo 21 d.“ ir „2014 m. kovo 20 d.“ pakeičiami žodžiais „EEE jungtinio komiteto sprendimo Nr…/... [šio sprendimo] įsigaliojimo dienos“, o žodžiai „2017 m. kovo 21 d.“ pakeičiami žodžiais „per vienus metus nuo EEE jungtinio komiteto sprendimo Nr…/... [šio sprendimo] įsigaliojimo dienos“.</w:t>
      </w:r>
    </w:p>
    <w:p>
      <w:pPr>
        <w:pStyle w:val="Titrearticle"/>
        <w:rPr>
          <w:noProof/>
        </w:rPr>
      </w:pPr>
      <w:r>
        <w:rPr>
          <w:noProof/>
        </w:rPr>
        <w:t>2 straipsnis</w:t>
      </w:r>
    </w:p>
    <w:p>
      <w:pPr>
        <w:rPr>
          <w:noProof/>
        </w:rPr>
      </w:pPr>
      <w:r>
        <w:rPr>
          <w:noProof/>
        </w:rPr>
        <w:t>EEE susitarimo XIX priedo 7h punktas (Europos Parlamento ir Tarybos direktyva 2008/48/EB) papildomas šia įtrauka:</w:t>
      </w:r>
    </w:p>
    <w:p>
      <w:pPr>
        <w:pStyle w:val="Point0"/>
        <w:rPr>
          <w:noProof/>
        </w:rPr>
      </w:pPr>
      <w:r>
        <w:rPr>
          <w:noProof/>
        </w:rPr>
        <w:t>„-</w:t>
      </w:r>
      <w:r>
        <w:rPr>
          <w:noProof/>
        </w:rPr>
        <w:tab/>
      </w:r>
      <w:r>
        <w:rPr>
          <w:b/>
          <w:noProof/>
        </w:rPr>
        <w:t>32014 L 0017</w:t>
      </w:r>
      <w:r>
        <w:rPr>
          <w:noProof/>
        </w:rPr>
        <w:t>: 2014 m. vasario 4 d. Europos Parlamento ir Tarybos direktyva 2014/17/ES (OL L 60, 2014 2 28, p. 34) su pataisymais, padarytais OL L 246, 2015 9 23, p. 11.“</w:t>
      </w:r>
    </w:p>
    <w:p>
      <w:pPr>
        <w:pStyle w:val="Titrearticle"/>
        <w:rPr>
          <w:noProof/>
        </w:rPr>
      </w:pPr>
      <w:r>
        <w:rPr>
          <w:noProof/>
        </w:rPr>
        <w:t>3 straipsnis</w:t>
      </w:r>
    </w:p>
    <w:p>
      <w:pPr>
        <w:rPr>
          <w:noProof/>
        </w:rPr>
      </w:pPr>
      <w:r>
        <w:rPr>
          <w:i/>
          <w:noProof/>
        </w:rPr>
        <w:t>Europos Sąjungos oficialiojo leidinio</w:t>
      </w:r>
      <w:r>
        <w:rPr>
          <w:noProof/>
        </w:rPr>
        <w:t xml:space="preserve"> EEE priede skelbtinas Direktyvos 2014/17/ES su pataisymais, padarytais OL L 246, 2015 9 23, p. 11, tekstas islandų ir norvegų kalbomis yra autentiškas.</w:t>
      </w:r>
    </w:p>
    <w:p>
      <w:pPr>
        <w:pStyle w:val="Titrearticle"/>
        <w:rPr>
          <w:noProof/>
        </w:rPr>
      </w:pPr>
      <w:r>
        <w:rPr>
          <w:noProof/>
        </w:rPr>
        <w:t>4 straipsnis</w:t>
      </w:r>
    </w:p>
    <w:p>
      <w:pPr>
        <w:rPr>
          <w:noProof/>
        </w:rPr>
      </w:pPr>
      <w:r>
        <w:rPr>
          <w:noProof/>
        </w:rPr>
        <w:t>Šis sprendimas įsigalioja […], jei pateikti visi pranešimai pagal EEE susitarimo 103 straipsnio 1 dalį</w:t>
      </w:r>
      <w:r>
        <w:rPr>
          <w:rStyle w:val="FootnoteReference"/>
          <w:noProof/>
        </w:rPr>
        <w:sym w:font="Symbol" w:char="F02A"/>
      </w:r>
      <w:r>
        <w:rPr>
          <w:noProof/>
        </w:rPr>
        <w:t>.</w:t>
      </w:r>
    </w:p>
    <w:p>
      <w:pPr>
        <w:pStyle w:val="Titrearticle"/>
        <w:rPr>
          <w:noProof/>
        </w:rPr>
      </w:pPr>
      <w:r>
        <w:rPr>
          <w:noProof/>
        </w:rPr>
        <w:lastRenderedPageBreak/>
        <w:footnoteReference w:customMarkFollows="1" w:id="2"/>
        <w:t>5 straipsnis</w:t>
      </w:r>
    </w:p>
    <w:p>
      <w:pPr>
        <w:rPr>
          <w:noProof/>
        </w:rPr>
      </w:pPr>
      <w:r>
        <w:rPr>
          <w:noProof/>
        </w:rPr>
        <w:t xml:space="preserve">Šis sprendimas skelbiamas </w:t>
      </w:r>
      <w:r>
        <w:rPr>
          <w:i/>
          <w:noProof/>
        </w:rPr>
        <w:t>Europos Sąjungos oficialiojo leidinio</w:t>
      </w:r>
      <w:r>
        <w:rPr>
          <w:noProof/>
        </w:rPr>
        <w:t xml:space="preserve"> EEE skyriuje ir EEE priede.</w:t>
      </w:r>
    </w:p>
    <w:p>
      <w:pPr>
        <w:pStyle w:val="Fait"/>
        <w:rPr>
          <w:noProof/>
        </w:rPr>
      </w:pPr>
      <w:r>
        <w:rPr>
          <w:noProof/>
        </w:rPr>
        <w:t>Priimta Briuselyje …</w:t>
      </w:r>
    </w:p>
    <w:p>
      <w:pPr>
        <w:pStyle w:val="Institutionquisigne"/>
        <w:rPr>
          <w:noProof/>
        </w:rPr>
      </w:pPr>
      <w:r>
        <w:rPr>
          <w:noProof/>
        </w:rPr>
        <w:tab/>
        <w:t>EEE jungtinio komiteto vardu</w:t>
      </w:r>
    </w:p>
    <w:p>
      <w:pPr>
        <w:pStyle w:val="Personnequisigne"/>
        <w:rPr>
          <w:noProof/>
        </w:rPr>
      </w:pPr>
      <w:r>
        <w:rPr>
          <w:noProof/>
        </w:rPr>
        <w:tab/>
        <w:t>Pirmininkas</w:t>
      </w:r>
      <w:r>
        <w:rPr>
          <w:noProof/>
        </w:rPr>
        <w:br/>
      </w:r>
      <w:r>
        <w:rPr>
          <w:noProof/>
        </w:rPr>
        <w:tab/>
      </w:r>
      <w:r>
        <w:rPr>
          <w:noProof/>
        </w:rPr>
        <w:br/>
      </w:r>
      <w:r>
        <w:rPr>
          <w:noProof/>
        </w:rPr>
        <w:tab/>
      </w:r>
      <w:r>
        <w:rPr>
          <w:noProof/>
        </w:rPr>
        <w:br/>
      </w:r>
      <w:r>
        <w:rPr>
          <w:noProof/>
        </w:rPr>
        <w:tab/>
      </w:r>
      <w:r>
        <w:rPr>
          <w:noProof/>
        </w:rPr>
        <w:br/>
      </w:r>
      <w:r>
        <w:rPr>
          <w:noProof/>
        </w:rPr>
        <w:tab/>
        <w:t>EEE jungtinio komiteto</w:t>
      </w:r>
      <w:r>
        <w:rPr>
          <w:noProof/>
        </w:rPr>
        <w:br/>
      </w:r>
      <w:r>
        <w:rPr>
          <w:noProof/>
        </w:rPr>
        <w:tab/>
        <w:t>sekretoriai</w:t>
      </w:r>
      <w:r>
        <w:rPr>
          <w:noProof/>
        </w:rPr>
        <w:br/>
      </w:r>
      <w:r>
        <w:rPr>
          <w:noProof/>
        </w:rPr>
        <w:tab/>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OL L 60, 2014 2 28, p. 34.</w:t>
      </w:r>
    </w:p>
  </w:footnote>
  <w:footnote w:id="2">
    <w:p>
      <w:pPr>
        <w:pStyle w:val="FootnoteText"/>
      </w:pPr>
      <w:r>
        <w:rPr>
          <w:rStyle w:val="FootnoteReference"/>
        </w:rPr>
        <w:sym w:font="Symbol" w:char="F02A"/>
      </w:r>
      <w:r>
        <w:tab/>
        <w:t>[Konstitucinių reikalavimų nenurodyta.] [Konstituciniai reikalavimai nurodyti.]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C861E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2DA43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ACD0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16C9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48F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E3AA73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A786E00"/>
    <w:lvl w:ilvl="0">
      <w:start w:val="1"/>
      <w:numFmt w:val="decimal"/>
      <w:pStyle w:val="ListNumber"/>
      <w:lvlText w:val="%1."/>
      <w:lvlJc w:val="left"/>
      <w:pPr>
        <w:tabs>
          <w:tab w:val="num" w:pos="360"/>
        </w:tabs>
        <w:ind w:left="360" w:hanging="360"/>
      </w:pPr>
    </w:lvl>
  </w:abstractNum>
  <w:abstractNum w:abstractNumId="7">
    <w:nsid w:val="FFFFFF89"/>
    <w:multiLevelType w:val="singleLevel"/>
    <w:tmpl w:val="34168D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3:59:16"/>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396E06EA-3C4C-4D98-B4C7-0C703A156F44"/>
    <w:docVar w:name="LW_COVERPAGE_TYPE" w:val="1"/>
    <w:docVar w:name="LW_CROSSREFERENCE" w:val="&lt;UNUSED&gt;"/>
    <w:docVar w:name="LW_DocType" w:val="ANNEX"/>
    <w:docVar w:name="LW_EMISSION" w:val="2019 01 31"/>
    <w:docVar w:name="LW_EMISSION_ISODATE" w:val="2019-01-31"/>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pozicijos, kurios Europos S\u261?jungos vardu turi b\u363?ti laikomasi_x000b_EEE jungtiniame komitete, d\u279?l EEE susitarimo IX priedo (Finansin\u279?s paslaugos) ir XIX priedo (Vartotoj\u371? apsauga) dalinio pakeitimo_x000b_"/>
    <w:docVar w:name="LW_OBJETACTEPRINCIPAL.CP" w:val="d\u279?l pozicijos, kurios Europos S\u261?jungos vardu turi b\u363?ti laikomasi_x000b_EEE jungtiniame komitete, d\u279?l EEE susitarimo IX priedo (Finansin\u279?s paslaugos) ir XIX priedo (Vartotoj\u371? apsauga) dalinio pakeitimo_x000b_"/>
    <w:docVar w:name="LW_PART_NBR" w:val="1"/>
    <w:docVar w:name="LW_PART_NBR_TOTAL" w:val="1"/>
    <w:docVar w:name="LW_REF.INST.NEW" w:val="COM"/>
    <w:docVar w:name="LW_REF.INST.NEW_ADOPTED" w:val="final"/>
    <w:docVar w:name="LW_REF.INST.NEW_TEXT" w:val="(2019)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S"/>
    <w:docVar w:name="LW_TYPE.DOC.CP" w:val="PRIEDAS"/>
    <w:docVar w:name="LW_TYPEACTEPRINCIPAL" w:val="Pasi\u363?lymo d\u279?l Tarybos sprendimo"/>
    <w:docVar w:name="LW_TYPEACTEPRINCIPAL.CP" w:val="Pasi\u363?lymo d\u279?l Tarybos sprendim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Titreobjet">
    <w:name w:val="Titre objet"/>
    <w:basedOn w:val="Normal"/>
    <w:next w:val="Normal"/>
    <w:pPr>
      <w:spacing w:before="360" w:after="360"/>
      <w:jc w:val="center"/>
    </w:pPr>
    <w:rPr>
      <w:rFonts w:eastAsia="Times New Roman"/>
      <w:b/>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Titreobjet">
    <w:name w:val="Titre objet"/>
    <w:basedOn w:val="Normal"/>
    <w:next w:val="Normal"/>
    <w:pPr>
      <w:spacing w:before="360" w:after="360"/>
      <w:jc w:val="center"/>
    </w:pPr>
    <w:rPr>
      <w:rFonts w:eastAsia="Times New Roman"/>
      <w:b/>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660</Words>
  <Characters>3863</Characters>
  <Application>Microsoft Office Word</Application>
  <DocSecurity>0</DocSecurity>
  <Lines>91</Lines>
  <Paragraphs>44</Paragraphs>
  <ScaleCrop>false</ScaleCrop>
  <Company>EEAS</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KARLOWSKI Mikolaj</dc:creator>
  <cp:lastModifiedBy>DIGIT/C6</cp:lastModifiedBy>
  <cp:revision>8</cp:revision>
  <dcterms:created xsi:type="dcterms:W3CDTF">2019-01-15T10:54:00Z</dcterms:created>
  <dcterms:modified xsi:type="dcterms:W3CDTF">2019-01-28T12:59:00Z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