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alt="41E77311-4FD0-4865-B2CA-4B67079A50EF" style="width:451.25pt;height:447.9pt">
            <v:imagedata r:id="rId9" o:title=""/>
          </v:shape>
        </w:pict>
      </w:r>
    </w:p>
    <w:p>
      <w:pPr>
        <w:rPr>
          <w:noProof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Exposdesmotifstitre"/>
        <w:rPr>
          <w:noProof/>
        </w:rPr>
      </w:pPr>
      <w:bookmarkStart w:id="0" w:name="_GoBack"/>
      <w:bookmarkEnd w:id="0"/>
      <w:r>
        <w:rPr>
          <w:noProof/>
        </w:rPr>
        <w:lastRenderedPageBreak/>
        <w:t>EXPOSIÇÃO DE MOTIVOS</w:t>
      </w:r>
    </w:p>
    <w:p>
      <w:pPr>
        <w:pStyle w:val="ManualHeading1"/>
        <w:rPr>
          <w:noProof/>
        </w:rPr>
      </w:pPr>
      <w:r>
        <w:rPr>
          <w:noProof/>
        </w:rPr>
        <w:t>1.</w:t>
      </w:r>
      <w:r>
        <w:rPr>
          <w:noProof/>
        </w:rPr>
        <w:tab/>
        <w:t>CONTEXTO DA PROPOSTA</w:t>
      </w:r>
    </w:p>
    <w:p>
      <w:pPr>
        <w:pStyle w:val="ManualHeading2"/>
        <w:rPr>
          <w:rFonts w:eastAsia="Arial Unicode MS"/>
          <w:noProof/>
        </w:rPr>
      </w:pPr>
      <w:r>
        <w:rPr>
          <w:noProof/>
          <w:color w:val="000000"/>
          <w:u w:color="000000"/>
          <w:bdr w:val="nil"/>
        </w:rPr>
        <w:t>•</w:t>
      </w:r>
      <w:r>
        <w:rPr>
          <w:noProof/>
          <w:color w:val="000000"/>
          <w:u w:color="000000"/>
          <w:bdr w:val="nil"/>
        </w:rPr>
        <w:tab/>
      </w:r>
      <w:r>
        <w:rPr>
          <w:noProof/>
        </w:rPr>
        <w:t>Justificação e objetivos da proposta</w:t>
      </w:r>
    </w:p>
    <w:p>
      <w:pPr>
        <w:rPr>
          <w:noProof/>
        </w:rPr>
      </w:pPr>
      <w:r>
        <w:rPr>
          <w:noProof/>
        </w:rPr>
        <w:t>A Decisão 2008/615/JAI do Conselho, de 23 de junho de 2008, relativa ao aprofundamento da cooperação transfronteiras, em particular no domínio da luta contra o terrorismo e a criminalidade transfronteiras</w:t>
      </w:r>
      <w:r>
        <w:rPr>
          <w:rStyle w:val="FootnoteReference"/>
          <w:bCs/>
          <w:noProof/>
        </w:rPr>
        <w:footnoteReference w:id="1"/>
      </w:r>
      <w:r>
        <w:rPr>
          <w:noProof/>
        </w:rPr>
        <w:t xml:space="preserve"> («Decisão Prüm») foi adotada a fim de incorporar no quadro jurídico da União Europeia o teor das disposições do anterior Tratado de Prüm relativo ao aprofundamento da cooperação transfronteiras, em particular no domínio da luta contra o terrorismo, a criminalidade transfronteiras e a migração ilegal, acordado por sete países europeus em 27 de maio de 2005. No mesmo dia, o Conselho adotou igualmente a Decisão 2008/616/JAI, de 23 de junho de 2008, referente à execução da Decisão 2008/615/JAI, relativa ao aprofundamento da cooperação transfronteiras, em particular no domínio da luta contra o terrorismo e da criminalidade transfronteiras</w:t>
      </w:r>
      <w:r>
        <w:rPr>
          <w:rStyle w:val="FootnoteReference"/>
          <w:bCs/>
          <w:noProof/>
        </w:rPr>
        <w:footnoteReference w:id="2"/>
      </w:r>
      <w:r>
        <w:rPr>
          <w:noProof/>
        </w:rPr>
        <w:t xml:space="preserve"> («Decisão de Execução Prüm»), que estabelece as disposições técnicas necessárias para a execução da Decisão 2008/615/JAI. </w:t>
      </w:r>
    </w:p>
    <w:p>
      <w:pPr>
        <w:rPr>
          <w:noProof/>
        </w:rPr>
      </w:pPr>
      <w:r>
        <w:rPr>
          <w:noProof/>
        </w:rPr>
        <w:t xml:space="preserve">A Decisão Prüm e a Decisão de Execução Prüm visam melhorar o intercâmbio de informações entre as autoridades responsáveis pela prevenção e pela investigação de infrações penais, bem como aprofundar a cooperação policial e judiciária transfronteiras entre os Estados-Membros da União. A Decisão Prüm contém, nomeadamente, disposições ao abrigo das quais os Estados-Membros se concedem mutuamente, numa base recíproca, direitos de acesso aos ficheiros de análise informatizada de ADN, aos sistemas automatizados de identificação dactiloscópica e aos dados de registo de veículos. As informações obtidas através da comparação de dados abrirão, sem dúvida, novas perspetivas aos métodos de investigação e desempenharão, assim, um papel crucial de apoio às autoridades policiais e judiciárias dos Estados-Membros. </w:t>
      </w:r>
    </w:p>
    <w:p>
      <w:pPr>
        <w:rPr>
          <w:noProof/>
        </w:rPr>
      </w:pPr>
      <w:r>
        <w:rPr>
          <w:noProof/>
        </w:rPr>
        <w:t>Em 30 de novembro de 2009, o Conselho adotou a Decisão-Quadro 2009/905/JAI do Conselho relativa à acreditação de prestadores de serviços forenses que desenvolvem atividades laboratoriais</w:t>
      </w:r>
      <w:r>
        <w:rPr>
          <w:rStyle w:val="FootnoteReference"/>
          <w:noProof/>
        </w:rPr>
        <w:footnoteReference w:id="3"/>
      </w:r>
      <w:r>
        <w:rPr>
          <w:noProof/>
        </w:rPr>
        <w:t xml:space="preserve"> («Decisão Forense»). Esta decisão-quadro do Conselho estabelece os requisitos para o intercâmbio de dados de ADN e de dados dactiloscópicos, a fim de garantir que os resultados das atividades laboratoriais desenvolvidas por prestadores de serviços forenses acreditados num Estado-Membro sejam reconhecidos pelas autoridades responsáveis pela prevenção, deteção e investigação de infrações penais como sendo tão fiáveis como os resultados das atividades laboratoriais desenvolvidas pelos prestadores de serviços forenses acreditados pela norma EN ISO/IEC 17025 em qualquer outro Estado</w:t>
      </w:r>
      <w:r>
        <w:rPr>
          <w:noProof/>
        </w:rPr>
        <w:noBreakHyphen/>
        <w:t xml:space="preserve">Membro. </w:t>
      </w:r>
    </w:p>
    <w:p>
      <w:pPr>
        <w:rPr>
          <w:noProof/>
        </w:rPr>
      </w:pPr>
      <w:r>
        <w:rPr>
          <w:noProof/>
        </w:rPr>
        <w:t>Em outubro de 2015, a Comissão apresentou ao Conselho a recomendação de decisão do Conselho que autoriza as negociações para a celebração de acordos com a Confederação Suíça e o Principado do Listenstaine sobre a aplicação de determinadas disposições da Decisão 2008/615/JAI do Conselho relativa ao aprofundamento da cooperação transfronteiras, em particular no domínio da luta contra o terrorismo e a criminalidade transfronteiras, e da Decisão 2008/616/JAI do Conselho referente à execução da Decisão 2008/615/JAI, relativa ao aprofundamento da cooperação transfronteiras, em particular no domínio da luta contra o terrorismo e da criminalidade transfronteiras, e respetivo anexo, incluindo o anexo (diretrizes de negociação).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lastRenderedPageBreak/>
        <w:t>Em 10 de junho de 2016, o Conselho autorizou a Comissão a encetar negociações com a Confederação Suíça e o Principado do Listenstaine sobre a aplicação de determinadas disposições da Decisão 2008/615/JAI do Conselho, da Decisão 2008/616/JAI do Conselho, e respetivo anexo, e da Decisão-Quadro 2009/905/JAI do Conselho relativa à acreditação de prestadores de serviços forenses que desenvolvem atividades laboratoriais. As negociações foram concluídas com êxito com ambos os países, tendo culminado com a rubrica do acordo em 24 de maio de 2018.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 xml:space="preserve">A Comissão considera que os objetivos fixados pelo Conselho nas suas diretrizes de negociação foram alcançados e que o projeto de acordo pode ser aceite pela União. </w:t>
      </w:r>
    </w:p>
    <w:p>
      <w:pPr>
        <w:rPr>
          <w:noProof/>
        </w:rPr>
      </w:pPr>
      <w:r>
        <w:rPr>
          <w:noProof/>
        </w:rPr>
        <w:t>Este acordo internacional entre a UE e a Confederação Suíça visa melhorar e simplificar o intercâmbio automatizado de dados e informações entre as autoridades policiais dos Estados-Membros e dos países associados, a fim de estimular a cooperação policial a nível internacional. A possibilidade de todos os Estados-Membros terem acesso às bases de dados nacionais da Confederação Suíça no que diz respeito aos dados de ADN, aos dados dactiloscópicos e aos dados de registo dos veículos, e vice-versa, é, sem dúvida, de importância primordial para promover e incentivar a cooperação policial transnacional. O objetivo de melhorar o intercâmbio de informações no domínio da cooperação policial a fim de manter a segurança na União Europeia não pode ser suficientemente alcançado pelos Estados-Membros isoladamente devido à natureza da criminalidade internacional, que não se circunscreve às fronteiras existentes na UE.</w:t>
      </w:r>
    </w:p>
    <w:p>
      <w:pPr>
        <w:ind w:left="851"/>
        <w:rPr>
          <w:noProof/>
        </w:rPr>
      </w:pPr>
    </w:p>
    <w:p>
      <w:pPr>
        <w:pStyle w:val="ManualHeading2"/>
        <w:rPr>
          <w:rFonts w:eastAsia="Arial Unicode MS"/>
          <w:noProof/>
          <w:color w:val="000000"/>
          <w:u w:color="000000"/>
          <w:bdr w:val="nil"/>
        </w:rPr>
      </w:pPr>
      <w:r>
        <w:rPr>
          <w:noProof/>
          <w:color w:val="000000"/>
          <w:u w:color="000000"/>
          <w:bdr w:val="nil"/>
        </w:rPr>
        <w:t>•</w:t>
      </w:r>
      <w:r>
        <w:rPr>
          <w:noProof/>
          <w:color w:val="000000"/>
          <w:u w:color="000000"/>
          <w:bdr w:val="nil"/>
        </w:rPr>
        <w:tab/>
      </w:r>
      <w:r>
        <w:rPr>
          <w:noProof/>
        </w:rPr>
        <w:t>Coerência com as disposições em vigor no mesmo domínio setorial</w:t>
      </w:r>
    </w:p>
    <w:p>
      <w:pPr>
        <w:rPr>
          <w:noProof/>
        </w:rPr>
      </w:pPr>
      <w:r>
        <w:rPr>
          <w:noProof/>
        </w:rPr>
        <w:t>A Decisão-Quadro 2006/960/JAI do Conselho, de 18 de dezembro de 2006, relativa à simplificação do intercâmbio de dados e informações entre as autoridades de aplicação da lei dos Estados-Membros da União Europeia</w:t>
      </w:r>
      <w:r>
        <w:rPr>
          <w:rStyle w:val="FootnoteReference"/>
          <w:noProof/>
        </w:rPr>
        <w:footnoteReference w:id="4"/>
      </w:r>
      <w:r>
        <w:rPr>
          <w:noProof/>
        </w:rPr>
        <w:t>, a denominada Iniciativa Sueca, constitui um desenvolvimento das disposições do acervo de Schengen na aceção do Acordo entre a União Europeia, a Comunidade Europeia e a Confederação Suíça relativo à associação da Confederação Suíça à execução, à aplicação e ao desenvolvimento do acervo de Schengen</w:t>
      </w:r>
      <w:r>
        <w:rPr>
          <w:rStyle w:val="FootnoteReference"/>
          <w:noProof/>
        </w:rPr>
        <w:footnoteReference w:id="5"/>
      </w:r>
      <w:r>
        <w:rPr>
          <w:noProof/>
        </w:rPr>
        <w:t>.</w:t>
      </w:r>
    </w:p>
    <w:p>
      <w:pPr>
        <w:rPr>
          <w:noProof/>
        </w:rPr>
      </w:pPr>
      <w:r>
        <w:rPr>
          <w:noProof/>
        </w:rPr>
        <w:t>Em certa medida, a Iniciativa Sueca está relacionada com a Decisão Prüm, uma vez que estabelece as normas ao abrigo das quais as autoridades de aplicação da lei dos Estados</w:t>
      </w:r>
      <w:r>
        <w:rPr>
          <w:noProof/>
        </w:rPr>
        <w:noBreakHyphen/>
        <w:t>Membros e dos países associados podem proceder ao intercâmbio de dados e informações existentes de modo eficaz para efeitos da realização de investigações criminais ou de operações de informações criminais. Em conformidade com o artigo 5.º, n.º 1, da Iniciativa Sueca, podem ser solicitados dados e informações para fins de deteção, prevenção ou investigação de uma infração quando haja razões factuais para crer que outro Estado</w:t>
      </w:r>
      <w:r>
        <w:rPr>
          <w:noProof/>
        </w:rPr>
        <w:noBreakHyphen/>
        <w:t xml:space="preserve">Membro dispõe de dados e informações relevantes. O intercâmbio automatizado de informações ao abrigo da Decisão Prüm é adequado para estabelecer tais razões factuais. </w:t>
      </w:r>
    </w:p>
    <w:p>
      <w:pPr>
        <w:rPr>
          <w:noProof/>
        </w:rPr>
      </w:pPr>
      <w:r>
        <w:rPr>
          <w:noProof/>
        </w:rPr>
        <w:t>Além disso, em conformidade com o artigo 20.º, n.º 1, do Regulamento (UE) n.º 603/2013</w:t>
      </w:r>
      <w:r>
        <w:rPr>
          <w:rStyle w:val="FootnoteReference"/>
          <w:noProof/>
        </w:rPr>
        <w:footnoteReference w:id="6"/>
      </w:r>
      <w:r>
        <w:rPr>
          <w:noProof/>
        </w:rPr>
        <w:t xml:space="preserve">, antes de apresentarem um pedido de acesso das autoridades de aplicação da lei ao Eurodac, os </w:t>
      </w:r>
      <w:r>
        <w:rPr>
          <w:noProof/>
        </w:rPr>
        <w:lastRenderedPageBreak/>
        <w:t xml:space="preserve">Estados-Membros devem, em primeiro lugar, verificar as bases de dados dactiloscópicos disponíveis ao abrigo do direito nacional e comparar o conjunto de dados dactiloscópicos com as bases automatizadas de dados dactiloscópicos de outros Estados-Membros ao abrigo da Decisão Prüm. Os Estados-Membros que não preencherem a condição prévia da realização de uma verificação Prüm, que é um requisito prévio obrigatório, não poderão apresentar um pedido de acesso das autoridades de aplicação da lei ao Eurodac. </w:t>
      </w:r>
    </w:p>
    <w:p>
      <w:pPr>
        <w:rPr>
          <w:noProof/>
        </w:rPr>
      </w:pPr>
      <w:r>
        <w:rPr>
          <w:noProof/>
        </w:rPr>
        <w:t xml:space="preserve">Em 14 de dezembro de 2015, o Conselho autorizou a Comissão a encetar negociações para a celebração de acordos entre a União Europeia, por um lado, e a Dinamarca, a Islândia, a Noruega, a Suíça e o Listenstaine, por outro, sobre as modalidades de participação destes Estados no procedimento de comparação e transmissão de dados para efeitos de aplicação da lei estabelecido no capítulo VI do Regulamento (UE) n.º 603/2013. </w:t>
      </w:r>
    </w:p>
    <w:p>
      <w:pPr>
        <w:rPr>
          <w:noProof/>
        </w:rPr>
      </w:pPr>
      <w:r>
        <w:rPr>
          <w:noProof/>
        </w:rPr>
        <w:t>Em 26 de julho de 2010, foi celebrado um acordo internacional entre a União Europeia e a Islândia e a Noruega sobre a aplicação de determinadas disposições da Decisão 2008/615/JAI do Conselho, relativa ao aprofundamento da cooperação transfronteiras, em particular no domínio da luta contra o terrorismo e a criminalidade transfronteiras, e da Decisão 2008/616/JAI do Conselho, referente à execução da Decisão 2008/615/JAI, relativa ao aprofundamento da cooperação transfronteiras, em particular no domínio da luta contra o terrorismo e da criminalidade transfronteiras.</w:t>
      </w:r>
    </w:p>
    <w:p>
      <w:pPr>
        <w:rPr>
          <w:noProof/>
        </w:rPr>
      </w:pPr>
      <w:r>
        <w:rPr>
          <w:noProof/>
        </w:rPr>
        <w:t>Nos termos do artigo 3.° do Protocolo n.º 21</w:t>
      </w:r>
      <w:r>
        <w:rPr>
          <w:rStyle w:val="FootnoteReference"/>
          <w:noProof/>
        </w:rPr>
        <w:footnoteReference w:id="7"/>
      </w:r>
      <w:r>
        <w:rPr>
          <w:noProof/>
        </w:rPr>
        <w:t xml:space="preserve"> relativo à posição do Reino Unido e da Irlanda em relação ao espaço de liberdade, segurança e justiça, anexo ao Tratado da União Europeia e ao Tratado sobre o Funcionamento da União Europeia, estes Estados-Membros devem notificar a intenção de participar na adoção e aplicação da presente proposta de decisão do Conselho no prazo de três meses após a sua adoção pela Comissão. </w:t>
      </w:r>
    </w:p>
    <w:p>
      <w:pPr>
        <w:rPr>
          <w:noProof/>
        </w:rPr>
      </w:pPr>
      <w:r>
        <w:rPr>
          <w:noProof/>
        </w:rPr>
        <w:t>Nos termos dos artigos 1.º e 2.º do Protocolo n.º 22</w:t>
      </w:r>
      <w:r>
        <w:rPr>
          <w:rStyle w:val="FootnoteReference"/>
          <w:noProof/>
        </w:rPr>
        <w:footnoteReference w:id="8"/>
      </w:r>
      <w:r>
        <w:rPr>
          <w:noProof/>
        </w:rPr>
        <w:t xml:space="preserve"> relativo à posição da Dinamarca, anexo ao Tratado da União Europeia e ao Tratado sobre o Funcionamento da União Europeia, a Dinamarca não participa na adoção da presente decisão, não ficando por ela vinculada nem sujeita à sua aplicação.</w:t>
      </w:r>
    </w:p>
    <w:p>
      <w:pPr>
        <w:pStyle w:val="ManualHeading1"/>
        <w:rPr>
          <w:noProof/>
        </w:rPr>
      </w:pPr>
      <w:r>
        <w:rPr>
          <w:noProof/>
        </w:rPr>
        <w:t>2.</w:t>
      </w:r>
      <w:r>
        <w:rPr>
          <w:noProof/>
        </w:rPr>
        <w:tab/>
        <w:t>BASE JURÍDICA, SUBSIDIARIEDADE E PROPORCIONALIDADE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  <w:u w:color="000000"/>
          <w:bdr w:val="nil"/>
        </w:rPr>
        <w:t>•</w:t>
      </w:r>
      <w:r>
        <w:rPr>
          <w:noProof/>
          <w:u w:color="000000"/>
          <w:bdr w:val="nil"/>
        </w:rPr>
        <w:tab/>
        <w:t>Base jurídica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/>
          <w:noProof/>
        </w:rPr>
      </w:pPr>
      <w:r>
        <w:rPr>
          <w:noProof/>
        </w:rPr>
        <w:t>A base jurídica da presente proposta de decisão do Conselho é o artigo 82.º, n.º 1, alínea d), e o artigo 87.º, n.º 2, alínea a), em conjugação com o artigo 218.º, n.º 6, alínea a), do Tratado sobre o Funcionamento da União Europeia (TFUE).</w:t>
      </w:r>
    </w:p>
    <w:p>
      <w:pPr>
        <w:autoSpaceDE w:val="0"/>
        <w:autoSpaceDN w:val="0"/>
        <w:adjustRightInd w:val="0"/>
        <w:rPr>
          <w:rFonts w:eastAsia="Arial Unicode MS"/>
          <w:noProof/>
        </w:rPr>
      </w:pPr>
      <w:r>
        <w:rPr>
          <w:noProof/>
        </w:rPr>
        <w:t>A aprovação do Parlamento Europeu é necessária para a celebração do presente acordo, nos termos do artigo 218.º, n.º 6, alínea a), subalínea v), do TFUE.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  <w:u w:color="000000"/>
          <w:bdr w:val="nil"/>
        </w:rPr>
        <w:t>•</w:t>
      </w:r>
      <w:r>
        <w:rPr>
          <w:noProof/>
          <w:u w:color="000000"/>
          <w:bdr w:val="nil"/>
        </w:rPr>
        <w:tab/>
        <w:t xml:space="preserve">Subsidiariedade (no caso de competência não exclusiva) </w:t>
      </w:r>
    </w:p>
    <w:p>
      <w:pPr>
        <w:rPr>
          <w:rFonts w:eastAsia="Times New Roman"/>
          <w:noProof/>
          <w:szCs w:val="24"/>
        </w:rPr>
      </w:pPr>
      <w:r>
        <w:rPr>
          <w:noProof/>
        </w:rPr>
        <w:t>Em conformidade com o princípio da subsidiariedade consagrado no artigo 5.º do Tratado da União Europeia, os objetivos do presente acordo só podem ser alcançados ao nível da União.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  <w:u w:color="000000"/>
          <w:bdr w:val="nil"/>
        </w:rPr>
        <w:lastRenderedPageBreak/>
        <w:t>•</w:t>
      </w:r>
      <w:r>
        <w:rPr>
          <w:noProof/>
          <w:u w:color="000000"/>
          <w:bdr w:val="nil"/>
        </w:rPr>
        <w:tab/>
        <w:t>Proporcionalidade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 xml:space="preserve">A fim de estimular a cooperação internacional neste domínio, é fundamental que todos os participantes que procedem ao intercâmbio de dados ao abrigo do quadro jurídico de Prüm apliquem as mesmas normas e requisitos técnicos, processuais e de proteção de dados, a fim de permitir um intercâmbio de informações rápido, eficiente e preciso. A proposta respeita o princípio da proporcionalidade, uma vez que não excede o necessário para alcançar os objetivos da participação efetiva da Confederação Suíça nas Decisões Prüm e na Decisão Forense. 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  <w:u w:color="000000"/>
          <w:bdr w:val="nil"/>
        </w:rPr>
        <w:t>•</w:t>
      </w:r>
      <w:r>
        <w:rPr>
          <w:noProof/>
          <w:u w:color="000000"/>
          <w:bdr w:val="nil"/>
        </w:rPr>
        <w:tab/>
      </w:r>
      <w:r>
        <w:rPr>
          <w:noProof/>
        </w:rPr>
        <w:t>Escolha do instrumento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 xml:space="preserve">A presente proposta está em conformidade com o artigo 218.º, n.º 6, alínea a), do TFUE, que prevê a adoção, pelo Conselho, de decisões relativas a acordos internacionais, na sequência da aprovação do Parlamento Europeu. </w:t>
      </w:r>
    </w:p>
    <w:p>
      <w:pPr>
        <w:pStyle w:val="ManualHeading1"/>
        <w:rPr>
          <w:noProof/>
        </w:rPr>
      </w:pPr>
      <w:r>
        <w:rPr>
          <w:noProof/>
        </w:rPr>
        <w:t>3.</w:t>
      </w:r>
      <w:r>
        <w:rPr>
          <w:noProof/>
        </w:rPr>
        <w:tab/>
        <w:t xml:space="preserve">RESULTADOS DAS AVALIAÇÕES </w:t>
      </w:r>
      <w:r>
        <w:rPr>
          <w:i/>
          <w:noProof/>
        </w:rPr>
        <w:t>EX POST</w:t>
      </w:r>
      <w:r>
        <w:rPr>
          <w:noProof/>
        </w:rPr>
        <w:t>, DAS CONSULTAS DAS PARTES INTERESSADAS E DAS AVALIAÇÕES DE IMPACTO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  <w:u w:color="000000"/>
          <w:bdr w:val="nil"/>
        </w:rPr>
        <w:t>•</w:t>
      </w:r>
      <w:r>
        <w:rPr>
          <w:noProof/>
          <w:u w:color="000000"/>
          <w:bdr w:val="nil"/>
        </w:rPr>
        <w:tab/>
        <w:t xml:space="preserve">Avaliações </w:t>
      </w:r>
      <w:r>
        <w:rPr>
          <w:i/>
          <w:noProof/>
          <w:u w:color="000000"/>
          <w:bdr w:val="nil"/>
        </w:rPr>
        <w:t>ex post</w:t>
      </w:r>
      <w:r>
        <w:rPr>
          <w:noProof/>
          <w:u w:color="000000"/>
          <w:bdr w:val="nil"/>
        </w:rPr>
        <w:t>/balanços de qualidade da legislação em vigor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Não aplicável.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  <w:u w:color="000000"/>
          <w:bdr w:val="nil"/>
        </w:rPr>
        <w:t>•</w:t>
      </w:r>
      <w:r>
        <w:rPr>
          <w:noProof/>
          <w:u w:color="000000"/>
          <w:bdr w:val="nil"/>
        </w:rPr>
        <w:tab/>
        <w:t>Consultas das partes interessadas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O Conselho foi informado e consultado no âmbito do grupo de trabalho competente do Conselho (DAPIX). O Parlamento Europeu (Comissão LIBE) foi informado.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  <w:u w:color="000000"/>
          <w:bdr w:val="nil"/>
        </w:rPr>
        <w:t>•</w:t>
      </w:r>
      <w:r>
        <w:rPr>
          <w:noProof/>
          <w:u w:color="000000"/>
          <w:bdr w:val="nil"/>
        </w:rPr>
        <w:tab/>
        <w:t>Direitos fundamentais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O acordo está plenamente em consonância com os direitos fundamentais e os princípios relativos à proteção de dados enunciados na Decisão Prüm (capítulo 6).</w:t>
      </w:r>
    </w:p>
    <w:p>
      <w:pPr>
        <w:pStyle w:val="ManualHeading1"/>
        <w:rPr>
          <w:noProof/>
        </w:rPr>
      </w:pPr>
      <w:r>
        <w:rPr>
          <w:noProof/>
        </w:rPr>
        <w:t>4.</w:t>
      </w:r>
      <w:r>
        <w:rPr>
          <w:noProof/>
        </w:rPr>
        <w:tab/>
        <w:t>INCIDÊNCIA ORÇAMENTAL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O considerando 8 do acordo estabelece que a Confederação Suíça deve suportar as despesas em que as suas autoridades incorrerem com a aplicação do presente acordo. O artigo 1.º, n.º 1, do acordo enumera os artigos aplicáveis da Decisão Prüm, incluindo o artigo 34.º, que prevê que cada Estado-Membro suporta as despesas operacionais em que as suas autoridades incorrerem com a aplicação da Decisão Prüm. O artigo 1.º, n.º 4, estabelece uma obrigação semelhante para os Estados-Membros no que se refere à Decisão Forense. Por conseguinte, a presente proposta não tem incidência no orçamento da União.</w:t>
      </w:r>
    </w:p>
    <w:p>
      <w:pPr>
        <w:pStyle w:val="ManualHeading1"/>
        <w:rPr>
          <w:noProof/>
        </w:rPr>
      </w:pPr>
      <w:r>
        <w:rPr>
          <w:noProof/>
        </w:rPr>
        <w:t>5.</w:t>
      </w:r>
      <w:r>
        <w:rPr>
          <w:noProof/>
        </w:rPr>
        <w:tab/>
        <w:t>OUTROS ELEMENTOS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  <w:u w:color="000000"/>
          <w:bdr w:val="nil"/>
        </w:rPr>
        <w:t>•</w:t>
      </w:r>
      <w:r>
        <w:rPr>
          <w:noProof/>
          <w:u w:color="000000"/>
          <w:bdr w:val="nil"/>
        </w:rPr>
        <w:tab/>
        <w:t>Planos de execução e de acompanhamento, avaliação e prestação de informações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No artigo 8.º do acordo são descritas a sua aplicação, incluindo a avaliação prévia pelo Conselho e pelos Estados-Membros, as notificações e as declarações.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  <w:u w:color="000000"/>
          <w:bdr w:val="nil"/>
        </w:rPr>
        <w:t>•</w:t>
      </w:r>
      <w:r>
        <w:rPr>
          <w:noProof/>
          <w:u w:color="000000"/>
          <w:bdr w:val="nil"/>
        </w:rPr>
        <w:tab/>
        <w:t>Explicação pormenorizada das disposições específicas da proposta</w:t>
      </w:r>
    </w:p>
    <w:p>
      <w:pPr>
        <w:rPr>
          <w:noProof/>
        </w:rPr>
      </w:pPr>
      <w:r>
        <w:rPr>
          <w:noProof/>
        </w:rPr>
        <w:t>O acordo enumera as disposições da Decisão Prüm, da Decisão de Execução Prüm e da Decisão Forense que passarão a ser aplicáveis à Confederação Suíça após a sua entrada em vigor.</w:t>
      </w:r>
    </w:p>
    <w:p>
      <w:pPr>
        <w:rPr>
          <w:noProof/>
        </w:rPr>
      </w:pPr>
      <w:r>
        <w:rPr>
          <w:noProof/>
        </w:rPr>
        <w:lastRenderedPageBreak/>
        <w:t>O acordo também contém disposições em matéria de aplicação uniforme (artigo 3.º), resolução de litígios (artigo 4.º), alterações (artigo 5.º) e notificações e declarações (artigo 8.º). As Partes Contratantes acordam em proceder a um reexame comum do acordo o mais tardar cinco anos após a sua entrada em vigor (artigo 6.º). O acordo é celebrado por um período indeterminado, mas qualquer das Partes Contratantes poderá denunciá-lo em qualquer momento (artigo 10.º).</w:t>
      </w:r>
    </w:p>
    <w:p>
      <w:pPr>
        <w:rPr>
          <w:noProof/>
        </w:rPr>
      </w:pPr>
    </w:p>
    <w:p>
      <w:pPr>
        <w:rPr>
          <w:noProof/>
        </w:rPr>
      </w:pPr>
    </w:p>
    <w:p>
      <w:pPr>
        <w:sectPr>
          <w:footerReference w:type="default" r:id="rId16"/>
          <w:footerReference w:type="first" r:id="rId17"/>
          <w:pgSz w:w="11907" w:h="16839"/>
          <w:pgMar w:top="1134" w:right="1417" w:bottom="1134" w:left="1417" w:header="709" w:footer="709" w:gutter="0"/>
          <w:cols w:space="708"/>
          <w:docGrid w:linePitch="360"/>
        </w:sectPr>
      </w:pPr>
    </w:p>
    <w:p>
      <w:pPr>
        <w:pStyle w:val="Rfrenceinterinstitutionnelle"/>
        <w:rPr>
          <w:noProof/>
        </w:rPr>
      </w:pPr>
      <w:r>
        <w:rPr>
          <w:noProof/>
        </w:rPr>
        <w:lastRenderedPageBreak/>
        <w:t>2019/0013 (NLE)</w:t>
      </w:r>
    </w:p>
    <w:p>
      <w:pPr>
        <w:pStyle w:val="Statut"/>
        <w:rPr>
          <w:noProof/>
        </w:rPr>
      </w:pPr>
      <w:r>
        <w:rPr>
          <w:noProof/>
        </w:rPr>
        <w:t>Proposta de</w:t>
      </w:r>
    </w:p>
    <w:p>
      <w:pPr>
        <w:pStyle w:val="Typedudocument"/>
        <w:rPr>
          <w:noProof/>
        </w:rPr>
      </w:pPr>
      <w:r>
        <w:rPr>
          <w:noProof/>
        </w:rPr>
        <w:t>DECISÃO DO CONSELHO</w:t>
      </w:r>
    </w:p>
    <w:p>
      <w:pPr>
        <w:pStyle w:val="Titreobjet"/>
        <w:rPr>
          <w:noProof/>
        </w:rPr>
      </w:pPr>
      <w:r>
        <w:rPr>
          <w:noProof/>
        </w:rPr>
        <w:t>relativa à celebração do Acordo entre a União Europeia e a Confederação Suíça sobre a aplicação de determinadas disposições da Decisão 2008/615/JAI do Conselho relativa ao aprofundamento da cooperação transfronteiras, em particular no domínio da luta contra o terrorismo e a criminalidade transfronteiras, da Decisão 2008/616/JAI do Conselho referente à execução da Decisão 2008/615/JAI, relativa ao aprofundamento da cooperação transfronteiras, em particular no domínio da luta contra o terrorismo e da criminalidade transfronteiras, e respetivo anexo, e da Decisão</w:t>
      </w:r>
      <w:r>
        <w:rPr>
          <w:noProof/>
        </w:rPr>
        <w:noBreakHyphen/>
        <w:t>Quadro 2009/905/JAI do Conselho relativa à acreditação de prestadores de serviços forenses que desenvolvem atividades laboratoriais</w:t>
      </w:r>
    </w:p>
    <w:p>
      <w:pPr>
        <w:pStyle w:val="Institutionquiagit"/>
        <w:rPr>
          <w:noProof/>
        </w:rPr>
      </w:pPr>
      <w:r>
        <w:rPr>
          <w:noProof/>
        </w:rPr>
        <w:t>O CONSELHO DA UNIÃO EUROPEIA,</w:t>
      </w:r>
    </w:p>
    <w:p>
      <w:pPr>
        <w:rPr>
          <w:noProof/>
        </w:rPr>
      </w:pPr>
      <w:r>
        <w:rPr>
          <w:noProof/>
        </w:rPr>
        <w:t>Tendo em conta o Tratado sobre o Funcionamento da União Europeia, nomeadamente o artigo 82.º, n.º 1, alínea d), e o artigo 87.º, n.º 2, alínea a), em conjugação com o artigo 218.º, n.º 6, alínea a),</w:t>
      </w:r>
    </w:p>
    <w:p>
      <w:pPr>
        <w:rPr>
          <w:noProof/>
        </w:rPr>
      </w:pPr>
      <w:r>
        <w:rPr>
          <w:noProof/>
        </w:rPr>
        <w:t>Tendo em conta a proposta da Comissão Europeia,</w:t>
      </w:r>
    </w:p>
    <w:p>
      <w:pPr>
        <w:rPr>
          <w:noProof/>
        </w:rPr>
      </w:pPr>
      <w:r>
        <w:rPr>
          <w:noProof/>
        </w:rPr>
        <w:t>Tendo em conta a aprovação do Parlamento Europeu,</w:t>
      </w:r>
    </w:p>
    <w:p>
      <w:pPr>
        <w:rPr>
          <w:noProof/>
        </w:rPr>
      </w:pPr>
      <w:r>
        <w:rPr>
          <w:noProof/>
        </w:rPr>
        <w:t>Considerando o seguinte:</w:t>
      </w:r>
    </w:p>
    <w:p>
      <w:pPr>
        <w:pStyle w:val="ManualConsidrant"/>
        <w:rPr>
          <w:noProof/>
        </w:rPr>
      </w:pPr>
      <w:r>
        <w:t>(1)</w:t>
      </w:r>
      <w:r>
        <w:tab/>
      </w:r>
      <w:r>
        <w:rPr>
          <w:noProof/>
        </w:rPr>
        <w:t>Em conformidade com a Decisão</w:t>
      </w:r>
      <w:r>
        <w:t xml:space="preserve"> </w:t>
      </w:r>
      <w:r>
        <w:rPr>
          <w:highlight w:val="yellow"/>
        </w:rPr>
        <w:t>[XXX]</w:t>
      </w:r>
      <w:r>
        <w:t xml:space="preserve"> </w:t>
      </w:r>
      <w:r>
        <w:rPr>
          <w:noProof/>
        </w:rPr>
        <w:t xml:space="preserve">do Conselho, de </w:t>
      </w:r>
      <w:r>
        <w:rPr>
          <w:highlight w:val="yellow"/>
        </w:rPr>
        <w:t>[XXX]</w:t>
      </w:r>
      <w:r>
        <w:rPr>
          <w:rStyle w:val="FootnoteReference"/>
          <w:highlight w:val="yellow"/>
        </w:rPr>
        <w:footnoteReference w:id="9"/>
      </w:r>
      <w:r>
        <w:rPr>
          <w:noProof/>
        </w:rPr>
        <w:t>, o Acordo entre a União Europeia e a Confederação Suíça sobre a aplicação de determinadas disposições da Decisão 2008/615/JAI do Conselho</w:t>
      </w:r>
      <w:r>
        <w:rPr>
          <w:rStyle w:val="FootnoteReference"/>
          <w:noProof/>
        </w:rPr>
        <w:footnoteReference w:id="10"/>
      </w:r>
      <w:r>
        <w:rPr>
          <w:noProof/>
        </w:rPr>
        <w:t xml:space="preserve"> relativa ao aprofundamento da cooperação transfronteiras, em particular no domínio da luta contra o terrorismo e a criminalidade transfronteiras, da Decisão 2008/616/JAI</w:t>
      </w:r>
      <w:r>
        <w:rPr>
          <w:rStyle w:val="FootnoteReference"/>
          <w:noProof/>
        </w:rPr>
        <w:footnoteReference w:id="11"/>
      </w:r>
      <w:r>
        <w:rPr>
          <w:noProof/>
        </w:rPr>
        <w:t xml:space="preserve"> do Conselho referente à execução da Decisão 2008/615/JAI, relativa ao aprofundamento da cooperação transfronteiras, em particular no domínio da luta contra o terrorismo e da criminalidade transfronteiras, e respetivo anexo, e da Decisão</w:t>
      </w:r>
      <w:r>
        <w:rPr>
          <w:noProof/>
        </w:rPr>
        <w:noBreakHyphen/>
        <w:t>Quadro 2009/905/JAI</w:t>
      </w:r>
      <w:r>
        <w:rPr>
          <w:rStyle w:val="FootnoteReference"/>
          <w:noProof/>
        </w:rPr>
        <w:footnoteReference w:id="12"/>
      </w:r>
      <w:r>
        <w:rPr>
          <w:noProof/>
        </w:rPr>
        <w:t xml:space="preserve"> do Conselho relativa à acreditação de prestadores de serviços forenses que desenvolvem atividades laboratoriais foi assinado em</w:t>
      </w:r>
      <w:r>
        <w:t xml:space="preserve"> </w:t>
      </w:r>
      <w:r>
        <w:rPr>
          <w:highlight w:val="yellow"/>
        </w:rPr>
        <w:t>[XXX],</w:t>
      </w:r>
      <w:r>
        <w:t xml:space="preserve"> </w:t>
      </w:r>
      <w:r>
        <w:rPr>
          <w:noProof/>
        </w:rPr>
        <w:t>sob reserva da sua celebração em data ulterior.</w:t>
      </w:r>
    </w:p>
    <w:p>
      <w:pPr>
        <w:pStyle w:val="ManualConsidrant"/>
        <w:rPr>
          <w:noProof/>
        </w:rPr>
      </w:pPr>
      <w:r>
        <w:lastRenderedPageBreak/>
        <w:t>(2)</w:t>
      </w:r>
      <w:r>
        <w:tab/>
      </w:r>
      <w:r>
        <w:rPr>
          <w:noProof/>
        </w:rPr>
        <w:t>O objetivo de melhorar o intercâmbio de informações no domínio da aplicação da lei para manter a segurança na União Europeia não pode ser suficientemente alcançado pelos Estados</w:t>
      </w:r>
      <w:r>
        <w:rPr>
          <w:noProof/>
        </w:rPr>
        <w:noBreakHyphen/>
        <w:t>Membros isoladamente devido à natureza da criminalidade internacional, que não se circunscreve às fronteiras existentes na União.</w:t>
      </w:r>
      <w:r>
        <w:rPr>
          <w:i/>
          <w:noProof/>
        </w:rPr>
        <w:t xml:space="preserve"> </w:t>
      </w:r>
      <w:r>
        <w:rPr>
          <w:noProof/>
        </w:rPr>
        <w:t>A possibilidade de todos os Estados-Membros e a Confederação Suíça terem acesso reciprocamente às bases de dados nacionais relativas aos ficheiros de análise de ADN, aos sistemas de identificação dactiloscópica e aos dados de registo de veículos tem uma importância primordial para promover a cooperação policial transnacional.</w:t>
      </w:r>
    </w:p>
    <w:p>
      <w:pPr>
        <w:pStyle w:val="ManualConsidrant"/>
        <w:rPr>
          <w:noProof/>
        </w:rPr>
      </w:pPr>
      <w:r>
        <w:t>(3)</w:t>
      </w:r>
      <w:r>
        <w:tab/>
      </w:r>
      <w:r>
        <w:rPr>
          <w:noProof/>
        </w:rPr>
        <w:t>Em conformidade com o artigo 8.º do Acordo, algumas das suas disposições são aplicadas a título provisório a partir da data da sua assinatura.</w:t>
      </w:r>
    </w:p>
    <w:p>
      <w:pPr>
        <w:pStyle w:val="ManualConsidrant"/>
        <w:rPr>
          <w:noProof/>
        </w:rPr>
      </w:pPr>
      <w:r>
        <w:t>(4)</w:t>
      </w:r>
      <w:r>
        <w:tab/>
      </w:r>
      <w:r>
        <w:rPr>
          <w:noProof/>
        </w:rPr>
        <w:t>O Acordo deve ser aprovado em nome da União Europeia.</w:t>
      </w:r>
    </w:p>
    <w:p>
      <w:pPr>
        <w:pStyle w:val="ManualConsidrant"/>
        <w:rPr>
          <w:noProof/>
        </w:rPr>
      </w:pPr>
      <w:r>
        <w:t>(5)</w:t>
      </w:r>
      <w:r>
        <w:tab/>
      </w:r>
      <w:r>
        <w:rPr>
          <w:noProof/>
        </w:rPr>
        <w:t>[Nos termos do artigo 3.° do Protocolo n.º 21 relativo à posição do Reino Unido e da Irlanda em relação ao espaço de liberdade, segurança e justiça, anexo ao Tratado da União Europeia e ao Tratado sobre o Funcionamento da União Europeia, estes Estados-Membros notificaram a intenção de participar na adoção e aplicação da presente decisão.]</w:t>
      </w:r>
    </w:p>
    <w:p>
      <w:pPr>
        <w:pStyle w:val="ManualConsidrant"/>
        <w:rPr>
          <w:noProof/>
        </w:rPr>
      </w:pPr>
      <w:r>
        <w:t>(6)</w:t>
      </w:r>
      <w:r>
        <w:tab/>
      </w:r>
      <w:r>
        <w:rPr>
          <w:noProof/>
        </w:rPr>
        <w:t>Nos termos dos artigos 1.º e 2.º do Protocolo n.º 22 relativo à posição da Dinamarca, anexo ao Tratado da União Europeia e ao Tratado sobre o Funcionamento da União Europeia, a Dinamarca não participa na adoção da presente decisão, não ficando por ela vinculada nem sujeita à sua aplicação.</w:t>
      </w:r>
    </w:p>
    <w:p>
      <w:pPr>
        <w:rPr>
          <w:noProof/>
        </w:rPr>
      </w:pPr>
    </w:p>
    <w:p>
      <w:pPr>
        <w:pStyle w:val="Formuledadoption"/>
        <w:rPr>
          <w:noProof/>
        </w:rPr>
      </w:pPr>
      <w:r>
        <w:rPr>
          <w:noProof/>
        </w:rPr>
        <w:t xml:space="preserve">ADOTOU A PRESENTE DECISÃO: </w:t>
      </w:r>
    </w:p>
    <w:p>
      <w:pPr>
        <w:pStyle w:val="Titrearticle"/>
        <w:rPr>
          <w:noProof/>
        </w:rPr>
      </w:pPr>
      <w:r>
        <w:rPr>
          <w:noProof/>
        </w:rPr>
        <w:t>Artigo 1.º</w:t>
      </w:r>
    </w:p>
    <w:p>
      <w:pPr>
        <w:rPr>
          <w:noProof/>
        </w:rPr>
      </w:pPr>
      <w:r>
        <w:rPr>
          <w:noProof/>
        </w:rPr>
        <w:t>É aprovado, em nome da União, o Acordo entre a União Europeia e a Confederação Suíça sobre a aplicação de determinadas disposições da Decisão 2008/615/JAI do Conselho relativa ao aprofundamento da cooperação transfronteiras, em particular no domínio da luta contra o terrorismo e a criminalidade transfronteiras, da Decisão 2008/616/JAI do Conselho referente à execução da Decisão 2008/615/JAI, relativa ao aprofundamento da cooperação transfronteiras, em particular no domínio da luta contra o terrorismo e da criminalidade transfronteiras, e respetivo anexo, e da Decisão</w:t>
      </w:r>
      <w:r>
        <w:rPr>
          <w:noProof/>
        </w:rPr>
        <w:noBreakHyphen/>
        <w:t>Quadro 2009/905/JAI do Conselho relativa à acreditação de prestadores de serviços forenses que desenvolvem atividades laboratoriais (a seguir designado «Acordo»).</w:t>
      </w:r>
    </w:p>
    <w:p>
      <w:pPr>
        <w:pStyle w:val="Titrearticle"/>
        <w:rPr>
          <w:noProof/>
        </w:rPr>
      </w:pPr>
      <w:r>
        <w:rPr>
          <w:noProof/>
        </w:rPr>
        <w:t>Artigo 2.º</w:t>
      </w:r>
    </w:p>
    <w:p>
      <w:pPr>
        <w:rPr>
          <w:noProof/>
        </w:rPr>
      </w:pPr>
      <w:r>
        <w:rPr>
          <w:noProof/>
        </w:rPr>
        <w:t>O presidente do Conselho designa a pessoa com poderes para proceder, em nome da União Europeia, à notificação prevista no artigo 8.º, n.º 1, do Acordo, a fim de expressar o consentimento da União Europeia em ficar vinculada pelo Acordo</w:t>
      </w:r>
      <w:r>
        <w:rPr>
          <w:rStyle w:val="FootnoteReference"/>
          <w:noProof/>
        </w:rPr>
        <w:footnoteReference w:id="13"/>
      </w:r>
      <w:r>
        <w:rPr>
          <w:noProof/>
        </w:rPr>
        <w:t>.</w:t>
      </w:r>
    </w:p>
    <w:p>
      <w:pPr>
        <w:pStyle w:val="Titrearticle"/>
        <w:keepNext w:val="0"/>
        <w:rPr>
          <w:noProof/>
        </w:rPr>
      </w:pPr>
      <w:r>
        <w:rPr>
          <w:noProof/>
        </w:rPr>
        <w:t>Artigo 3.º</w:t>
      </w:r>
    </w:p>
    <w:p>
      <w:pPr>
        <w:keepNext/>
        <w:keepLines/>
        <w:rPr>
          <w:noProof/>
        </w:rPr>
      </w:pPr>
      <w:r>
        <w:rPr>
          <w:noProof/>
        </w:rPr>
        <w:lastRenderedPageBreak/>
        <w:t xml:space="preserve">A presente decisão entra em vigor no dia seguinte ao da sua publicação no </w:t>
      </w:r>
      <w:r>
        <w:rPr>
          <w:i/>
          <w:noProof/>
        </w:rPr>
        <w:t>Jornal Oficial da União Europeia</w:t>
      </w:r>
      <w:r>
        <w:rPr>
          <w:noProof/>
        </w:rPr>
        <w:t>.</w:t>
      </w:r>
    </w:p>
    <w:p>
      <w:pPr>
        <w:keepNext/>
        <w:keepLines/>
        <w:rPr>
          <w:noProof/>
        </w:rPr>
      </w:pPr>
    </w:p>
    <w:p>
      <w:pPr>
        <w:pStyle w:val="Fait"/>
        <w:rPr>
          <w:noProof/>
        </w:rPr>
      </w:pPr>
      <w:r>
        <w:t>Feito em Bruxelas, em</w:t>
      </w:r>
    </w:p>
    <w:p>
      <w:pPr>
        <w:pStyle w:val="Institutionquisigne"/>
        <w:rPr>
          <w:noProof/>
        </w:rPr>
      </w:pPr>
      <w:r>
        <w:rPr>
          <w:noProof/>
        </w:rPr>
        <w:tab/>
        <w:t>Pelo Conselho</w:t>
      </w:r>
    </w:p>
    <w:p>
      <w:pPr>
        <w:pStyle w:val="Personnequisigne"/>
        <w:jc w:val="both"/>
        <w:rPr>
          <w:noProof/>
        </w:rPr>
      </w:pPr>
      <w:r>
        <w:rPr>
          <w:noProof/>
        </w:rPr>
        <w:tab/>
        <w:t>O Presidente</w:t>
      </w:r>
    </w:p>
    <w:sectPr>
      <w:headerReference w:type="default" r:id="rId18"/>
      <w:footerReference w:type="default" r:id="rId19"/>
      <w:headerReference w:type="first" r:id="rId20"/>
      <w:footerReference w:type="first" r:id="rId21"/>
      <w:footnotePr>
        <w:numRestart w:val="eachSect"/>
      </w:footnotePr>
      <w:pgSz w:w="11907" w:h="16839"/>
      <w:pgMar w:top="1134" w:right="850" w:bottom="1134" w:left="993" w:header="709" w:footer="709" w:gutter="0"/>
      <w:cols w:space="56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PT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PT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PT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5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PT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PT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8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PT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  <w:footnote w:id="1">
    <w:p>
      <w:pPr>
        <w:pStyle w:val="FootnoteText"/>
      </w:pPr>
      <w:r>
        <w:rPr>
          <w:rStyle w:val="FootnoteReference"/>
        </w:rPr>
        <w:footnoteRef/>
      </w:r>
      <w:r>
        <w:tab/>
      </w:r>
      <w:r>
        <w:rPr>
          <w:rStyle w:val="Emphasis"/>
          <w:i w:val="0"/>
        </w:rPr>
        <w:t>JO L 210 de 6.8.2008, p. 1.</w:t>
      </w:r>
    </w:p>
  </w:footnote>
  <w:footnote w:id="2">
    <w:p>
      <w:pPr>
        <w:pStyle w:val="FootnoteText"/>
      </w:pPr>
      <w:r>
        <w:rPr>
          <w:rStyle w:val="FootnoteReference"/>
        </w:rPr>
        <w:footnoteRef/>
      </w:r>
      <w:r>
        <w:tab/>
      </w:r>
      <w:r>
        <w:rPr>
          <w:rStyle w:val="Emphasis"/>
          <w:i w:val="0"/>
        </w:rPr>
        <w:t>JO L 210 de 6.8.2008, p. 12.</w:t>
      </w:r>
    </w:p>
  </w:footnote>
  <w:footnote w:id="3">
    <w:p>
      <w:pPr>
        <w:pStyle w:val="FootnoteText"/>
      </w:pPr>
      <w:r>
        <w:rPr>
          <w:rStyle w:val="FootnoteReference"/>
        </w:rPr>
        <w:footnoteRef/>
      </w:r>
      <w:r>
        <w:tab/>
      </w:r>
      <w:r>
        <w:rPr>
          <w:rStyle w:val="Emphasis"/>
          <w:i w:val="0"/>
        </w:rPr>
        <w:t>JO L 322 de 9.12.2009, p. 14.</w:t>
      </w:r>
    </w:p>
  </w:footnote>
  <w:footnote w:id="4">
    <w:p>
      <w:pPr>
        <w:pStyle w:val="FootnoteText"/>
      </w:pPr>
      <w:r>
        <w:rPr>
          <w:rStyle w:val="FootnoteReference"/>
        </w:rPr>
        <w:footnoteRef/>
      </w:r>
      <w:r>
        <w:tab/>
        <w:t>JO L 386 de 29.12.2006, p. 89.</w:t>
      </w:r>
    </w:p>
  </w:footnote>
  <w:footnote w:id="5">
    <w:p>
      <w:pPr>
        <w:pStyle w:val="FootnoteText"/>
      </w:pPr>
      <w:r>
        <w:rPr>
          <w:rStyle w:val="FootnoteReference"/>
        </w:rPr>
        <w:footnoteRef/>
      </w:r>
      <w:r>
        <w:tab/>
        <w:t>JO L 53 de 27.2.2008, p. 52.</w:t>
      </w:r>
    </w:p>
  </w:footnote>
  <w:footnote w:id="6">
    <w:p>
      <w:pPr>
        <w:pStyle w:val="FootnoteText"/>
      </w:pPr>
      <w:r>
        <w:rPr>
          <w:rStyle w:val="FootnoteReference"/>
        </w:rPr>
        <w:footnoteRef/>
      </w:r>
      <w:r>
        <w:tab/>
      </w:r>
      <w:r>
        <w:rPr>
          <w:color w:val="000000"/>
        </w:rPr>
        <w:t>Regulamento (UE) n.º 603/2013 do Parlamento Europeu e do Conselho, de 26 de junho de 2013, relativo à criação do sistema «Eurodac» de comparação de impressões digitais para efeitos da aplicação efetiva do Regulamento (UE) n.º 604/2013, que estabelece os critérios e mecanismos de determinação do Estado-Membro responsável pela análise de um pedido de proteção internacional apresentado num dos Estados-Membros por um nacional de um país terceiro ou um apátrida, e de pedidos de comparação com os dados Eurodac apresentados pelas autoridades responsáveis dos Estados-Membros e pela Europol para fins de aplicação da lei e que altera o Regulamento (UE) n.º 1077/2011 que cria uma Agência europeia para a gestão operacional de sistemas informáticos de grande escala no espaço de liberdade, segurança e justiça (</w:t>
      </w:r>
      <w:r>
        <w:rPr>
          <w:rStyle w:val="Emphasis"/>
          <w:i w:val="0"/>
        </w:rPr>
        <w:t>JO L 180 de 29.6.2013, p. 1)</w:t>
      </w:r>
      <w:r>
        <w:rPr>
          <w:i/>
          <w:color w:val="000000"/>
        </w:rPr>
        <w:t>.</w:t>
      </w:r>
    </w:p>
  </w:footnote>
  <w:footnote w:id="7">
    <w:p>
      <w:pPr>
        <w:pStyle w:val="FootnoteText"/>
      </w:pPr>
      <w:r>
        <w:rPr>
          <w:rStyle w:val="FootnoteReference"/>
        </w:rPr>
        <w:footnoteRef/>
      </w:r>
      <w:r>
        <w:tab/>
      </w:r>
      <w:r>
        <w:rPr>
          <w:rStyle w:val="Emphasis"/>
          <w:i w:val="0"/>
        </w:rPr>
        <w:t>JO C 202 de 7.6.2016, p. 295.</w:t>
      </w:r>
    </w:p>
  </w:footnote>
  <w:footnote w:id="8">
    <w:p>
      <w:pPr>
        <w:pStyle w:val="FootnoteText"/>
        <w:rPr>
          <w:i/>
        </w:rPr>
      </w:pPr>
      <w:r>
        <w:rPr>
          <w:rStyle w:val="FootnoteReference"/>
        </w:rPr>
        <w:footnoteRef/>
      </w:r>
      <w:r>
        <w:tab/>
      </w:r>
      <w:r>
        <w:rPr>
          <w:rStyle w:val="Emphasis"/>
          <w:i w:val="0"/>
        </w:rPr>
        <w:t>JO C 326 de 26.10.2012, p. 299.</w:t>
      </w:r>
    </w:p>
  </w:footnote>
  <w:footnote w:id="9">
    <w:p>
      <w:pPr>
        <w:pStyle w:val="FootnoteText"/>
      </w:pPr>
      <w:r>
        <w:rPr>
          <w:rStyle w:val="FootnoteReference"/>
        </w:rPr>
        <w:footnoteRef/>
      </w:r>
      <w:r>
        <w:tab/>
        <w:t>Decisão [</w:t>
      </w:r>
      <w:r>
        <w:rPr>
          <w:highlight w:val="yellow"/>
        </w:rPr>
        <w:t>XXX</w:t>
      </w:r>
      <w:r>
        <w:t>] do Conselho, de [</w:t>
      </w:r>
      <w:r>
        <w:rPr>
          <w:highlight w:val="yellow"/>
        </w:rPr>
        <w:t>XXX</w:t>
      </w:r>
      <w:r>
        <w:t xml:space="preserve">], relativa à assinatura, em nome da União Europeia, e à aplicação provisória de determinadas disposições do Acordo entre a União Europeia e a Confederação Suíça sobre a aplicação de determinadas disposições da Decisão 2008/615/JAI do Conselho relativa ao aprofundamento da cooperação transfronteiras, em particular no domínio da luta contra o terrorismo e a criminalidade transfronteiras, da Decisão 2008/616/JAI do Conselho referente à execução da Decisão 2008/615/JAI, relativa ao aprofundamento da cooperação transfronteiras, em particular no domínio da luta contra o terrorismo e da criminalidade transfronteiras, e respetivo anexo, e da Decisão-Quadro 2009/905/JAI do Conselho relativa à acreditação de prestadores de serviços forenses que desenvolvem atividades laboratoriais (JO L </w:t>
      </w:r>
      <w:r>
        <w:rPr>
          <w:highlight w:val="yellow"/>
        </w:rPr>
        <w:t>[…</w:t>
      </w:r>
      <w:r>
        <w:t>], de [</w:t>
      </w:r>
      <w:r>
        <w:rPr>
          <w:highlight w:val="yellow"/>
        </w:rPr>
        <w:t>…</w:t>
      </w:r>
      <w:r>
        <w:t>], p. [</w:t>
      </w:r>
      <w:r>
        <w:rPr>
          <w:highlight w:val="yellow"/>
        </w:rPr>
        <w:t>…</w:t>
      </w:r>
      <w:r>
        <w:t>]).</w:t>
      </w:r>
    </w:p>
  </w:footnote>
  <w:footnote w:id="10">
    <w:p>
      <w:pPr>
        <w:pStyle w:val="FootnoteText"/>
      </w:pPr>
      <w:r>
        <w:rPr>
          <w:rStyle w:val="FootnoteReference"/>
        </w:rPr>
        <w:footnoteRef/>
      </w:r>
      <w:r>
        <w:tab/>
        <w:t>Decisão 2008/615/JAI do Conselho, de 23 de junho de 2008, relativa ao aprofundamento da cooperação transfronteiras, em particular no domínio da luta contra o terrorismo e a criminalidade transfronteiras (</w:t>
      </w:r>
      <w:r>
        <w:rPr>
          <w:rStyle w:val="Emphasis"/>
          <w:i w:val="0"/>
        </w:rPr>
        <w:t>JO L 210 de 6.8.2008, p. 1).</w:t>
      </w:r>
    </w:p>
  </w:footnote>
  <w:footnote w:id="11">
    <w:p>
      <w:pPr>
        <w:pStyle w:val="FootnoteText"/>
      </w:pPr>
      <w:r>
        <w:rPr>
          <w:rStyle w:val="FootnoteReference"/>
        </w:rPr>
        <w:footnoteRef/>
      </w:r>
      <w:r>
        <w:tab/>
        <w:t>Decisão 2008/616/JAI do Conselho, de 23 de junho de 2008, referente à execução da Decisão 2008/615/JAI, relativa ao aprofundamento da cooperação transfronteiras, em particular no domínio da luta contra o terrorismo e da criminalidade transfronteiras (</w:t>
      </w:r>
      <w:r>
        <w:rPr>
          <w:rStyle w:val="Emphasis"/>
          <w:i w:val="0"/>
        </w:rPr>
        <w:t>JO L 210 de 6.8.2008, p. 12).</w:t>
      </w:r>
    </w:p>
  </w:footnote>
  <w:footnote w:id="12">
    <w:p>
      <w:pPr>
        <w:pStyle w:val="FootnoteText"/>
      </w:pPr>
      <w:r>
        <w:rPr>
          <w:rStyle w:val="FootnoteReference"/>
        </w:rPr>
        <w:footnoteRef/>
      </w:r>
      <w:r>
        <w:tab/>
        <w:t>Decisão-Quadro 2009/905/JAI do Conselho, de 30 de novembro de 2009, relativa à acreditação de prestadores de serviços forenses que desenvolvem atividades laboratoriais (</w:t>
      </w:r>
      <w:r>
        <w:rPr>
          <w:rStyle w:val="Emphasis"/>
          <w:i w:val="0"/>
        </w:rPr>
        <w:t>JO L 322 de 9.12.2009, p. 14).</w:t>
      </w:r>
    </w:p>
  </w:footnote>
  <w:footnote w:id="13">
    <w:p>
      <w:pPr>
        <w:pStyle w:val="FootnoteText"/>
      </w:pPr>
      <w:r>
        <w:rPr>
          <w:rStyle w:val="FootnoteReference"/>
        </w:rPr>
        <w:footnoteRef/>
      </w:r>
      <w:r>
        <w:tab/>
        <w:t xml:space="preserve">A data de entrada em vigor do Acordo é publicada no </w:t>
      </w:r>
      <w:r>
        <w:rPr>
          <w:i/>
        </w:rPr>
        <w:t>Jornal Oficial da União Europeia</w:t>
      </w:r>
      <w:r>
        <w:t xml:space="preserve"> pelo Secretariado-Geral do Conselho.</w:t>
      </w:r>
    </w:p>
    <w:p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76C4BF1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DE10946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D026000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93FA8C3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807C93F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D082A62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C12C3D6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6DF2409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21"/>
    <w:lvlOverride w:ilvl="0">
      <w:startOverride w:val="1"/>
    </w:lvlOverride>
  </w:num>
  <w:num w:numId="10">
    <w:abstractNumId w:val="18"/>
  </w:num>
  <w:num w:numId="11">
    <w:abstractNumId w:val="12"/>
  </w:num>
  <w:num w:numId="12">
    <w:abstractNumId w:val="20"/>
  </w:num>
  <w:num w:numId="13">
    <w:abstractNumId w:val="11"/>
  </w:num>
  <w:num w:numId="14">
    <w:abstractNumId w:val="13"/>
  </w:num>
  <w:num w:numId="15">
    <w:abstractNumId w:val="9"/>
  </w:num>
  <w:num w:numId="16">
    <w:abstractNumId w:val="19"/>
  </w:num>
  <w:num w:numId="17">
    <w:abstractNumId w:val="8"/>
  </w:num>
  <w:num w:numId="18">
    <w:abstractNumId w:val="14"/>
  </w:num>
  <w:num w:numId="19">
    <w:abstractNumId w:val="16"/>
  </w:num>
  <w:num w:numId="20">
    <w:abstractNumId w:val="17"/>
  </w:num>
  <w:num w:numId="21">
    <w:abstractNumId w:val="10"/>
  </w:num>
  <w:num w:numId="22">
    <w:abstractNumId w:val="15"/>
  </w:num>
  <w:num w:numId="23">
    <w:abstractNumId w:val="2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hideGrammaticalErrors/>
  <w:attachedTemplate r:id="rId1"/>
  <w:revisionView w:markup="0"/>
  <w:defaultTabStop w:val="720"/>
  <w:hyphenationZone w:val="425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QCDateTime" w:val="2019-01-24 16:24:12"/>
    <w:docVar w:name="DQCResult_Distribution" w:val="0;1"/>
    <w:docVar w:name="DQCResult_DocumentContent" w:val="0;0"/>
    <w:docVar w:name="DQCResult_DocumentSize" w:val="0;0"/>
    <w:docVar w:name="DQCResult_DocumentVersions" w:val="0;0"/>
    <w:docVar w:name="DQCResult_InvalidFootnotes" w:val="0;0"/>
    <w:docVar w:name="DQCResult_LinkedStyles" w:val="0;0"/>
    <w:docVar w:name="DQCResult_ModifiedMargins" w:val="0;1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6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CORRIGENDUM" w:val="&lt;UNUSED&gt;"/>
    <w:docVar w:name="LW_COVERPAGE_EXISTS" w:val="True"/>
    <w:docVar w:name="LW_COVERPAGE_GUID" w:val="41E77311-4FD0-4865-B2CA-4B67079A50EF"/>
    <w:docVar w:name="LW_COVERPAGE_TYPE" w:val="1"/>
    <w:docVar w:name="LW_CROSSREFERENCE" w:val="&lt;UNUSED&gt;"/>
    <w:docVar w:name="LW_DocType" w:val="COM"/>
    <w:docVar w:name="LW_EMISSION" w:val="31.1.2019"/>
    <w:docVar w:name="LW_EMISSION_ISODATE" w:val="2019-01-31"/>
    <w:docVar w:name="LW_EMISSION_LOCATION" w:val="BRX"/>
    <w:docVar w:name="LW_EMISSION_PREFIX" w:val="Bruxelas, "/>
    <w:docVar w:name="LW_EMISSION_SUFFIX" w:val="&lt;EMPTY&gt;"/>
    <w:docVar w:name="LW_ID_DOCMODEL" w:val="SJ-019"/>
    <w:docVar w:name="LW_ID_DOCSIGNATURE" w:val="SJ-019"/>
    <w:docVar w:name="LW_ID_DOCSTRUCTURE" w:val="COM/PL/ORG"/>
    <w:docVar w:name="LW_ID_DOCTYPE" w:val="SJ-019"/>
    <w:docVar w:name="LW_ID_EXP.MOTIFS.NEW" w:val="EM_PL_"/>
    <w:docVar w:name="LW_ID_STATUT" w:val="SJ-019"/>
    <w:docVar w:name="LW_INTERETEEE.CP" w:val="&lt;UNUSED&gt;"/>
    <w:docVar w:name="LW_LANGUE" w:val="PT"/>
    <w:docVar w:name="LW_LEVEL_OF_SENSITIVITY" w:val="Standard treatment"/>
    <w:docVar w:name="LW_NOM.INST" w:val="COMISSÃO EUROPEIA"/>
    <w:docVar w:name="LW_NOM.INST_JOINTDOC" w:val="&lt;EMPTY&gt;"/>
    <w:docVar w:name="LW_PART_NBR" w:val="1"/>
    <w:docVar w:name="LW_PART_NBR_TOTAL" w:val="1"/>
    <w:docVar w:name="LW_REF.II.NEW.CP" w:val="NLE"/>
    <w:docVar w:name="LW_REF.II.NEW.CP_NUMBER" w:val="0013"/>
    <w:docVar w:name="LW_REF.II.NEW.CP_YEAR" w:val="2019"/>
    <w:docVar w:name="LW_REF.INST.NEW" w:val="COM"/>
    <w:docVar w:name="LW_REF.INST.NEW_ADOPTED" w:val="final"/>
    <w:docVar w:name="LW_REF.INST.NEW_TEXT" w:val="(2019) 26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TATUT.CP" w:val="Proposta de"/>
    <w:docVar w:name="LW_SUPERTITRE" w:val="&lt;UNUSED&gt;"/>
    <w:docVar w:name="LW_TITRE.OBJ.CP" w:val="relativa à celebração do Acordo entre a União Europeia e a Confederação Suíça sobre a aplicação de determinadas disposições da Decisão 2008/615/JAI do Conselho relativa ao aprofundamento da cooperação transfronteiras, em particular no domínio da luta contra o terrorismo e a criminalidade transfronteiras, da Decisão 2008/616/JAI do Conselho referente à execução da Decisão 2008/615/JAI, relativa ao aprofundamento da cooperação transfronteiras, em particular no domínio da luta contra o terrorismo e da criminalidade transfronteiras, e respetivo anexo, e da Decisão_x001e_Quadro 2009/905/JAI do Conselho relativa à acreditação de prestadores de serviços forenses que desenvolvem atividades laboratoriais"/>
    <w:docVar w:name="LW_TYPE.DOC.CP" w:val="DECISÃO DO CONSELHO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pt-PT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6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6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6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6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character" w:customStyle="1" w:styleId="italic">
    <w:name w:val="italic"/>
  </w:style>
  <w:style w:type="paragraph" w:styleId="ListParagraph">
    <w:name w:val="List Paragraph"/>
    <w:basedOn w:val="Normal"/>
    <w:uiPriority w:val="34"/>
    <w:qFormat/>
    <w:pPr>
      <w:spacing w:before="0" w:after="0"/>
      <w:ind w:left="720"/>
      <w:jc w:val="left"/>
    </w:pPr>
    <w:rPr>
      <w:rFonts w:ascii="Calibri" w:eastAsia="Times New Roman" w:hAnsi="Calibri"/>
      <w:sz w:val="22"/>
    </w:r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character" w:customStyle="1" w:styleId="super">
    <w:name w:val="super"/>
    <w:basedOn w:val="DefaultParagraphFont"/>
  </w:style>
  <w:style w:type="character" w:customStyle="1" w:styleId="Headerorfooter">
    <w:name w:val="Header or footer_"/>
    <w:basedOn w:val="DefaultParagraphFont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Headerorfooter0">
    <w:name w:val="Header or footer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t-PT" w:eastAsia="en-US" w:bidi="en-US"/>
    </w:rPr>
  </w:style>
  <w:style w:type="character" w:customStyle="1" w:styleId="Headerorfooter85pt">
    <w:name w:val="Header or footer + 8.5 pt"/>
    <w:aliases w:val="Scaling 75%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75"/>
      <w:position w:val="0"/>
      <w:sz w:val="17"/>
      <w:szCs w:val="17"/>
      <w:u w:val="none"/>
      <w:lang w:val="pt-PT" w:eastAsia="fr-FR" w:bidi="fr-FR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pt-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pt-PT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pt-PT"/>
    </w:rPr>
  </w:style>
  <w:style w:type="paragraph" w:styleId="EndnoteText">
    <w:name w:val="endnote text"/>
    <w:basedOn w:val="Normal"/>
    <w:link w:val="EndnoteTextChar"/>
    <w:uiPriority w:val="99"/>
    <w:semiHidden/>
    <w:pPr>
      <w:spacing w:before="0" w:after="240"/>
    </w:pPr>
    <w:rPr>
      <w:rFonts w:eastAsia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rFonts w:ascii="Times New Roman" w:eastAsia="Times New Roman" w:hAnsi="Times New Roman" w:cs="Times New Roman"/>
      <w:sz w:val="20"/>
      <w:szCs w:val="20"/>
      <w:lang w:val="pt-PT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pt-PT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pt-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10"/>
      </w:numPr>
    </w:pPr>
  </w:style>
  <w:style w:type="paragraph" w:customStyle="1" w:styleId="Tiret1">
    <w:name w:val="Tiret 1"/>
    <w:basedOn w:val="Point1"/>
    <w:pPr>
      <w:numPr>
        <w:numId w:val="11"/>
      </w:numPr>
    </w:pPr>
  </w:style>
  <w:style w:type="paragraph" w:customStyle="1" w:styleId="Tiret2">
    <w:name w:val="Tiret 2"/>
    <w:basedOn w:val="Point2"/>
    <w:pPr>
      <w:numPr>
        <w:numId w:val="12"/>
      </w:numPr>
    </w:pPr>
  </w:style>
  <w:style w:type="paragraph" w:customStyle="1" w:styleId="Tiret3">
    <w:name w:val="Tiret 3"/>
    <w:basedOn w:val="Point3"/>
    <w:pPr>
      <w:numPr>
        <w:numId w:val="13"/>
      </w:numPr>
    </w:pPr>
  </w:style>
  <w:style w:type="paragraph" w:customStyle="1" w:styleId="Tiret4">
    <w:name w:val="Tiret 4"/>
    <w:basedOn w:val="Point4"/>
    <w:pPr>
      <w:numPr>
        <w:numId w:val="14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5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5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5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5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7"/>
      </w:numPr>
    </w:pPr>
  </w:style>
  <w:style w:type="paragraph" w:customStyle="1" w:styleId="Point1number">
    <w:name w:val="Point 1 (number)"/>
    <w:basedOn w:val="Normal"/>
    <w:pPr>
      <w:numPr>
        <w:ilvl w:val="2"/>
        <w:numId w:val="17"/>
      </w:numPr>
    </w:pPr>
  </w:style>
  <w:style w:type="paragraph" w:customStyle="1" w:styleId="Point2number">
    <w:name w:val="Point 2 (number)"/>
    <w:basedOn w:val="Normal"/>
    <w:pPr>
      <w:numPr>
        <w:ilvl w:val="4"/>
        <w:numId w:val="17"/>
      </w:numPr>
    </w:pPr>
  </w:style>
  <w:style w:type="paragraph" w:customStyle="1" w:styleId="Point3number">
    <w:name w:val="Point 3 (number)"/>
    <w:basedOn w:val="Normal"/>
    <w:pPr>
      <w:numPr>
        <w:ilvl w:val="6"/>
        <w:numId w:val="17"/>
      </w:numPr>
    </w:pPr>
  </w:style>
  <w:style w:type="paragraph" w:customStyle="1" w:styleId="Point0letter">
    <w:name w:val="Point 0 (letter)"/>
    <w:basedOn w:val="Normal"/>
    <w:pPr>
      <w:numPr>
        <w:ilvl w:val="1"/>
        <w:numId w:val="17"/>
      </w:numPr>
    </w:pPr>
  </w:style>
  <w:style w:type="paragraph" w:customStyle="1" w:styleId="Point1letter">
    <w:name w:val="Point 1 (letter)"/>
    <w:basedOn w:val="Normal"/>
    <w:pPr>
      <w:numPr>
        <w:ilvl w:val="3"/>
        <w:numId w:val="17"/>
      </w:numPr>
    </w:pPr>
  </w:style>
  <w:style w:type="paragraph" w:customStyle="1" w:styleId="Point2letter">
    <w:name w:val="Point 2 (letter)"/>
    <w:basedOn w:val="Normal"/>
    <w:pPr>
      <w:numPr>
        <w:ilvl w:val="5"/>
        <w:numId w:val="17"/>
      </w:numPr>
    </w:pPr>
  </w:style>
  <w:style w:type="paragraph" w:customStyle="1" w:styleId="Point3letter">
    <w:name w:val="Point 3 (letter)"/>
    <w:basedOn w:val="Normal"/>
    <w:pPr>
      <w:numPr>
        <w:ilvl w:val="7"/>
        <w:numId w:val="17"/>
      </w:numPr>
    </w:pPr>
  </w:style>
  <w:style w:type="paragraph" w:customStyle="1" w:styleId="Point4letter">
    <w:name w:val="Point 4 (letter)"/>
    <w:basedOn w:val="Normal"/>
    <w:pPr>
      <w:numPr>
        <w:ilvl w:val="8"/>
        <w:numId w:val="17"/>
      </w:numPr>
    </w:pPr>
  </w:style>
  <w:style w:type="paragraph" w:customStyle="1" w:styleId="Bullet0">
    <w:name w:val="Bullet 0"/>
    <w:basedOn w:val="Normal"/>
    <w:pPr>
      <w:numPr>
        <w:numId w:val="18"/>
      </w:numPr>
    </w:pPr>
  </w:style>
  <w:style w:type="paragraph" w:customStyle="1" w:styleId="Bullet1">
    <w:name w:val="Bullet 1"/>
    <w:basedOn w:val="Normal"/>
    <w:pPr>
      <w:numPr>
        <w:numId w:val="19"/>
      </w:numPr>
    </w:pPr>
  </w:style>
  <w:style w:type="paragraph" w:customStyle="1" w:styleId="Bullet2">
    <w:name w:val="Bullet 2"/>
    <w:basedOn w:val="Normal"/>
    <w:pPr>
      <w:numPr>
        <w:numId w:val="20"/>
      </w:numPr>
    </w:pPr>
  </w:style>
  <w:style w:type="paragraph" w:customStyle="1" w:styleId="Bullet3">
    <w:name w:val="Bullet 3"/>
    <w:basedOn w:val="Normal"/>
    <w:pPr>
      <w:numPr>
        <w:numId w:val="21"/>
      </w:numPr>
    </w:pPr>
  </w:style>
  <w:style w:type="paragraph" w:customStyle="1" w:styleId="Bullet4">
    <w:name w:val="Bullet 4"/>
    <w:basedOn w:val="Normal"/>
    <w:pPr>
      <w:numPr>
        <w:numId w:val="22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3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pt-PT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6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6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6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6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character" w:customStyle="1" w:styleId="italic">
    <w:name w:val="italic"/>
  </w:style>
  <w:style w:type="paragraph" w:styleId="ListParagraph">
    <w:name w:val="List Paragraph"/>
    <w:basedOn w:val="Normal"/>
    <w:uiPriority w:val="34"/>
    <w:qFormat/>
    <w:pPr>
      <w:spacing w:before="0" w:after="0"/>
      <w:ind w:left="720"/>
      <w:jc w:val="left"/>
    </w:pPr>
    <w:rPr>
      <w:rFonts w:ascii="Calibri" w:eastAsia="Times New Roman" w:hAnsi="Calibri"/>
      <w:sz w:val="22"/>
    </w:r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character" w:customStyle="1" w:styleId="super">
    <w:name w:val="super"/>
    <w:basedOn w:val="DefaultParagraphFont"/>
  </w:style>
  <w:style w:type="character" w:customStyle="1" w:styleId="Headerorfooter">
    <w:name w:val="Header or footer_"/>
    <w:basedOn w:val="DefaultParagraphFont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Headerorfooter0">
    <w:name w:val="Header or footer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t-PT" w:eastAsia="en-US" w:bidi="en-US"/>
    </w:rPr>
  </w:style>
  <w:style w:type="character" w:customStyle="1" w:styleId="Headerorfooter85pt">
    <w:name w:val="Header or footer + 8.5 pt"/>
    <w:aliases w:val="Scaling 75%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75"/>
      <w:position w:val="0"/>
      <w:sz w:val="17"/>
      <w:szCs w:val="17"/>
      <w:u w:val="none"/>
      <w:lang w:val="pt-PT" w:eastAsia="fr-FR" w:bidi="fr-FR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pt-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pt-PT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pt-PT"/>
    </w:rPr>
  </w:style>
  <w:style w:type="paragraph" w:styleId="EndnoteText">
    <w:name w:val="endnote text"/>
    <w:basedOn w:val="Normal"/>
    <w:link w:val="EndnoteTextChar"/>
    <w:uiPriority w:val="99"/>
    <w:semiHidden/>
    <w:pPr>
      <w:spacing w:before="0" w:after="240"/>
    </w:pPr>
    <w:rPr>
      <w:rFonts w:eastAsia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rFonts w:ascii="Times New Roman" w:eastAsia="Times New Roman" w:hAnsi="Times New Roman" w:cs="Times New Roman"/>
      <w:sz w:val="20"/>
      <w:szCs w:val="20"/>
      <w:lang w:val="pt-PT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pt-PT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pt-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10"/>
      </w:numPr>
    </w:pPr>
  </w:style>
  <w:style w:type="paragraph" w:customStyle="1" w:styleId="Tiret1">
    <w:name w:val="Tiret 1"/>
    <w:basedOn w:val="Point1"/>
    <w:pPr>
      <w:numPr>
        <w:numId w:val="11"/>
      </w:numPr>
    </w:pPr>
  </w:style>
  <w:style w:type="paragraph" w:customStyle="1" w:styleId="Tiret2">
    <w:name w:val="Tiret 2"/>
    <w:basedOn w:val="Point2"/>
    <w:pPr>
      <w:numPr>
        <w:numId w:val="12"/>
      </w:numPr>
    </w:pPr>
  </w:style>
  <w:style w:type="paragraph" w:customStyle="1" w:styleId="Tiret3">
    <w:name w:val="Tiret 3"/>
    <w:basedOn w:val="Point3"/>
    <w:pPr>
      <w:numPr>
        <w:numId w:val="13"/>
      </w:numPr>
    </w:pPr>
  </w:style>
  <w:style w:type="paragraph" w:customStyle="1" w:styleId="Tiret4">
    <w:name w:val="Tiret 4"/>
    <w:basedOn w:val="Point4"/>
    <w:pPr>
      <w:numPr>
        <w:numId w:val="14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5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5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5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5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7"/>
      </w:numPr>
    </w:pPr>
  </w:style>
  <w:style w:type="paragraph" w:customStyle="1" w:styleId="Point1number">
    <w:name w:val="Point 1 (number)"/>
    <w:basedOn w:val="Normal"/>
    <w:pPr>
      <w:numPr>
        <w:ilvl w:val="2"/>
        <w:numId w:val="17"/>
      </w:numPr>
    </w:pPr>
  </w:style>
  <w:style w:type="paragraph" w:customStyle="1" w:styleId="Point2number">
    <w:name w:val="Point 2 (number)"/>
    <w:basedOn w:val="Normal"/>
    <w:pPr>
      <w:numPr>
        <w:ilvl w:val="4"/>
        <w:numId w:val="17"/>
      </w:numPr>
    </w:pPr>
  </w:style>
  <w:style w:type="paragraph" w:customStyle="1" w:styleId="Point3number">
    <w:name w:val="Point 3 (number)"/>
    <w:basedOn w:val="Normal"/>
    <w:pPr>
      <w:numPr>
        <w:ilvl w:val="6"/>
        <w:numId w:val="17"/>
      </w:numPr>
    </w:pPr>
  </w:style>
  <w:style w:type="paragraph" w:customStyle="1" w:styleId="Point0letter">
    <w:name w:val="Point 0 (letter)"/>
    <w:basedOn w:val="Normal"/>
    <w:pPr>
      <w:numPr>
        <w:ilvl w:val="1"/>
        <w:numId w:val="17"/>
      </w:numPr>
    </w:pPr>
  </w:style>
  <w:style w:type="paragraph" w:customStyle="1" w:styleId="Point1letter">
    <w:name w:val="Point 1 (letter)"/>
    <w:basedOn w:val="Normal"/>
    <w:pPr>
      <w:numPr>
        <w:ilvl w:val="3"/>
        <w:numId w:val="17"/>
      </w:numPr>
    </w:pPr>
  </w:style>
  <w:style w:type="paragraph" w:customStyle="1" w:styleId="Point2letter">
    <w:name w:val="Point 2 (letter)"/>
    <w:basedOn w:val="Normal"/>
    <w:pPr>
      <w:numPr>
        <w:ilvl w:val="5"/>
        <w:numId w:val="17"/>
      </w:numPr>
    </w:pPr>
  </w:style>
  <w:style w:type="paragraph" w:customStyle="1" w:styleId="Point3letter">
    <w:name w:val="Point 3 (letter)"/>
    <w:basedOn w:val="Normal"/>
    <w:pPr>
      <w:numPr>
        <w:ilvl w:val="7"/>
        <w:numId w:val="17"/>
      </w:numPr>
    </w:pPr>
  </w:style>
  <w:style w:type="paragraph" w:customStyle="1" w:styleId="Point4letter">
    <w:name w:val="Point 4 (letter)"/>
    <w:basedOn w:val="Normal"/>
    <w:pPr>
      <w:numPr>
        <w:ilvl w:val="8"/>
        <w:numId w:val="17"/>
      </w:numPr>
    </w:pPr>
  </w:style>
  <w:style w:type="paragraph" w:customStyle="1" w:styleId="Bullet0">
    <w:name w:val="Bullet 0"/>
    <w:basedOn w:val="Normal"/>
    <w:pPr>
      <w:numPr>
        <w:numId w:val="18"/>
      </w:numPr>
    </w:pPr>
  </w:style>
  <w:style w:type="paragraph" w:customStyle="1" w:styleId="Bullet1">
    <w:name w:val="Bullet 1"/>
    <w:basedOn w:val="Normal"/>
    <w:pPr>
      <w:numPr>
        <w:numId w:val="19"/>
      </w:numPr>
    </w:pPr>
  </w:style>
  <w:style w:type="paragraph" w:customStyle="1" w:styleId="Bullet2">
    <w:name w:val="Bullet 2"/>
    <w:basedOn w:val="Normal"/>
    <w:pPr>
      <w:numPr>
        <w:numId w:val="20"/>
      </w:numPr>
    </w:pPr>
  </w:style>
  <w:style w:type="paragraph" w:customStyle="1" w:styleId="Bullet3">
    <w:name w:val="Bullet 3"/>
    <w:basedOn w:val="Normal"/>
    <w:pPr>
      <w:numPr>
        <w:numId w:val="21"/>
      </w:numPr>
    </w:pPr>
  </w:style>
  <w:style w:type="paragraph" w:customStyle="1" w:styleId="Bullet4">
    <w:name w:val="Bullet 4"/>
    <w:basedOn w:val="Normal"/>
    <w:pPr>
      <w:numPr>
        <w:numId w:val="22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3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5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83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66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5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940078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23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638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319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536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3060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794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3973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429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0796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2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33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44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11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166324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47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71022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525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807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973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3277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2093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8674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2380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39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07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8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85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623846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8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77217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055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9288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1373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35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6008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39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0790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5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0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20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62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782205">
                      <w:marLeft w:val="0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670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192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82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37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025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6655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9124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9554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0835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4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6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COM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46E636AF-BEFB-4E14-A1C1-BE2D13CBA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COM.dotm</Template>
  <TotalTime>6</TotalTime>
  <Pages>9</Pages>
  <Words>2570</Words>
  <Characters>14444</Characters>
  <Application>Microsoft Office Word</Application>
  <DocSecurity>0</DocSecurity>
  <Lines>236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WES PDFC Administrator</cp:lastModifiedBy>
  <cp:revision>18</cp:revision>
  <cp:lastPrinted>2018-08-29T08:19:00Z</cp:lastPrinted>
  <dcterms:created xsi:type="dcterms:W3CDTF">2019-01-11T08:16:00Z</dcterms:created>
  <dcterms:modified xsi:type="dcterms:W3CDTF">2019-01-24T15:24:00Z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COM/PL/ORG</vt:lpwstr>
  </property>
  <property fmtid="{D5CDD505-2E9C-101B-9397-08002B2CF9AE}" pid="3" name="Version">
    <vt:lpwstr>6.0.1.0</vt:lpwstr>
  </property>
  <property fmtid="{D5CDD505-2E9C-101B-9397-08002B2CF9AE}" pid="4" name="Last edited using">
    <vt:lpwstr>LW 6.0.1, Build 20180503</vt:lpwstr>
  </property>
  <property fmtid="{D5CDD505-2E9C-101B-9397-08002B2CF9AE}" pid="5" name="Created using">
    <vt:lpwstr>LW 6.0, Build 20171009</vt:lpwstr>
  </property>
  <property fmtid="{D5CDD505-2E9C-101B-9397-08002B2CF9AE}" pid="6" name="Part">
    <vt:lpwstr>1</vt:lpwstr>
  </property>
  <property fmtid="{D5CDD505-2E9C-101B-9397-08002B2CF9AE}" pid="7" name="Total parts">
    <vt:lpwstr>1</vt:lpwstr>
  </property>
  <property fmtid="{D5CDD505-2E9C-101B-9397-08002B2CF9AE}" pid="8" name="Level of sensitivity">
    <vt:lpwstr>Standard treatment</vt:lpwstr>
  </property>
  <property fmtid="{D5CDD505-2E9C-101B-9397-08002B2CF9AE}" pid="9" name="LWTemplateID">
    <vt:lpwstr>SJ-019</vt:lpwstr>
  </property>
  <property fmtid="{D5CDD505-2E9C-101B-9397-08002B2CF9AE}" pid="10" name="DQCStatus">
    <vt:lpwstr>Green (DQC version 03)</vt:lpwstr>
  </property>
</Properties>
</file>