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8E99E1-7BE3-45E3-81FF-E0D37E05168F" style="width:450.8pt;height:352.7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b/>
          <w:noProof/>
        </w:rPr>
      </w:pPr>
      <w:r>
        <w:rPr>
          <w:noProof/>
        </w:rPr>
        <w:t>Ziel des Vorschlags ist es, die gemäß Artikel 91 Absatz 1 der Verordnung (EU) Nr. 1303/2013</w:t>
      </w:r>
      <w:r>
        <w:rPr>
          <w:rStyle w:val="FootnoteReference"/>
          <w:noProof/>
        </w:rPr>
        <w:footnoteReference w:id="1"/>
      </w:r>
      <w:r>
        <w:rPr>
          <w:noProof/>
        </w:rPr>
        <w:t xml:space="preserve"> verfügbaren Mittel für den wirtschaftlichen, sozialen und territorialen Zusammenhalt, die gemäß Artikel 92 Absatz 5 der genannten Verordnung für die besondere Mittelzuweisung zugunsten der Beschäftigungsinitiative für junge Menschen (YEI) verfügbaren Mittel und die jährliche Aufteilung der Mittel für Verpflichtungen aus Anhang VI der genannten Verordnung an die Aufstockung der Mittel für die YEI entsprechend dem für 2019 festgestellten Haushaltsplan anzupassen. Konkret sollten die Mittel für Verpflichtungen für die besondere Mittelzuweisung zugunsten der YEI um 116,7 Mio. EUR zu jeweiligen Preisen angehoben werden, sodass sie sich für das Jahr 2019 insgesamt auf 350 Mio. EUR belaufen. </w:t>
      </w:r>
    </w:p>
    <w:p>
      <w:pPr>
        <w:rPr>
          <w:b/>
          <w:noProof/>
        </w:rPr>
      </w:pPr>
      <w:r>
        <w:rPr>
          <w:noProof/>
        </w:rPr>
        <w:t>Angesichts der bisherigen Erfahrungen mit der Aufstockung der Mittel für die besondere Mittelzuweisung zugunsten der YEI, die weitreichende Änderungen an den Programmen auslöste, um Beträge aus dem Europäischen Sozialfonds (ESF) bereitzustellen, die mindestens so hoch wie die Unterstützung durch die besondere Mittelzuweisung zugunsten der YEI waren, forderten die beiden gesetzgebenden Organe der EU die Kommission zudem auf, begleitende Maßnahmen vorzuschlagen, um eine rasche Programmierung der zusätzlichen YEI-Mittel im Jahr 2019 sicherzustellen, damit der Fortschritt bei der Gesamtumsetzung der operationellen Programme 2014-2020 nicht behindert wird. Der Vorschlag enthält daher einschlägige Bestimmungen, um dieser Forderung nachzukommen.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noProof/>
        </w:rPr>
      </w:pPr>
      <w:r>
        <w:rPr>
          <w:noProof/>
        </w:rPr>
        <w:t xml:space="preserve">Dieser Vorschlag ergibt sich aus dem Unionshaushaltsplan 2019. </w:t>
      </w:r>
    </w:p>
    <w:p>
      <w:pPr>
        <w:pStyle w:val="ManualHeading2"/>
        <w:rPr>
          <w:rFonts w:eastAsia="Arial Unicode MS"/>
          <w:noProof/>
        </w:rPr>
      </w:pPr>
      <w:r>
        <w:rPr>
          <w:noProof/>
          <w:color w:val="000000"/>
          <w:u w:color="000000"/>
          <w:bdr w:val="nil"/>
        </w:rPr>
        <w:t>•</w:t>
      </w:r>
      <w:r>
        <w:rPr>
          <w:noProof/>
        </w:rPr>
        <w:tab/>
        <w:t>Kohärenz mit der Politik der Union in anderen Bereichen</w:t>
      </w:r>
    </w:p>
    <w:p>
      <w:pPr>
        <w:pBdr>
          <w:top w:val="nil"/>
          <w:left w:val="nil"/>
          <w:bottom w:val="nil"/>
          <w:right w:val="nil"/>
          <w:between w:val="nil"/>
          <w:bar w:val="nil"/>
        </w:pBdr>
        <w:spacing w:before="0" w:after="240"/>
        <w:rPr>
          <w:rFonts w:eastAsia="Arial Unicode MS"/>
          <w:noProof/>
        </w:rPr>
      </w:pPr>
      <w:r>
        <w:rPr>
          <w:noProof/>
        </w:rPr>
        <w:t xml:space="preserve">Der Vorschlag steht im Einklang mit anderen Vorschlägen und Initiativen, die die Europäische Kommission angenommen hat. </w:t>
      </w: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rPr>
        <w:t>•</w:t>
      </w:r>
      <w:r>
        <w:rPr>
          <w:noProof/>
        </w:rPr>
        <w:tab/>
        <w:t>Rechtsgrundlage</w:t>
      </w:r>
    </w:p>
    <w:p>
      <w:pPr>
        <w:pBdr>
          <w:top w:val="nil"/>
          <w:left w:val="nil"/>
          <w:bottom w:val="nil"/>
          <w:right w:val="nil"/>
          <w:between w:val="nil"/>
          <w:bar w:val="nil"/>
        </w:pBdr>
        <w:spacing w:before="0" w:after="240"/>
        <w:rPr>
          <w:noProof/>
        </w:rPr>
      </w:pPr>
      <w:r>
        <w:rPr>
          <w:noProof/>
        </w:rPr>
        <w:t>Die Überarbeitung spiegelt die Aufstockung der Mittel für die besondere Mittelzuweisung zugunsten der YEI im Unionshaushaltsplan 2019 wider.</w:t>
      </w:r>
    </w:p>
    <w:p>
      <w:pPr>
        <w:pStyle w:val="ManualHeading2"/>
        <w:rPr>
          <w:rFonts w:eastAsia="Arial Unicode MS"/>
          <w:noProof/>
          <w:u w:color="000000"/>
          <w:bdr w:val="nil"/>
        </w:rPr>
      </w:pPr>
      <w:r>
        <w:rPr>
          <w:noProof/>
        </w:rPr>
        <w:t>•</w:t>
      </w:r>
      <w:r>
        <w:rPr>
          <w:noProof/>
        </w:rPr>
        <w:tab/>
        <w:t>Subsidiarität (bei nicht ausschließlicher Zuständigkeit)</w:t>
      </w:r>
    </w:p>
    <w:p>
      <w:pPr>
        <w:pBdr>
          <w:top w:val="nil"/>
          <w:left w:val="nil"/>
          <w:bottom w:val="nil"/>
          <w:right w:val="nil"/>
          <w:between w:val="nil"/>
          <w:bar w:val="nil"/>
        </w:pBdr>
        <w:spacing w:before="0" w:after="240"/>
        <w:rPr>
          <w:noProof/>
        </w:rPr>
      </w:pPr>
      <w:r>
        <w:rPr>
          <w:noProof/>
        </w:rPr>
        <w:t>Der Vorschlag steht mit dem Subsidiaritätsprinzip im Einklang.</w:t>
      </w:r>
    </w:p>
    <w:p>
      <w:pPr>
        <w:pStyle w:val="ManualHeading2"/>
        <w:rPr>
          <w:rFonts w:eastAsia="Arial Unicode MS"/>
          <w:noProof/>
          <w:u w:color="000000"/>
          <w:bdr w:val="nil"/>
        </w:rPr>
      </w:pPr>
      <w:r>
        <w:rPr>
          <w:noProof/>
        </w:rPr>
        <w:t>•</w:t>
      </w:r>
      <w:r>
        <w:rPr>
          <w:noProof/>
        </w:rPr>
        <w:tab/>
        <w:t>Verhältnismäßigkeit</w:t>
      </w:r>
    </w:p>
    <w:p>
      <w:pPr>
        <w:rPr>
          <w:noProof/>
        </w:rPr>
      </w:pPr>
      <w:r>
        <w:rPr>
          <w:noProof/>
        </w:rPr>
        <w:t>Der Vorschlag ist verhältnismäßig. Er beinhaltet die erforderlichen technischen Anpassungen nach der Feststellung des Haushaltsplans 2019 zur Aufstockung der Mittel für die besondere Mittelzuweisung zugunsten der YEI. Angesichts der Aufforderung der Haushaltsbehörde, die Programmplanung zu erleichtern und einen reibungslosen Einsatz der aufgestockten Mittel zu gewährleisten, sieht der Vorschlag überdies die Möglichkeit für die Mitgliedstaaten vor, einen Teil der zusätzlichen Mittel zu übertragen, um die entsprechende ESF-Unterstützung sicherzustellen.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noProof/>
        </w:rPr>
      </w:pPr>
      <w:r>
        <w:rPr>
          <w:noProof/>
        </w:rPr>
        <w:t>Vorgeschlagenes Instrument: Änderung der geltenden Verordnung.</w:t>
      </w:r>
    </w:p>
    <w:p>
      <w:pPr>
        <w:pBdr>
          <w:top w:val="nil"/>
          <w:left w:val="nil"/>
          <w:bottom w:val="nil"/>
          <w:right w:val="nil"/>
          <w:between w:val="nil"/>
          <w:bar w:val="nil"/>
        </w:pBdr>
        <w:spacing w:before="0" w:after="240"/>
        <w:rPr>
          <w:rFonts w:eastAsia="Arial Unicode MS"/>
          <w:noProof/>
        </w:rPr>
      </w:pPr>
      <w:r>
        <w:rPr>
          <w:noProof/>
        </w:rPr>
        <w:t>Die Kommission hat den durch den Rechtsrahmen eingeräumten Handlungsspielraum ausgelotet und hält es für notwendig, Änderungen der Verordnung (EU) Nr. 1303/2013 vorzuschlagen.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Ex-post-Bewertung/Eignungsprüfungen bestehender Rechtsvorschriften</w:t>
      </w:r>
    </w:p>
    <w:p>
      <w:pPr>
        <w:pBdr>
          <w:top w:val="nil"/>
          <w:left w:val="nil"/>
          <w:bottom w:val="nil"/>
          <w:right w:val="nil"/>
          <w:between w:val="nil"/>
          <w:bar w:val="nil"/>
        </w:pBdr>
        <w:spacing w:before="0" w:after="240"/>
        <w:rPr>
          <w:rFonts w:eastAsia="Arial Unicode MS"/>
          <w:noProof/>
        </w:rPr>
      </w:pPr>
      <w:r>
        <w:rPr>
          <w:noProof/>
        </w:rPr>
        <w:t>In Anbetracht der besonderen Umstände dieses Vorschlags erfolgte/n keine Ex-post-Bewertung/Eignungsprüfungen bestehender Rechtsvorschriften.</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In Anbetracht der besonderen Umstände dieses Vorschlags erfolgte keine Konsultation externer Interessenträger.</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Die Nutzung externen Fachwissens war nicht erforderlich.</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Effizienz der Rechtsetzung und Vereinfachung</w:t>
      </w:r>
    </w:p>
    <w:p>
      <w:pPr>
        <w:pBdr>
          <w:top w:val="nil"/>
          <w:left w:val="nil"/>
          <w:bottom w:val="nil"/>
          <w:right w:val="nil"/>
          <w:between w:val="nil"/>
          <w:bar w:val="nil"/>
        </w:pBdr>
        <w:spacing w:before="0" w:after="240"/>
        <w:rPr>
          <w:noProof/>
        </w:rPr>
      </w:pPr>
      <w:r>
        <w:rPr>
          <w:noProof/>
        </w:rPr>
        <w:t>Keine Initiative im Rahmen des Programms zur Gewährleistung der Effizienz und Leistungsfähigkeit der Rechtsetzung (REFIT).</w:t>
      </w:r>
    </w:p>
    <w:p>
      <w:pPr>
        <w:pStyle w:val="ManualHeading2"/>
        <w:rPr>
          <w:rFonts w:eastAsia="Arial Unicode MS"/>
          <w:noProof/>
          <w:u w:color="000000"/>
          <w:bdr w:val="nil"/>
        </w:rPr>
      </w:pPr>
      <w:r>
        <w:rPr>
          <w:noProof/>
        </w:rPr>
        <w:t>•</w:t>
      </w:r>
      <w:r>
        <w:rPr>
          <w:noProof/>
        </w:rPr>
        <w:tab/>
        <w:t>Grundrechte</w:t>
      </w:r>
    </w:p>
    <w:p>
      <w:pPr>
        <w:pBdr>
          <w:top w:val="nil"/>
          <w:left w:val="nil"/>
          <w:bottom w:val="nil"/>
          <w:right w:val="nil"/>
          <w:between w:val="nil"/>
          <w:bar w:val="nil"/>
        </w:pBdr>
        <w:spacing w:before="0" w:after="240"/>
        <w:rPr>
          <w:rFonts w:eastAsia="Arial Unicode MS"/>
          <w:noProof/>
        </w:rPr>
      </w:pPr>
      <w:r>
        <w:rPr>
          <w:noProof/>
        </w:rPr>
        <w:t>Der Vorschlag hat keine Auswirkungen auf den Schutz der Grundrechte.</w:t>
      </w:r>
    </w:p>
    <w:p>
      <w:pPr>
        <w:pStyle w:val="ManualHeading1"/>
        <w:rPr>
          <w:noProof/>
        </w:rPr>
      </w:pPr>
      <w:r>
        <w:rPr>
          <w:noProof/>
        </w:rPr>
        <w:t>4.</w:t>
      </w:r>
      <w:r>
        <w:rPr>
          <w:noProof/>
        </w:rPr>
        <w:tab/>
        <w:t>AUSWIRKUNGEN AUF DEN HAUSHALT</w:t>
      </w:r>
    </w:p>
    <w:p>
      <w:pPr>
        <w:pBdr>
          <w:top w:val="nil"/>
          <w:left w:val="nil"/>
          <w:bottom w:val="nil"/>
          <w:right w:val="nil"/>
          <w:between w:val="nil"/>
          <w:bar w:val="nil"/>
        </w:pBdr>
        <w:spacing w:before="0" w:after="240"/>
        <w:rPr>
          <w:noProof/>
        </w:rPr>
      </w:pPr>
      <w:r>
        <w:rPr>
          <w:noProof/>
        </w:rPr>
        <w:t>Die Mittel für Verpflichtungen für 2019 für die besondere Mittelzuweisung zugunsten der YEI sollten um 116,7 Mio. EUR auf 350 Mio. EUR zu jeweiligen Preisen aufgestockt werden.</w:t>
      </w:r>
    </w:p>
    <w:p>
      <w:pPr>
        <w:pBdr>
          <w:top w:val="nil"/>
          <w:left w:val="nil"/>
          <w:bottom w:val="nil"/>
          <w:right w:val="nil"/>
          <w:between w:val="nil"/>
          <w:bar w:val="nil"/>
        </w:pBdr>
        <w:spacing w:before="0" w:after="240"/>
        <w:rPr>
          <w:noProof/>
        </w:rPr>
      </w:pPr>
      <w:r>
        <w:rPr>
          <w:noProof/>
        </w:rPr>
        <w:t>Die vorgeschlagene Änderung sollte nicht zu zusätzlichen Mitteln für Zahlungen im Jahr 2019 führen. Für 2020 sollten sich die Auswirkungen auf den Haushalt nur auf die zusätzlichen Mittel für Zahlungen beschränken, um die jährliche Vorfinanzierung aufgrund der aufgestockten Mittel zugunsten der YEI abzudecken.</w:t>
      </w:r>
    </w:p>
    <w:p>
      <w:pPr>
        <w:pStyle w:val="ManualHeading1"/>
        <w:rPr>
          <w:noProof/>
        </w:rPr>
      </w:pPr>
      <w:r>
        <w:rPr>
          <w:noProof/>
        </w:rPr>
        <w:t>5.</w:t>
      </w:r>
      <w:r>
        <w:rPr>
          <w:noProof/>
        </w:rPr>
        <w:tab/>
        <w:t>WEITERE ANGABEN</w:t>
      </w:r>
    </w:p>
    <w:p>
      <w:pPr>
        <w:pStyle w:val="ManualHeading2"/>
        <w:rPr>
          <w:rFonts w:eastAsia="Arial Unicode MS"/>
          <w:noProof/>
          <w:u w:color="000000"/>
          <w:bdr w:val="nil"/>
        </w:rPr>
      </w:pPr>
      <w:r>
        <w:rPr>
          <w:noProof/>
        </w:rPr>
        <w:t>•</w:t>
      </w:r>
      <w:r>
        <w:rPr>
          <w:noProof/>
        </w:rPr>
        <w:tab/>
        <w:t>Durchführungspläne sowie Monitoring-, Bewertungs- und Berichterstattungsmodalitäten</w:t>
      </w:r>
    </w:p>
    <w:p>
      <w:pPr>
        <w:pBdr>
          <w:top w:val="nil"/>
          <w:left w:val="nil"/>
          <w:bottom w:val="nil"/>
          <w:right w:val="nil"/>
          <w:between w:val="nil"/>
          <w:bar w:val="nil"/>
        </w:pBdr>
        <w:spacing w:before="0" w:after="240"/>
        <w:rPr>
          <w:rFonts w:eastAsia="Arial Unicode MS"/>
          <w:noProof/>
        </w:rPr>
      </w:pPr>
      <w:r>
        <w:rPr>
          <w:noProof/>
        </w:rPr>
        <w:t>Entfällt.</w:t>
      </w:r>
    </w:p>
    <w:p>
      <w:pPr>
        <w:pStyle w:val="ManualHeading2"/>
        <w:rPr>
          <w:rFonts w:eastAsia="Arial Unicode MS"/>
          <w:noProof/>
          <w:u w:color="000000"/>
          <w:bdr w:val="nil"/>
        </w:rPr>
      </w:pPr>
      <w:r>
        <w:rPr>
          <w:noProof/>
        </w:rPr>
        <w:t>•</w:t>
      </w:r>
      <w:r>
        <w:rPr>
          <w:noProof/>
        </w:rPr>
        <w:tab/>
        <w:t>Erläuternde Dokumente (bei Richtlinien)</w:t>
      </w:r>
    </w:p>
    <w:p>
      <w:pPr>
        <w:pBdr>
          <w:top w:val="nil"/>
          <w:left w:val="nil"/>
          <w:bottom w:val="nil"/>
          <w:right w:val="nil"/>
          <w:between w:val="nil"/>
          <w:bar w:val="nil"/>
        </w:pBdr>
        <w:spacing w:before="0" w:after="240"/>
        <w:rPr>
          <w:noProof/>
        </w:rPr>
      </w:pPr>
      <w:r>
        <w:rPr>
          <w:noProof/>
        </w:rPr>
        <w:t>Entfällt.</w:t>
      </w:r>
    </w:p>
    <w:p>
      <w:pPr>
        <w:pStyle w:val="ManualHeading2"/>
        <w:rPr>
          <w:rFonts w:eastAsia="Arial Unicode MS"/>
          <w:noProof/>
          <w:u w:color="000000"/>
          <w:bdr w:val="nil"/>
        </w:rPr>
      </w:pPr>
      <w:r>
        <w:rPr>
          <w:noProof/>
        </w:rPr>
        <w:t>•</w:t>
      </w:r>
      <w:r>
        <w:rPr>
          <w:noProof/>
        </w:rPr>
        <w:tab/>
        <w:t>Ausführliche Erläuterung einzelner Bestimmungen des Vorschlags</w:t>
      </w:r>
    </w:p>
    <w:p>
      <w:pPr>
        <w:pBdr>
          <w:top w:val="nil"/>
          <w:left w:val="nil"/>
          <w:bottom w:val="nil"/>
          <w:right w:val="nil"/>
          <w:between w:val="nil"/>
          <w:bar w:val="nil"/>
        </w:pBdr>
        <w:spacing w:before="0" w:after="240"/>
        <w:rPr>
          <w:noProof/>
        </w:rPr>
      </w:pPr>
      <w:r>
        <w:rPr>
          <w:noProof/>
        </w:rPr>
        <w:t>Ziel des Vorschlags ist es, die gemäß Artikel 91 Absatz 1 bzw. Artikel 92 Absatz 5 der Verordnung (EU) Nr. 1303/2013 verfügbaren Mittel für den wirtschaftlichen, sozialen und territorialen Zusammenhalt bzw. für die YEI und die jährliche Aufteilung der Mittel für Verpflichtungen aus Anhang VI der genannten Verordnung anzupassen, um zusätzliche Mittel für die besondere Mittelzuweisung für die YEI aufzunehmen. Im Einklang mit dem für 2019 festgestellten Haushaltsplan sollten daher die Mittel für Verpflichtungen für die besondere Mittelzuweisung zugunsten der YEI um 116,7 Mio. EUR zu jeweiligen Preisen aufgestockt werden, sodass sie sich für das Jahr 2019 insgesamt auf 350 Mio. EUR zu jeweiligen Preisen belaufen.</w:t>
      </w:r>
    </w:p>
    <w:p>
      <w:pPr>
        <w:pBdr>
          <w:top w:val="nil"/>
          <w:left w:val="nil"/>
          <w:bottom w:val="nil"/>
          <w:right w:val="nil"/>
          <w:between w:val="nil"/>
          <w:bar w:val="nil"/>
        </w:pBdr>
        <w:spacing w:before="0" w:after="240"/>
        <w:rPr>
          <w:noProof/>
        </w:rPr>
      </w:pPr>
      <w:r>
        <w:rPr>
          <w:noProof/>
        </w:rPr>
        <w:t>Der Vorschlag enthält zudem Bestimmungen zur Erleichterung der Programmierung der zusätzlichen Mittel durch die Mitgliedstaaten. Aufgrund der fortgeschrittenen Umsetzung der operationellen Programme 2014-2020 und angesichts der rechtlichen Verpflichtung, dass der durch den ESF bereitgestellte Betrag mindestens so hoch wie die besondere Mittelzuweisung zugunsten der YEI sein muss, ist es erforderlich, die mögliche Verringerung der ESF-Unterstützung für andere Politikbereiche und Maßnahmen außerhalb der YEI zu vermeiden. Deshalb wird mit dem Vorschlag in Artikel 92 Absatz 5 ein zweiter Unterabsatz eingeführt, gemäß dem die Mitgliedstaaten bis zu 50 % der zusätzlichen Mittel für die besondere Mittelzuweisung zugunsten der YEI auf den ESF übertragen können, um die entsprechende gezielte ESF-Investition gemäß Artikel 22 der Verordnung (EU) Nr. 1304/2013</w:t>
      </w:r>
      <w:r>
        <w:rPr>
          <w:rStyle w:val="FootnoteReference"/>
          <w:noProof/>
        </w:rPr>
        <w:footnoteReference w:id="2"/>
      </w:r>
      <w:r>
        <w:rPr>
          <w:noProof/>
        </w:rPr>
        <w:t xml:space="preserve"> sicherzustellen.</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2019/0027 (COD)</w:t>
      </w:r>
    </w:p>
    <w:p>
      <w:pPr>
        <w:pStyle w:val="Statut"/>
        <w:rPr>
          <w:noProof/>
        </w:rPr>
      </w:pPr>
      <w:r>
        <w:rPr>
          <w:noProof/>
        </w:rPr>
        <w:t>Vorschlag für eine</w:t>
      </w:r>
    </w:p>
    <w:p>
      <w:pPr>
        <w:pStyle w:val="Typedudocument"/>
        <w:rPr>
          <w:noProof/>
        </w:rPr>
      </w:pPr>
      <w:r>
        <w:rPr>
          <w:noProof/>
        </w:rPr>
        <w:t>VERORDNUNG DES EUROPÄISCHEN PARLAMENTS UND DES RATES</w:t>
      </w:r>
    </w:p>
    <w:p>
      <w:pPr>
        <w:pStyle w:val="Titreobjet"/>
        <w:rPr>
          <w:noProof/>
        </w:rPr>
      </w:pPr>
      <w:r>
        <w:rPr>
          <w:noProof/>
        </w:rPr>
        <w:t>zur Änderung der Verordnung (EU) Nr. 1303/2013 hinsichtlich der Mittel für die besondere Mittelzuweisung zugunsten der Beschäftigungsinitiative für junge Menschen</w:t>
      </w:r>
    </w:p>
    <w:p>
      <w:pPr>
        <w:pStyle w:val="Institutionquiagit"/>
        <w:rPr>
          <w:noProof/>
          <w:szCs w:val="24"/>
        </w:rPr>
      </w:pPr>
      <w:r>
        <w:rPr>
          <w:noProof/>
        </w:rPr>
        <w:t>DAS EUROPÄISCHE PARLAMENT UND DER RAT DER EUROPÄISCHEN UNION —</w:t>
      </w:r>
    </w:p>
    <w:p>
      <w:pPr>
        <w:rPr>
          <w:noProof/>
          <w:szCs w:val="24"/>
        </w:rPr>
      </w:pPr>
      <w:r>
        <w:rPr>
          <w:noProof/>
        </w:rPr>
        <w:t xml:space="preserve">gestützt auf den Vertrag über die Arbeitsweise der Europäischen Union, insbesondere auf Artikel 177, </w:t>
      </w:r>
    </w:p>
    <w:p>
      <w:pPr>
        <w:rPr>
          <w:noProof/>
          <w:szCs w:val="24"/>
        </w:rPr>
      </w:pPr>
      <w:r>
        <w:rPr>
          <w:noProof/>
        </w:rPr>
        <w:t>auf Vorschlag der Europäischen Kommission,</w:t>
      </w:r>
    </w:p>
    <w:p>
      <w:pPr>
        <w:rPr>
          <w:noProof/>
          <w:szCs w:val="24"/>
        </w:rPr>
      </w:pPr>
      <w:r>
        <w:rPr>
          <w:noProof/>
        </w:rPr>
        <w:t>nach Zuleitung des Entwurfs des Gesetzgebungsakts an die nationalen Parlamente,</w:t>
      </w:r>
    </w:p>
    <w:p>
      <w:pPr>
        <w:rPr>
          <w:noProof/>
          <w:szCs w:val="24"/>
        </w:rPr>
      </w:pPr>
      <w:r>
        <w:rPr>
          <w:noProof/>
        </w:rPr>
        <w:t>nach Stellungnahme des Europäischen Wirtschafts- und Sozialausschusses</w:t>
      </w:r>
      <w:r>
        <w:rPr>
          <w:rStyle w:val="FootnoteReference"/>
          <w:noProof/>
        </w:rPr>
        <w:footnoteReference w:id="3"/>
      </w:r>
      <w:r>
        <w:rPr>
          <w:noProof/>
        </w:rPr>
        <w:t>,</w:t>
      </w:r>
    </w:p>
    <w:p>
      <w:pPr>
        <w:rPr>
          <w:noProof/>
          <w:szCs w:val="24"/>
        </w:rPr>
      </w:pPr>
      <w:r>
        <w:rPr>
          <w:noProof/>
        </w:rPr>
        <w:t>nach Stellungnahme des Ausschusses der Regionen</w:t>
      </w:r>
      <w:r>
        <w:rPr>
          <w:rStyle w:val="FootnoteReference"/>
          <w:noProof/>
        </w:rPr>
        <w:footnoteReference w:id="4"/>
      </w:r>
      <w:r>
        <w:rPr>
          <w:noProof/>
        </w:rPr>
        <w:t>,</w:t>
      </w:r>
    </w:p>
    <w:p>
      <w:pPr>
        <w:rPr>
          <w:noProof/>
          <w:szCs w:val="24"/>
        </w:rPr>
      </w:pPr>
      <w:r>
        <w:rPr>
          <w:noProof/>
        </w:rPr>
        <w:t>gemäß dem ordentlichen Gesetzgebungsverfahren,</w:t>
      </w:r>
    </w:p>
    <w:p>
      <w:pPr>
        <w:rPr>
          <w:noProof/>
          <w:szCs w:val="24"/>
        </w:rPr>
      </w:pPr>
      <w:r>
        <w:rPr>
          <w:noProof/>
        </w:rPr>
        <w:t>in Erwägung nachstehender Gründe:</w:t>
      </w:r>
    </w:p>
    <w:p>
      <w:pPr>
        <w:pStyle w:val="ManualConsidrant"/>
        <w:rPr>
          <w:noProof/>
          <w:szCs w:val="24"/>
        </w:rPr>
      </w:pPr>
      <w:r>
        <w:t>(1)</w:t>
      </w:r>
      <w:r>
        <w:tab/>
      </w:r>
      <w:r>
        <w:rPr>
          <w:noProof/>
        </w:rPr>
        <w:t>In der Verordnung (EU) Nr. 1303/2013 des Europäischen Parlaments und des Rates</w:t>
      </w:r>
      <w:r>
        <w:rPr>
          <w:rStyle w:val="FootnoteReference"/>
          <w:noProof/>
        </w:rPr>
        <w:footnoteReference w:id="5"/>
      </w:r>
      <w:r>
        <w:rPr>
          <w:noProof/>
        </w:rPr>
        <w:t xml:space="preserve"> sind die gemeinsamen und allgemeinen Vorschriften für die europäischen Struktur- und Investitionsfonds festgelegt.</w:t>
      </w:r>
    </w:p>
    <w:p>
      <w:pPr>
        <w:pStyle w:val="ManualConsidrant"/>
        <w:rPr>
          <w:noProof/>
          <w:szCs w:val="24"/>
        </w:rPr>
      </w:pPr>
      <w:r>
        <w:t>(2)</w:t>
      </w:r>
      <w:r>
        <w:tab/>
      </w:r>
      <w:r>
        <w:rPr>
          <w:noProof/>
        </w:rPr>
        <w:t>Im Gesamthaushaltsplan der Union für das Haushaltsjahr 2019</w:t>
      </w:r>
      <w:r>
        <w:rPr>
          <w:rStyle w:val="FootnoteReference"/>
          <w:noProof/>
        </w:rPr>
        <w:footnoteReference w:id="6"/>
      </w:r>
      <w:r>
        <w:rPr>
          <w:noProof/>
        </w:rPr>
        <w:t xml:space="preserve"> wurde der Gesamtbetrag der Mittel zugunsten der Beschäftigungsinitiative für junge Menschen (YEI) dahin gehend geändert, dass die Mittel für Verpflichtungen für die besondere Mittelzuweisung zugunsten der Beschäftigungsinitiative für junge Menschen (YEI) im Jahr 2019 um einen Betrag von 116,7 Mio. EUR zu jeweiligen Preisen aufgestockt wurden, sodass sich der Gesamtbetrag der Mittel für Verpflichtungen zugunsten der genannten Beschäftigungsinitiative für den gesamten Programmplanungszeitraum auf 4 527 882 072 EUR zu jeweiligen Preisen beläuft.</w:t>
      </w:r>
    </w:p>
    <w:p>
      <w:pPr>
        <w:pStyle w:val="ManualConsidrant"/>
        <w:rPr>
          <w:noProof/>
          <w:szCs w:val="24"/>
        </w:rPr>
      </w:pPr>
      <w:r>
        <w:t>(3)</w:t>
      </w:r>
      <w:r>
        <w:tab/>
      </w:r>
      <w:r>
        <w:rPr>
          <w:noProof/>
        </w:rPr>
        <w:t>2019 werden die zusätzlichen Mittel in Höhe von 99 573 877 EUR zu Preisen von 2011 aus dem Gesamtspielraum für Mittel für Verpflichtungen im Rahmen des Spielraums des Mehrjährigen Finanzrahmens 2014-2020 finanziert.</w:t>
      </w:r>
    </w:p>
    <w:p>
      <w:pPr>
        <w:pStyle w:val="ManualConsidrant"/>
        <w:rPr>
          <w:noProof/>
          <w:szCs w:val="24"/>
        </w:rPr>
      </w:pPr>
      <w:r>
        <w:t>(4)</w:t>
      </w:r>
      <w:r>
        <w:tab/>
      </w:r>
      <w:r>
        <w:rPr>
          <w:noProof/>
        </w:rPr>
        <w:t>Angesichts der fortgeschrittenen Durchführung der operationellen Programme des Programmplanungszeitraums 2014-2020 ist es angezeigt, besondere Maßnahmen vorzusehen, um die Umsetzung der YEI zu erleichtern.</w:t>
      </w:r>
    </w:p>
    <w:p>
      <w:pPr>
        <w:pStyle w:val="ManualConsidrant"/>
        <w:rPr>
          <w:noProof/>
        </w:rPr>
      </w:pPr>
      <w:r>
        <w:t>(5)</w:t>
      </w:r>
      <w:r>
        <w:tab/>
      </w:r>
      <w:r>
        <w:rPr>
          <w:noProof/>
        </w:rPr>
        <w:t xml:space="preserve">Da die Programme zur Unterstützung der YEI dringend geändert werden müssen, um die zusätzlichen Mittel für die besondere Mittelzuweisung zugunsten der YEI vor Ende 2019 aufzunehmen, sollte die vorliegende Verordnung am Tag nach ihrer Veröffentlichung im </w:t>
      </w:r>
      <w:r>
        <w:rPr>
          <w:i/>
          <w:noProof/>
        </w:rPr>
        <w:t>Amtsblatt der Europäischen Union</w:t>
      </w:r>
      <w:r>
        <w:rPr>
          <w:noProof/>
        </w:rPr>
        <w:t xml:space="preserve"> in Kraft treten.</w:t>
      </w:r>
    </w:p>
    <w:p>
      <w:pPr>
        <w:pStyle w:val="ManualConsidrant"/>
        <w:rPr>
          <w:noProof/>
        </w:rPr>
      </w:pPr>
      <w:r>
        <w:t>(6)</w:t>
      </w:r>
      <w:r>
        <w:tab/>
      </w:r>
      <w:r>
        <w:rPr>
          <w:noProof/>
        </w:rPr>
        <w:t>Die Verordnung (EU) Nr. 1303/2013 sollte daher entsprechend geändert werden —</w:t>
      </w:r>
    </w:p>
    <w:p>
      <w:pPr>
        <w:pStyle w:val="Formuledadoption"/>
        <w:rPr>
          <w:noProof/>
        </w:rPr>
      </w:pPr>
      <w:r>
        <w:rPr>
          <w:noProof/>
        </w:rPr>
        <w:t>HABEN FOLGENDE VERORDNUNG ERLASSEN:</w:t>
      </w:r>
    </w:p>
    <w:p>
      <w:pPr>
        <w:pStyle w:val="Titrearticle"/>
        <w:rPr>
          <w:noProof/>
        </w:rPr>
      </w:pPr>
      <w:r>
        <w:rPr>
          <w:noProof/>
        </w:rPr>
        <w:t>Artikel 1</w:t>
      </w:r>
    </w:p>
    <w:p>
      <w:pPr>
        <w:rPr>
          <w:noProof/>
        </w:rPr>
      </w:pPr>
      <w:r>
        <w:rPr>
          <w:noProof/>
        </w:rPr>
        <w:t>Die Verordnung (EU) Nr. 1303/2013 wird wie folgt geändert:</w:t>
      </w:r>
    </w:p>
    <w:p>
      <w:pPr>
        <w:pStyle w:val="Point0number"/>
        <w:numPr>
          <w:ilvl w:val="0"/>
          <w:numId w:val="14"/>
        </w:numPr>
        <w:rPr>
          <w:noProof/>
        </w:rPr>
      </w:pPr>
      <w:r>
        <w:rPr>
          <w:noProof/>
        </w:rPr>
        <w:t>Artikel 91 Absatz 1 erhält folgende Fassung:</w:t>
      </w:r>
    </w:p>
    <w:p>
      <w:pPr>
        <w:pStyle w:val="Text1"/>
        <w:rPr>
          <w:noProof/>
        </w:rPr>
      </w:pPr>
      <w:r>
        <w:rPr>
          <w:noProof/>
        </w:rPr>
        <w:t>„1. Die für Verpflichtungen zugewiesenen Mittel für den wirtschaftlichen, sozialen und territorialen Zusammenhalt belaufen sich – im Einklang mit der in Anhang VI aufgeführten jährlichen Aufteilung – für den Zeitraum 2014-2020 auf 330 081 919 243 EUR zu Preisen von 2011; 325 938 694 233 EUR davon sind die dem EFRE, dem ESF und dem Kohäsionsfonds zugewiesenen Gesamtmittel und 4 143 225 010 EUR stellen eine besondere Mittelzuweisung zugunsten der Beschäftigungsinitiative für junge Menschen dar. Im Hinblick auf die Programmplanung und die anschließende Einsetzung in den Haushaltsplan der Union wird der Betrag der Mittel für den wirtschaftlichen, sozialen und territorialen Zusammenhalt mit jährlich 2 % indexiert.“</w:t>
      </w:r>
    </w:p>
    <w:p>
      <w:pPr>
        <w:pStyle w:val="Point0number"/>
        <w:numPr>
          <w:ilvl w:val="0"/>
          <w:numId w:val="15"/>
        </w:numPr>
        <w:rPr>
          <w:noProof/>
        </w:rPr>
      </w:pPr>
      <w:r>
        <w:rPr>
          <w:noProof/>
        </w:rPr>
        <w:t>Artikel 92 Absatz 5 erhält folgende Fassung:</w:t>
      </w:r>
    </w:p>
    <w:p>
      <w:pPr>
        <w:pStyle w:val="Text1"/>
        <w:rPr>
          <w:noProof/>
        </w:rPr>
      </w:pPr>
      <w:r>
        <w:rPr>
          <w:noProof/>
        </w:rPr>
        <w:t xml:space="preserve">„5. Die Mittel für die Beschäftigungsinitiative für junge Menschen belaufen sich auf 4 143 225 010 EUR aus der besonderen Mittelzuweisung zugunsten der Beschäftigungsinitiative für junge Menschen; davon stellen 99 573 877 EUR die zusätzlichen Mittel für 2019 dar. Sie werden durch gezielte Investitionen aus dem ESF gemäß Artikel 22 der Verordnung (EU) Nr. 1304/2013 ergänzt. </w:t>
      </w:r>
    </w:p>
    <w:p>
      <w:pPr>
        <w:pStyle w:val="Text1"/>
        <w:rPr>
          <w:noProof/>
        </w:rPr>
      </w:pPr>
      <w:r>
        <w:rPr>
          <w:noProof/>
        </w:rPr>
        <w:t>Mitgliedstaaten, die von den zusätzlichen Mitteln für die besondere Mittelzuweisung zugunsten der Beschäftigungsinitiative für junge Menschen für das Jahr 2019 gemäß Unterabsatz 1 profitieren, können die Übertragung von bis zu 50 % der zusätzlichen Mittel für die besondere Mittelzuweisung zugunsten der Beschäftigungsinitiative für junge Menschen auf den ESF beantragen, um die gemäß Artikel 22 der Verordnung (EU) Nr. 1304/2013 erforderliche entsprechende gezielte ESF-Investition sicherzustellen. Eine solche Übertragung erfolgt auf die jeweiligen Regionenkategorien entsprechend der Kategorisierung der Regionen, die für eine Erhöhung der besonderen Mittelzuweisung zugunsten der Beschäftigungsinitiative für junge Menschen in Betracht kommen. Die Mitgliedstaaten beantragen die Übertragung in dem Antrag auf Programmänderung gemäß Artikel 30 Absatz 1 dieser Verordnung. Für vorangegangene Jahre zugewiesene Mittel können nicht übertragen werden.</w:t>
      </w:r>
    </w:p>
    <w:p>
      <w:pPr>
        <w:pStyle w:val="Text1"/>
        <w:rPr>
          <w:noProof/>
        </w:rPr>
      </w:pPr>
      <w:r>
        <w:rPr>
          <w:noProof/>
        </w:rPr>
        <w:t>Unterabsatz 2 gilt für alle zusätzlichen Mittel für die besondere Mittelzuweisung zugunsten der Beschäftigungsinitiative für junge Menschen, durch die die Mittel auf über 4 043 651 133 EUR erhöht werden.“</w:t>
      </w:r>
    </w:p>
    <w:p>
      <w:pPr>
        <w:pStyle w:val="Point0number"/>
        <w:numPr>
          <w:ilvl w:val="0"/>
          <w:numId w:val="15"/>
        </w:numPr>
        <w:rPr>
          <w:noProof/>
        </w:rPr>
      </w:pPr>
      <w:r>
        <w:rPr>
          <w:noProof/>
        </w:rPr>
        <w:t>Anhang VI erhält die Fassung des Anhangs der vorliegenden Verordnung.</w:t>
      </w:r>
    </w:p>
    <w:p>
      <w:pPr>
        <w:pStyle w:val="Titrearticle"/>
        <w:rPr>
          <w:noProof/>
        </w:rPr>
      </w:pPr>
      <w:r>
        <w:rPr>
          <w:noProof/>
        </w:rPr>
        <w:t>Artikel 2</w:t>
      </w:r>
    </w:p>
    <w:p>
      <w:pPr>
        <w:rPr>
          <w:noProof/>
        </w:rPr>
      </w:pPr>
      <w:r>
        <w:rPr>
          <w:noProof/>
        </w:rPr>
        <w:t xml:space="preserve">Diese Verordnung tritt am Tag nach ihrer Veröffentlichung im </w:t>
      </w:r>
      <w:r>
        <w:rPr>
          <w:i/>
          <w:noProof/>
        </w:rPr>
        <w:t>Amtsblatt der Europäischen Union</w:t>
      </w:r>
      <w:r>
        <w:rPr>
          <w:noProof/>
        </w:rPr>
        <w:t xml:space="preserve"> in Kraft.</w:t>
      </w:r>
    </w:p>
    <w:p>
      <w:pPr>
        <w:pStyle w:val="Applicationdirecte"/>
        <w:rPr>
          <w:noProof/>
        </w:rPr>
      </w:pPr>
      <w:r>
        <w:rPr>
          <w:noProof/>
        </w:rPr>
        <w:t>Diese Verordnung ist in allen ihren Teilen verbindlich und gilt unmittelbar in jedem Mitgliedstaat.</w:t>
      </w:r>
    </w:p>
    <w:p>
      <w:pPr>
        <w:pStyle w:val="Fait"/>
        <w:rPr>
          <w:noProof/>
        </w:rPr>
      </w:pPr>
      <w:r>
        <w:t xml:space="preserve">Geschehen zu Brüssel am </w:t>
      </w:r>
      <w:r>
        <w:rPr>
          <w:rStyle w:val="Marker"/>
        </w:rPr>
        <w:t>[…]</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p>
      <w:pPr>
        <w:pStyle w:val="Fichefinanciretitre"/>
        <w:rPr>
          <w:noProof/>
        </w:rPr>
      </w:pPr>
      <w:r>
        <w:rPr>
          <w:noProof/>
        </w:rPr>
        <w:br w:type="page"/>
        <w:t xml:space="preserve">FINANZBOGEN </w:t>
      </w:r>
    </w:p>
    <w:p>
      <w:pPr>
        <w:pStyle w:val="ManualHeading1"/>
        <w:rPr>
          <w:noProof/>
        </w:rPr>
      </w:pPr>
      <w:r>
        <w:rPr>
          <w:noProof/>
        </w:rPr>
        <w:t>1.</w:t>
      </w:r>
      <w:r>
        <w:rPr>
          <w:noProof/>
        </w:rPr>
        <w:tab/>
        <w:t xml:space="preserve">RAHMEN DES VORSCHLAGS/DER INITIATIVE </w:t>
      </w:r>
    </w:p>
    <w:p>
      <w:pPr>
        <w:pStyle w:val="ManualHeading2"/>
        <w:rPr>
          <w:b w:val="0"/>
          <w:noProof/>
        </w:rPr>
      </w:pPr>
      <w:r>
        <w:rPr>
          <w:noProof/>
        </w:rPr>
        <w:tab/>
      </w:r>
      <w:r>
        <w:rPr>
          <w:b w:val="0"/>
          <w:noProof/>
        </w:rPr>
        <w:t>1.1.</w:t>
      </w:r>
      <w:r>
        <w:rPr>
          <w:noProof/>
        </w:rPr>
        <w:tab/>
      </w:r>
      <w:r>
        <w:rPr>
          <w:b w:val="0"/>
          <w:noProof/>
        </w:rPr>
        <w:t xml:space="preserve">Bezeichnung des Vorschlags/der Initiative </w:t>
      </w:r>
    </w:p>
    <w:p>
      <w:pPr>
        <w:pStyle w:val="ManualHeading2"/>
        <w:rPr>
          <w:b w:val="0"/>
          <w:noProof/>
        </w:rPr>
      </w:pPr>
      <w:r>
        <w:rPr>
          <w:noProof/>
        </w:rPr>
        <w:tab/>
      </w:r>
      <w:r>
        <w:rPr>
          <w:b w:val="0"/>
          <w:noProof/>
        </w:rPr>
        <w:t>1.2.</w:t>
      </w:r>
      <w:r>
        <w:rPr>
          <w:noProof/>
        </w:rPr>
        <w:tab/>
      </w:r>
      <w:r>
        <w:rPr>
          <w:b w:val="0"/>
          <w:noProof/>
        </w:rPr>
        <w:t>Politikbereich(e) in der ABM-/ABB-Struktur</w:t>
      </w:r>
    </w:p>
    <w:p>
      <w:pPr>
        <w:pStyle w:val="ManualHeading2"/>
        <w:rPr>
          <w:b w:val="0"/>
          <w:noProof/>
        </w:rPr>
      </w:pPr>
      <w:r>
        <w:rPr>
          <w:noProof/>
        </w:rPr>
        <w:tab/>
      </w:r>
      <w:r>
        <w:rPr>
          <w:b w:val="0"/>
          <w:noProof/>
        </w:rPr>
        <w:t>1.3.</w:t>
      </w:r>
      <w:r>
        <w:rPr>
          <w:noProof/>
        </w:rPr>
        <w:tab/>
      </w:r>
      <w:r>
        <w:rPr>
          <w:b w:val="0"/>
          <w:noProof/>
        </w:rPr>
        <w:t xml:space="preserve">Art des Vorschlags/der Initiative </w:t>
      </w:r>
    </w:p>
    <w:p>
      <w:pPr>
        <w:pStyle w:val="ManualHeading2"/>
        <w:rPr>
          <w:b w:val="0"/>
          <w:noProof/>
        </w:rPr>
      </w:pPr>
      <w:r>
        <w:rPr>
          <w:noProof/>
        </w:rPr>
        <w:tab/>
      </w:r>
      <w:r>
        <w:rPr>
          <w:b w:val="0"/>
          <w:noProof/>
        </w:rPr>
        <w:t>1.4.</w:t>
      </w:r>
      <w:r>
        <w:rPr>
          <w:noProof/>
        </w:rPr>
        <w:tab/>
      </w:r>
      <w:r>
        <w:rPr>
          <w:b w:val="0"/>
          <w:noProof/>
        </w:rPr>
        <w:t xml:space="preserve">Ziel(e) </w:t>
      </w:r>
    </w:p>
    <w:p>
      <w:pPr>
        <w:pStyle w:val="ManualHeading2"/>
        <w:rPr>
          <w:b w:val="0"/>
          <w:noProof/>
        </w:rPr>
      </w:pPr>
      <w:r>
        <w:rPr>
          <w:noProof/>
        </w:rPr>
        <w:tab/>
      </w:r>
      <w:r>
        <w:rPr>
          <w:b w:val="0"/>
          <w:noProof/>
        </w:rPr>
        <w:t>1.5.</w:t>
      </w:r>
      <w:r>
        <w:rPr>
          <w:noProof/>
        </w:rPr>
        <w:tab/>
      </w:r>
      <w:r>
        <w:rPr>
          <w:b w:val="0"/>
          <w:noProof/>
        </w:rPr>
        <w:t xml:space="preserve">Begründung des Vorschlags/der Initiative </w:t>
      </w:r>
    </w:p>
    <w:p>
      <w:pPr>
        <w:pStyle w:val="ManualHeading2"/>
        <w:rPr>
          <w:b w:val="0"/>
          <w:noProof/>
        </w:rPr>
      </w:pPr>
      <w:r>
        <w:rPr>
          <w:noProof/>
        </w:rPr>
        <w:tab/>
      </w:r>
      <w:r>
        <w:rPr>
          <w:b w:val="0"/>
          <w:noProof/>
        </w:rPr>
        <w:t>1.6.</w:t>
      </w:r>
      <w:r>
        <w:rPr>
          <w:noProof/>
        </w:rPr>
        <w:tab/>
      </w:r>
      <w:r>
        <w:rPr>
          <w:b w:val="0"/>
          <w:noProof/>
        </w:rPr>
        <w:t xml:space="preserve">Laufzeit der Maßnahme(n) und Dauer ihrer finanziellen Auswirkungen </w:t>
      </w:r>
    </w:p>
    <w:p>
      <w:pPr>
        <w:pStyle w:val="ManualHeading2"/>
        <w:rPr>
          <w:b w:val="0"/>
          <w:noProof/>
        </w:rPr>
      </w:pPr>
      <w:r>
        <w:rPr>
          <w:noProof/>
        </w:rPr>
        <w:tab/>
      </w:r>
      <w:r>
        <w:rPr>
          <w:b w:val="0"/>
          <w:noProof/>
        </w:rPr>
        <w:t>1.7.</w:t>
      </w:r>
      <w:r>
        <w:rPr>
          <w:noProof/>
        </w:rPr>
        <w:tab/>
      </w:r>
      <w:r>
        <w:rPr>
          <w:b w:val="0"/>
          <w:noProof/>
        </w:rPr>
        <w:t xml:space="preserve">Vorgeschlagene Methode(n) der Mittelverwaltung </w:t>
      </w:r>
    </w:p>
    <w:p>
      <w:pPr>
        <w:pStyle w:val="ManualHeading1"/>
        <w:rPr>
          <w:noProof/>
        </w:rPr>
      </w:pPr>
      <w:r>
        <w:rPr>
          <w:noProof/>
        </w:rPr>
        <w:t>2.</w:t>
      </w:r>
      <w:r>
        <w:rPr>
          <w:noProof/>
        </w:rPr>
        <w:tab/>
        <w:t xml:space="preserve">VERWALTUNGSMAẞNAHMEN </w:t>
      </w:r>
    </w:p>
    <w:p>
      <w:pPr>
        <w:pStyle w:val="ManualHeading2"/>
        <w:rPr>
          <w:b w:val="0"/>
          <w:noProof/>
        </w:rPr>
      </w:pPr>
      <w:r>
        <w:rPr>
          <w:noProof/>
        </w:rPr>
        <w:tab/>
      </w:r>
      <w:r>
        <w:rPr>
          <w:b w:val="0"/>
          <w:noProof/>
        </w:rPr>
        <w:t>2.1.</w:t>
      </w:r>
      <w:r>
        <w:rPr>
          <w:noProof/>
        </w:rPr>
        <w:tab/>
      </w:r>
      <w:r>
        <w:rPr>
          <w:b w:val="0"/>
          <w:noProof/>
        </w:rPr>
        <w:t xml:space="preserve">Überwachung und Berichterstattung </w:t>
      </w:r>
    </w:p>
    <w:p>
      <w:pPr>
        <w:pStyle w:val="ManualHeading2"/>
        <w:rPr>
          <w:b w:val="0"/>
          <w:noProof/>
        </w:rPr>
      </w:pPr>
      <w:r>
        <w:rPr>
          <w:noProof/>
        </w:rPr>
        <w:tab/>
      </w:r>
      <w:r>
        <w:rPr>
          <w:b w:val="0"/>
          <w:noProof/>
        </w:rPr>
        <w:t>2.2.</w:t>
      </w:r>
      <w:r>
        <w:rPr>
          <w:noProof/>
        </w:rPr>
        <w:tab/>
      </w:r>
      <w:r>
        <w:rPr>
          <w:b w:val="0"/>
          <w:noProof/>
        </w:rPr>
        <w:t xml:space="preserve">Verwaltungs- und Kontrollsystem </w:t>
      </w:r>
    </w:p>
    <w:p>
      <w:pPr>
        <w:pStyle w:val="ManualHeading2"/>
        <w:rPr>
          <w:b w:val="0"/>
          <w:noProof/>
        </w:rPr>
      </w:pPr>
      <w:r>
        <w:rPr>
          <w:noProof/>
        </w:rPr>
        <w:tab/>
      </w:r>
      <w:r>
        <w:rPr>
          <w:b w:val="0"/>
          <w:noProof/>
        </w:rPr>
        <w:t>2.3.</w:t>
      </w:r>
      <w:r>
        <w:rPr>
          <w:noProof/>
        </w:rPr>
        <w:tab/>
      </w:r>
      <w:r>
        <w:rPr>
          <w:b w:val="0"/>
          <w:noProof/>
        </w:rPr>
        <w:t xml:space="preserve">Prävention von Betrug und Unregelmäßigkeiten </w:t>
      </w:r>
    </w:p>
    <w:p>
      <w:pPr>
        <w:pStyle w:val="ManualHeading1"/>
        <w:rPr>
          <w:noProof/>
        </w:rPr>
      </w:pPr>
      <w:r>
        <w:rPr>
          <w:noProof/>
        </w:rPr>
        <w:t>3.</w:t>
      </w:r>
      <w:r>
        <w:rPr>
          <w:noProof/>
        </w:rPr>
        <w:tab/>
        <w:t xml:space="preserve">GESCHÄTZTE FINANZIELLE AUSWIRKUNGEN DES VORSCHLAGS/DER INITIATIVE </w:t>
      </w:r>
    </w:p>
    <w:p>
      <w:pPr>
        <w:pStyle w:val="ManualHeading2"/>
        <w:rPr>
          <w:b w:val="0"/>
          <w:noProof/>
        </w:rPr>
      </w:pPr>
      <w:r>
        <w:rPr>
          <w:noProof/>
        </w:rPr>
        <w:tab/>
      </w:r>
      <w:r>
        <w:rPr>
          <w:b w:val="0"/>
          <w:noProof/>
        </w:rPr>
        <w:t>3.1.</w:t>
      </w:r>
      <w:r>
        <w:rPr>
          <w:noProof/>
        </w:rPr>
        <w:tab/>
      </w:r>
      <w:r>
        <w:rPr>
          <w:b w:val="0"/>
          <w:noProof/>
        </w:rPr>
        <w:t xml:space="preserve">Betroffene Rubrik(en) des mehrjährigen Finanzrahmens und Ausgabenlinie(n) im Haushaltsplan </w:t>
      </w:r>
    </w:p>
    <w:p>
      <w:pPr>
        <w:pStyle w:val="ManualHeading2"/>
        <w:rPr>
          <w:noProof/>
        </w:rPr>
      </w:pPr>
      <w:r>
        <w:rPr>
          <w:noProof/>
        </w:rPr>
        <w:tab/>
      </w:r>
      <w:r>
        <w:rPr>
          <w:b w:val="0"/>
          <w:noProof/>
        </w:rPr>
        <w:t>3.2.</w:t>
      </w:r>
      <w:r>
        <w:rPr>
          <w:noProof/>
        </w:rPr>
        <w:tab/>
      </w:r>
      <w:r>
        <w:rPr>
          <w:b w:val="0"/>
          <w:noProof/>
        </w:rPr>
        <w:t>Geschätzte Auswirkungen auf die Ausgaben</w:t>
      </w:r>
      <w:r>
        <w:rPr>
          <w:noProof/>
        </w:rPr>
        <w:t xml:space="preserve"> </w:t>
      </w:r>
    </w:p>
    <w:p>
      <w:pPr>
        <w:pStyle w:val="ManualHeading3"/>
        <w:rPr>
          <w:noProof/>
        </w:rPr>
      </w:pPr>
      <w:r>
        <w:rPr>
          <w:noProof/>
        </w:rPr>
        <w:tab/>
        <w:t>3.2.1.</w:t>
      </w:r>
      <w:r>
        <w:rPr>
          <w:noProof/>
        </w:rPr>
        <w:tab/>
        <w:t xml:space="preserve">Übersicht über die geschätzten Auswirkungen auf die Ausgaben </w:t>
      </w:r>
    </w:p>
    <w:p>
      <w:pPr>
        <w:pStyle w:val="ManualHeading3"/>
        <w:rPr>
          <w:noProof/>
        </w:rPr>
      </w:pPr>
      <w:r>
        <w:rPr>
          <w:noProof/>
        </w:rPr>
        <w:tab/>
        <w:t>3.2.2.</w:t>
      </w:r>
      <w:r>
        <w:rPr>
          <w:noProof/>
        </w:rPr>
        <w:tab/>
        <w:t xml:space="preserve">Geschätzte Auswirkungen auf operative Mittel </w:t>
      </w:r>
    </w:p>
    <w:p>
      <w:pPr>
        <w:pStyle w:val="ManualHeading3"/>
        <w:rPr>
          <w:noProof/>
        </w:rPr>
      </w:pPr>
      <w:r>
        <w:rPr>
          <w:noProof/>
        </w:rPr>
        <w:tab/>
        <w:t>3.2.3.</w:t>
      </w:r>
      <w:r>
        <w:rPr>
          <w:noProof/>
        </w:rPr>
        <w:tab/>
        <w:t>Geschätzte Auswirkungen auf die Verwaltungsmittel</w:t>
      </w:r>
    </w:p>
    <w:p>
      <w:pPr>
        <w:pStyle w:val="ManualHeading3"/>
        <w:rPr>
          <w:noProof/>
        </w:rPr>
      </w:pPr>
      <w:r>
        <w:rPr>
          <w:noProof/>
        </w:rPr>
        <w:tab/>
        <w:t>3.2.4.</w:t>
      </w:r>
      <w:r>
        <w:rPr>
          <w:noProof/>
        </w:rPr>
        <w:tab/>
        <w:t>Vereinbarkeit mit dem mehrjährigen Finanzrahmen</w:t>
      </w:r>
    </w:p>
    <w:p>
      <w:pPr>
        <w:pStyle w:val="ManualHeading3"/>
        <w:rPr>
          <w:noProof/>
        </w:rPr>
      </w:pPr>
      <w:r>
        <w:rPr>
          <w:noProof/>
        </w:rPr>
        <w:tab/>
        <w:t>3.2.5.</w:t>
      </w:r>
      <w:r>
        <w:rPr>
          <w:noProof/>
        </w:rPr>
        <w:tab/>
        <w:t xml:space="preserve">Finanzierungsbeteiligung Dritter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Geschätzte Auswirkungen auf die Einnahmen</w:t>
      </w:r>
    </w:p>
    <w:p>
      <w:pPr>
        <w:jc w:val="center"/>
        <w:rPr>
          <w:b/>
          <w:noProof/>
          <w:u w:val="single"/>
        </w:rPr>
      </w:pPr>
      <w:r>
        <w:rPr>
          <w:b/>
          <w:noProof/>
          <w:u w:val="single"/>
        </w:rPr>
        <w:t>FINANZBOGEN</w:t>
      </w:r>
    </w:p>
    <w:p>
      <w:pPr>
        <w:pStyle w:val="ManualHeading1"/>
        <w:rPr>
          <w:noProof/>
        </w:rPr>
      </w:pPr>
      <w:r>
        <w:rPr>
          <w:noProof/>
        </w:rPr>
        <w:t>1.</w:t>
      </w:r>
      <w:r>
        <w:rPr>
          <w:noProof/>
        </w:rPr>
        <w:tab/>
        <w:t xml:space="preserve">RAHMEN DES VORSCHLAGS/DER INITIATIVE </w:t>
      </w:r>
    </w:p>
    <w:p>
      <w:pPr>
        <w:pStyle w:val="ManualHeading2"/>
        <w:rPr>
          <w:noProof/>
        </w:rPr>
      </w:pPr>
      <w:r>
        <w:rPr>
          <w:noProof/>
        </w:rPr>
        <w:t>1.1.</w:t>
      </w:r>
      <w:r>
        <w:rPr>
          <w:noProof/>
        </w:rPr>
        <w:tab/>
        <w:t xml:space="preserve">Bezeichnung des Vorschlags/der Initiative </w:t>
      </w:r>
    </w:p>
    <w:p>
      <w:pPr>
        <w:pStyle w:val="Text1"/>
        <w:pBdr>
          <w:top w:val="single" w:sz="4" w:space="1" w:color="auto"/>
          <w:left w:val="single" w:sz="4" w:space="4" w:color="auto"/>
          <w:bottom w:val="single" w:sz="4" w:space="1" w:color="auto"/>
          <w:right w:val="single" w:sz="4" w:space="4" w:color="auto"/>
        </w:pBdr>
        <w:rPr>
          <w:noProof/>
        </w:rPr>
      </w:pPr>
      <w:r>
        <w:rPr>
          <w:noProof/>
        </w:rPr>
        <w:t>Vorschlag für eine Verordnung des Europäischen Parlaments und des Rates zur Änderung der Verordnung (EU) Nr. 1303/2013 hinsichtlich der Mittel für die besondere Mittelzuweisung zugunsten der Beschäftigungsinitiative für junge Menschen</w:t>
      </w:r>
    </w:p>
    <w:p>
      <w:pPr>
        <w:pStyle w:val="ManualHeading2"/>
        <w:rPr>
          <w:noProof/>
          <w:szCs w:val="24"/>
        </w:rPr>
      </w:pPr>
      <w:r>
        <w:rPr>
          <w:noProof/>
        </w:rPr>
        <w:t>1.2.</w:t>
      </w:r>
      <w:r>
        <w:rPr>
          <w:noProof/>
        </w:rPr>
        <w:tab/>
        <w:t>Politikbereich(e) in der ABM-/ABB-Struktur</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Beschäftigung, Soziales und Integration</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04 02 64 – Beschäftigungsinitiative für Jugendliche</w:t>
      </w:r>
    </w:p>
    <w:p>
      <w:pPr>
        <w:pStyle w:val="ManualHeading2"/>
        <w:rPr>
          <w:bCs/>
          <w:noProof/>
          <w:szCs w:val="24"/>
        </w:rPr>
      </w:pPr>
      <w:r>
        <w:rPr>
          <w:noProof/>
        </w:rPr>
        <w:t>1.3.</w:t>
      </w:r>
      <w:r>
        <w:rPr>
          <w:noProof/>
        </w:rPr>
        <w:tab/>
        <w:t xml:space="preserve">Art des Vorschlags/der Initiative </w:t>
      </w:r>
    </w:p>
    <w:p>
      <w:pPr>
        <w:pStyle w:val="Text1"/>
        <w:rPr>
          <w:b/>
          <w:noProof/>
          <w:sz w:val="22"/>
        </w:rPr>
      </w:pPr>
      <w:r>
        <w:rPr>
          <w:noProof/>
          <w:sz w:val="22"/>
        </w:rPr>
        <w:sym w:font="Wingdings" w:char="F0A8"/>
      </w:r>
      <w:r>
        <w:rPr>
          <w:b/>
          <w:i/>
          <w:noProof/>
          <w:sz w:val="22"/>
        </w:rPr>
        <w:t xml:space="preserve"> </w:t>
      </w:r>
      <w:r>
        <w:rPr>
          <w:noProof/>
        </w:rPr>
        <w:t xml:space="preserve">Der Vorschlag/Die Initiative betrifft </w:t>
      </w:r>
      <w:r>
        <w:rPr>
          <w:b/>
          <w:noProof/>
        </w:rPr>
        <w:t>eine neue Maßnahme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Der Vorschlag/Die Initiative betrifft </w:t>
      </w:r>
      <w:r>
        <w:rPr>
          <w:b/>
          <w:noProof/>
        </w:rPr>
        <w:t>eine neue Maßnahme im Anschluss an ein Pilotprojekt/eine vorbereitende Maßnahme</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Der Vorschlag/Die Initiative betrifft </w:t>
      </w:r>
      <w:r>
        <w:rPr>
          <w:b/>
          <w:noProof/>
        </w:rPr>
        <w:t>die Verlängerung einer bestehenden Maßnahme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Der Vorschlag/Die Initiative betrifft </w:t>
      </w:r>
      <w:r>
        <w:rPr>
          <w:b/>
          <w:noProof/>
        </w:rPr>
        <w:t>eine neu ausgerichtete Maßnahme</w:t>
      </w:r>
      <w:r>
        <w:rPr>
          <w:noProof/>
        </w:rPr>
        <w:t xml:space="preserve"> </w:t>
      </w:r>
    </w:p>
    <w:p>
      <w:pPr>
        <w:pStyle w:val="ManualHeading2"/>
        <w:rPr>
          <w:bCs/>
          <w:noProof/>
          <w:szCs w:val="24"/>
        </w:rPr>
      </w:pPr>
      <w:r>
        <w:rPr>
          <w:noProof/>
        </w:rPr>
        <w:t>1.4.</w:t>
      </w:r>
      <w:r>
        <w:rPr>
          <w:noProof/>
        </w:rPr>
        <w:tab/>
        <w:t>Ziel(e)</w:t>
      </w:r>
    </w:p>
    <w:p>
      <w:pPr>
        <w:pStyle w:val="ManualHeading3"/>
        <w:rPr>
          <w:noProof/>
        </w:rPr>
      </w:pPr>
      <w:r>
        <w:rPr>
          <w:noProof/>
        </w:rPr>
        <w:t>1.4.1.</w:t>
      </w:r>
      <w:r>
        <w:rPr>
          <w:noProof/>
        </w:rPr>
        <w:tab/>
        <w:t xml:space="preserve">Mit dem Vorschlag/der Initiative verfolgte mehrjährige strategische Ziele der Kommission </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1.4.2.</w:t>
      </w:r>
      <w:r>
        <w:rPr>
          <w:noProof/>
        </w:rPr>
        <w:tab/>
        <w:t xml:space="preserve">Einzelziel(e) und ABM/ABB-Tätigkeit(en)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Einzelziel Nr.</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ABM/ABB-Tätigkeit(en):</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1.4.3.</w:t>
      </w:r>
      <w:r>
        <w:rPr>
          <w:noProof/>
        </w:rPr>
        <w:tab/>
        <w:t>Erwartete Ergebnisse und Auswirkungen</w:t>
      </w:r>
    </w:p>
    <w:p>
      <w:pPr>
        <w:pStyle w:val="Text1"/>
        <w:rPr>
          <w:i/>
          <w:noProof/>
          <w:sz w:val="20"/>
        </w:rPr>
      </w:pPr>
      <w:r>
        <w:rPr>
          <w:i/>
          <w:noProof/>
          <w:sz w:val="20"/>
        </w:rPr>
        <w:t>Bitte geben Sie an, wie sich der Vorschlag/die Initiative auf die Begünstigten/Zielgruppen auswirken dürfte.</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1.4.4.</w:t>
      </w:r>
      <w:r>
        <w:rPr>
          <w:noProof/>
        </w:rPr>
        <w:tab/>
        <w:t xml:space="preserve">Leistungs- und Erfolgsindikatoren </w:t>
      </w:r>
    </w:p>
    <w:p>
      <w:pPr>
        <w:pStyle w:val="Text1"/>
        <w:rPr>
          <w:i/>
          <w:noProof/>
          <w:sz w:val="20"/>
        </w:rPr>
      </w:pPr>
      <w:r>
        <w:rPr>
          <w:i/>
          <w:noProof/>
          <w:sz w:val="20"/>
        </w:rPr>
        <w:t>Bitte geben Sie an, anhand welcher Indikatoren sich die Realisierung des Vorschlags/der Initiative verfolgen lässt.</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rPr>
          <w:noProof/>
        </w:rPr>
        <w:t>1.5.</w:t>
      </w:r>
      <w:r>
        <w:rPr>
          <w:noProof/>
        </w:rPr>
        <w:tab/>
        <w:t xml:space="preserve">Begründung des Vorschlags/der Initiative </w:t>
      </w:r>
    </w:p>
    <w:p>
      <w:pPr>
        <w:pStyle w:val="ManualHeading3"/>
        <w:rPr>
          <w:noProof/>
        </w:rPr>
      </w:pPr>
      <w:r>
        <w:rPr>
          <w:noProof/>
        </w:rPr>
        <w:t>1.5.1.</w:t>
      </w:r>
      <w:r>
        <w:rPr>
          <w:noProof/>
        </w:rPr>
        <w:tab/>
        <w:t xml:space="preserve">Kurz- oder langfristig zu deckender Bedarf </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1.5.2.</w:t>
      </w:r>
      <w:r>
        <w:rPr>
          <w:noProof/>
        </w:rPr>
        <w:tab/>
        <w:t>Mehrwert aufgrund des Tätigwerdens der EU</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1.5.3.</w:t>
      </w:r>
      <w:r>
        <w:rPr>
          <w:noProof/>
        </w:rPr>
        <w:tab/>
        <w:t>Aus früheren ähnlichen Maßnahmen gewonnene Erkenntnisse</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1.5.4.</w:t>
      </w:r>
      <w:r>
        <w:rPr>
          <w:noProof/>
        </w:rPr>
        <w:tab/>
        <w:t>Vereinbarkeit mit anderen geeigneten Finanzierungsinstrumenten sowie mögliche Synergieeffekte</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rPr>
          <w:noProof/>
        </w:rPr>
        <w:t>1.6.</w:t>
      </w:r>
      <w:r>
        <w:rPr>
          <w:noProof/>
        </w:rPr>
        <w:tab/>
        <w:t xml:space="preserve">Laufzeit der Maßnahme(n) und Dauer ihrer finanziellen Auswirkungen </w:t>
      </w:r>
    </w:p>
    <w:p>
      <w:pPr>
        <w:pStyle w:val="Text1"/>
        <w:rPr>
          <w:noProof/>
        </w:rPr>
      </w:pPr>
      <w:r>
        <w:rPr>
          <w:noProof/>
        </w:rPr>
        <w:sym w:font="Wingdings" w:char="F0A8"/>
      </w:r>
      <w:r>
        <w:rPr>
          <w:b/>
          <w:i/>
          <w:noProof/>
        </w:rPr>
        <w:t xml:space="preserve"> </w:t>
      </w:r>
      <w:r>
        <w:rPr>
          <w:noProof/>
        </w:rPr>
        <w:t xml:space="preserve">Vorschlag/Initiative mit </w:t>
      </w:r>
      <w:r>
        <w:rPr>
          <w:b/>
          <w:noProof/>
        </w:rPr>
        <w:t xml:space="preserve">befristeter Laufzeit </w:t>
      </w:r>
    </w:p>
    <w:p>
      <w:pPr>
        <w:pStyle w:val="ListDash2"/>
        <w:rPr>
          <w:noProof/>
        </w:rPr>
      </w:pPr>
      <w:r>
        <w:rPr>
          <w:noProof/>
        </w:rPr>
        <w:sym w:font="Wingdings" w:char="F078"/>
      </w:r>
      <w:r>
        <w:rPr>
          <w:noProof/>
        </w:rPr>
        <w:tab/>
        <w:t>Laufzeit: 1. Januar 2017 bis 31. Dezember 2023</w:t>
      </w:r>
    </w:p>
    <w:p>
      <w:pPr>
        <w:pStyle w:val="ListDash2"/>
        <w:rPr>
          <w:noProof/>
        </w:rPr>
      </w:pPr>
      <w:r>
        <w:rPr>
          <w:noProof/>
        </w:rPr>
        <w:sym w:font="Wingdings" w:char="F078"/>
      </w:r>
      <w:r>
        <w:rPr>
          <w:noProof/>
        </w:rPr>
        <w:tab/>
        <w:t>Finanzielle Auswirkungen: 2017 bis 2020</w:t>
      </w:r>
    </w:p>
    <w:p>
      <w:pPr>
        <w:pStyle w:val="Text1"/>
        <w:rPr>
          <w:noProof/>
        </w:rPr>
      </w:pPr>
      <w:r>
        <w:rPr>
          <w:noProof/>
        </w:rPr>
        <w:sym w:font="Wingdings" w:char="F0A8"/>
      </w:r>
      <w:r>
        <w:rPr>
          <w:b/>
          <w:i/>
          <w:noProof/>
        </w:rPr>
        <w:t xml:space="preserve"> </w:t>
      </w:r>
      <w:r>
        <w:rPr>
          <w:noProof/>
        </w:rPr>
        <w:t xml:space="preserve">Vorschlag/Initiative mit </w:t>
      </w:r>
      <w:r>
        <w:rPr>
          <w:b/>
          <w:noProof/>
        </w:rPr>
        <w:t>unbefristeter Laufzeit</w:t>
      </w:r>
    </w:p>
    <w:p>
      <w:pPr>
        <w:pStyle w:val="ListDash1"/>
        <w:rPr>
          <w:noProof/>
        </w:rPr>
      </w:pPr>
      <w:r>
        <w:rPr>
          <w:noProof/>
        </w:rPr>
        <w:t>Anlaufphase von JJJJ bis JJJJ,</w:t>
      </w:r>
    </w:p>
    <w:p>
      <w:pPr>
        <w:pStyle w:val="ListDash1"/>
        <w:rPr>
          <w:noProof/>
        </w:rPr>
      </w:pPr>
      <w:r>
        <w:rPr>
          <w:noProof/>
        </w:rPr>
        <w:t>anschließend reguläre Umsetzung.</w:t>
      </w:r>
    </w:p>
    <w:p>
      <w:pPr>
        <w:pStyle w:val="ManualHeading2"/>
        <w:rPr>
          <w:bCs/>
          <w:noProof/>
          <w:szCs w:val="24"/>
        </w:rPr>
      </w:pPr>
      <w:r>
        <w:rPr>
          <w:noProof/>
        </w:rPr>
        <w:t>1.7.</w:t>
      </w:r>
      <w:r>
        <w:rPr>
          <w:noProof/>
        </w:rPr>
        <w:tab/>
        <w:t>Vorgeschlagene Methode(n) der Mittelverwaltung</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Direkte Verwaltung</w:t>
      </w:r>
      <w:r>
        <w:rPr>
          <w:noProof/>
        </w:rPr>
        <w:t xml:space="preserve"> durch die Kommission</w:t>
      </w:r>
    </w:p>
    <w:p>
      <w:pPr>
        <w:pStyle w:val="ListDash2"/>
        <w:rPr>
          <w:rFonts w:cs="EUAlbertina"/>
          <w:noProof/>
        </w:rPr>
      </w:pPr>
      <w:r>
        <w:rPr>
          <w:noProof/>
        </w:rPr>
        <w:sym w:font="Wingdings" w:char="F0A8"/>
      </w:r>
      <w:r>
        <w:rPr>
          <w:noProof/>
        </w:rPr>
        <w:t xml:space="preserve">durch ihre Dienststellen, einschließlich ihres Personals in den Delegationen der Union </w:t>
      </w:r>
    </w:p>
    <w:p>
      <w:pPr>
        <w:pStyle w:val="ListDash2"/>
        <w:rPr>
          <w:noProof/>
        </w:rPr>
      </w:pPr>
      <w:r>
        <w:rPr>
          <w:noProof/>
        </w:rPr>
        <w:sym w:font="Wingdings" w:char="F0A8"/>
      </w:r>
      <w:r>
        <w:rPr>
          <w:noProof/>
        </w:rPr>
        <w:tab/>
        <w:t xml:space="preserve">durch Exekutivagenturen </w:t>
      </w:r>
    </w:p>
    <w:p>
      <w:pPr>
        <w:pStyle w:val="Text1"/>
        <w:rPr>
          <w:noProof/>
        </w:rPr>
      </w:pPr>
      <w:r>
        <w:rPr>
          <w:noProof/>
        </w:rPr>
        <w:sym w:font="Wingdings" w:char="F078"/>
      </w:r>
      <w:r>
        <w:rPr>
          <w:b/>
          <w:i/>
          <w:noProof/>
        </w:rPr>
        <w:t xml:space="preserve"> </w:t>
      </w:r>
      <w:r>
        <w:rPr>
          <w:b/>
          <w:noProof/>
        </w:rPr>
        <w:t>Geteilte Verwaltung</w:t>
      </w:r>
      <w:r>
        <w:rPr>
          <w:noProof/>
        </w:rPr>
        <w:t xml:space="preserve"> mit Mitgliedstaaten </w:t>
      </w:r>
    </w:p>
    <w:p>
      <w:pPr>
        <w:pStyle w:val="Text1"/>
        <w:rPr>
          <w:noProof/>
        </w:rPr>
      </w:pPr>
      <w:r>
        <w:rPr>
          <w:noProof/>
        </w:rPr>
        <w:sym w:font="Wingdings" w:char="F0A8"/>
      </w:r>
      <w:r>
        <w:rPr>
          <w:i/>
          <w:noProof/>
        </w:rPr>
        <w:t xml:space="preserve"> </w:t>
      </w:r>
      <w:r>
        <w:rPr>
          <w:b/>
          <w:noProof/>
        </w:rPr>
        <w:t>Indirekte Verwaltung</w:t>
      </w:r>
      <w:r>
        <w:rPr>
          <w:noProof/>
        </w:rPr>
        <w:t xml:space="preserve"> durch Übertragung von Haushaltsvollzugsaufgaben an:</w:t>
      </w:r>
    </w:p>
    <w:p>
      <w:pPr>
        <w:pStyle w:val="ListDash2"/>
        <w:rPr>
          <w:noProof/>
        </w:rPr>
      </w:pPr>
      <w:r>
        <w:rPr>
          <w:noProof/>
        </w:rPr>
        <w:sym w:font="Wingdings" w:char="F0A8"/>
      </w:r>
      <w:r>
        <w:rPr>
          <w:noProof/>
        </w:rPr>
        <w:t>Drittländer oder die von ihnen benannten Einrichtungen;</w:t>
      </w:r>
    </w:p>
    <w:p>
      <w:pPr>
        <w:pStyle w:val="ListDash2"/>
        <w:rPr>
          <w:noProof/>
        </w:rPr>
      </w:pPr>
      <w:r>
        <w:rPr>
          <w:noProof/>
        </w:rPr>
        <w:sym w:font="Wingdings" w:char="F0A8"/>
      </w:r>
      <w:r>
        <w:rPr>
          <w:noProof/>
        </w:rPr>
        <w:t>internationale Einrichtungen und deren Agenturen (bitte angeben);</w:t>
      </w:r>
    </w:p>
    <w:p>
      <w:pPr>
        <w:pStyle w:val="ListDash2"/>
        <w:rPr>
          <w:noProof/>
        </w:rPr>
      </w:pPr>
      <w:r>
        <w:rPr>
          <w:noProof/>
        </w:rPr>
        <w:sym w:font="Wingdings" w:char="F0A8"/>
      </w:r>
      <w:r>
        <w:rPr>
          <w:noProof/>
        </w:rPr>
        <w:t>die EIB und den Europäischen Investitionsfonds;</w:t>
      </w:r>
    </w:p>
    <w:p>
      <w:pPr>
        <w:pStyle w:val="ListDash2"/>
        <w:rPr>
          <w:noProof/>
        </w:rPr>
      </w:pPr>
      <w:r>
        <w:rPr>
          <w:noProof/>
        </w:rPr>
        <w:sym w:font="Wingdings" w:char="F0A8"/>
      </w:r>
      <w:r>
        <w:rPr>
          <w:noProof/>
        </w:rPr>
        <w:t>Einrichtungen im Sinne der Artikel 208 und 209 der Haushaltsordnung;</w:t>
      </w:r>
    </w:p>
    <w:p>
      <w:pPr>
        <w:pStyle w:val="ListDash2"/>
        <w:rPr>
          <w:noProof/>
        </w:rPr>
      </w:pPr>
      <w:r>
        <w:rPr>
          <w:noProof/>
        </w:rPr>
        <w:sym w:font="Wingdings" w:char="F0A8"/>
      </w:r>
      <w:r>
        <w:rPr>
          <w:noProof/>
        </w:rPr>
        <w:t>öffentlich-rechtliche Körperschaften;</w:t>
      </w:r>
    </w:p>
    <w:p>
      <w:pPr>
        <w:pStyle w:val="ListDash2"/>
        <w:rPr>
          <w:noProof/>
        </w:rPr>
      </w:pPr>
      <w:r>
        <w:rPr>
          <w:noProof/>
        </w:rPr>
        <w:sym w:font="Wingdings" w:char="F0A8"/>
      </w:r>
      <w:r>
        <w:rPr>
          <w:noProof/>
        </w:rPr>
        <w:t>privatrechtliche Einrichtungen, die im öffentlichen Auftrag tätig werden, sofern sie ausreichende Finanzsicherheiten bieten;</w:t>
      </w:r>
    </w:p>
    <w:p>
      <w:pPr>
        <w:pStyle w:val="ListDash2"/>
        <w:rPr>
          <w:noProof/>
        </w:rPr>
      </w:pPr>
      <w:r>
        <w:rPr>
          <w:noProof/>
        </w:rPr>
        <w:sym w:font="Wingdings" w:char="F0A8"/>
      </w:r>
      <w:r>
        <w:rPr>
          <w:noProof/>
        </w:rPr>
        <w:t>privatrechtliche Einrichtungen eines Mitgliedstaats, die mit der Einrichtung einer öffentlich-privaten Partnerschaft betraut werden und die ausreichende Finanzsicherheiten bieten;</w:t>
      </w:r>
    </w:p>
    <w:p>
      <w:pPr>
        <w:pStyle w:val="ListDash2"/>
        <w:rPr>
          <w:noProof/>
        </w:rPr>
      </w:pPr>
      <w:r>
        <w:rPr>
          <w:noProof/>
        </w:rPr>
        <w:sym w:font="Wingdings" w:char="F0A8"/>
      </w:r>
      <w:r>
        <w:rPr>
          <w:noProof/>
        </w:rPr>
        <w:t>Personen, die mit der Durchführung bestimmter Maßnahmen im Bereich der GASP im Rahmen des Titels V EUV betraut und in dem maßgeblichen Basisrechtsakt benannt sind.</w:t>
      </w:r>
    </w:p>
    <w:p>
      <w:pPr>
        <w:pStyle w:val="ListDash2"/>
        <w:rPr>
          <w:i/>
          <w:noProof/>
          <w:sz w:val="18"/>
          <w:u w:val="single"/>
        </w:rPr>
      </w:pPr>
      <w:r>
        <w:rPr>
          <w:i/>
          <w:noProof/>
          <w:sz w:val="18"/>
        </w:rPr>
        <w:t>Falls mehrere Methoden der Mittelverwaltung angegeben werden, ist dies unter „Bemerkungen“ näher zu erläutern.</w:t>
      </w:r>
    </w:p>
    <w:p>
      <w:pPr>
        <w:rPr>
          <w:noProof/>
        </w:rPr>
      </w:pPr>
      <w:r>
        <w:rPr>
          <w:noProof/>
        </w:rPr>
        <w:t xml:space="preserve">Bemerkungen </w:t>
      </w:r>
    </w:p>
    <w:p>
      <w:pPr>
        <w:pBdr>
          <w:top w:val="single" w:sz="4" w:space="1" w:color="auto"/>
          <w:left w:val="single" w:sz="4" w:space="4" w:color="auto"/>
          <w:bottom w:val="single" w:sz="4" w:space="1" w:color="auto"/>
          <w:right w:val="single" w:sz="4" w:space="4" w:color="auto"/>
        </w:pBdr>
        <w:rPr>
          <w:noProof/>
        </w:rPr>
      </w:pPr>
      <w:r>
        <w:rPr>
          <w:noProof/>
        </w:rPr>
        <w:t>Entfällt.</w:t>
      </w:r>
    </w:p>
    <w:p>
      <w:pPr>
        <w:pStyle w:val="ManualHeading1"/>
        <w:rPr>
          <w:bCs/>
          <w:noProof/>
          <w:szCs w:val="24"/>
        </w:rPr>
      </w:pPr>
      <w:r>
        <w:rPr>
          <w:noProof/>
        </w:rPr>
        <w:t>2.</w:t>
      </w:r>
      <w:r>
        <w:rPr>
          <w:noProof/>
        </w:rPr>
        <w:tab/>
        <w:t xml:space="preserve">VERWALTUNGSMAẞNAHMEN </w:t>
      </w:r>
    </w:p>
    <w:p>
      <w:pPr>
        <w:pStyle w:val="ManualHeading2"/>
        <w:rPr>
          <w:noProof/>
        </w:rPr>
      </w:pPr>
      <w:r>
        <w:rPr>
          <w:noProof/>
        </w:rPr>
        <w:t>2.1.</w:t>
      </w:r>
      <w:r>
        <w:rPr>
          <w:noProof/>
        </w:rPr>
        <w:tab/>
        <w:t xml:space="preserve">Überwachung und Berichterstattung </w:t>
      </w:r>
    </w:p>
    <w:p>
      <w:pPr>
        <w:pStyle w:val="Text1"/>
        <w:rPr>
          <w:i/>
          <w:noProof/>
          <w:sz w:val="20"/>
          <w:u w:val="single"/>
        </w:rPr>
      </w:pPr>
      <w:r>
        <w:rPr>
          <w:i/>
          <w:noProof/>
          <w:sz w:val="20"/>
        </w:rPr>
        <w:t>Bitte geben Sie an, wie oft und unter welchen Bedingungen diese Tätigkeiten erfolgen.</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rPr>
          <w:noProof/>
        </w:rPr>
        <w:t>2.2.</w:t>
      </w:r>
      <w:r>
        <w:rPr>
          <w:noProof/>
        </w:rPr>
        <w:tab/>
        <w:t xml:space="preserve">Verwaltungs- und Kontrollsystem </w:t>
      </w:r>
    </w:p>
    <w:p>
      <w:pPr>
        <w:pStyle w:val="ManualHeading3"/>
        <w:rPr>
          <w:noProof/>
        </w:rPr>
      </w:pPr>
      <w:r>
        <w:rPr>
          <w:noProof/>
        </w:rPr>
        <w:t>2.2.1.</w:t>
      </w:r>
      <w:r>
        <w:rPr>
          <w:noProof/>
        </w:rPr>
        <w:tab/>
        <w:t xml:space="preserve">Ermittelte Risiken </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bCs/>
          <w:noProof/>
          <w:szCs w:val="24"/>
        </w:rPr>
      </w:pPr>
      <w:r>
        <w:rPr>
          <w:noProof/>
        </w:rPr>
        <w:t>2.2.2.</w:t>
      </w:r>
      <w:r>
        <w:rPr>
          <w:noProof/>
        </w:rPr>
        <w:tab/>
        <w:t>Angaben zum Aufbau des Systems der internen Kontrolle</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3"/>
        <w:rPr>
          <w:noProof/>
        </w:rPr>
      </w:pPr>
      <w:r>
        <w:rPr>
          <w:noProof/>
        </w:rPr>
        <w:t>2.2.3.</w:t>
      </w:r>
      <w:r>
        <w:rPr>
          <w:noProof/>
        </w:rPr>
        <w:tab/>
        <w:t xml:space="preserve">Abschätzung der Kosten und des Nutzens der Kontrollen sowie Bewertung des voraussichtlichen Fehlerrisikos </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pStyle w:val="ManualHeading2"/>
        <w:rPr>
          <w:bCs/>
          <w:noProof/>
          <w:szCs w:val="24"/>
        </w:rPr>
      </w:pPr>
      <w:r>
        <w:rPr>
          <w:noProof/>
        </w:rPr>
        <w:t>2.3.</w:t>
      </w:r>
      <w:r>
        <w:rPr>
          <w:noProof/>
        </w:rPr>
        <w:tab/>
        <w:t xml:space="preserve">Prävention von Betrug und Unregelmäßigkeiten </w:t>
      </w:r>
    </w:p>
    <w:p>
      <w:pPr>
        <w:pStyle w:val="Text1"/>
        <w:rPr>
          <w:i/>
          <w:noProof/>
          <w:sz w:val="20"/>
        </w:rPr>
      </w:pPr>
      <w:r>
        <w:rPr>
          <w:i/>
          <w:noProof/>
          <w:sz w:val="20"/>
        </w:rPr>
        <w:t>Bitte geben Sie an, welche Präventions- und Schutzmaßnahmen vorhanden oder vorgesehen sind.</w:t>
      </w:r>
    </w:p>
    <w:p>
      <w:pPr>
        <w:pStyle w:val="Text1"/>
        <w:pBdr>
          <w:top w:val="single" w:sz="4" w:space="1" w:color="auto"/>
          <w:left w:val="single" w:sz="4" w:space="4" w:color="auto"/>
          <w:bottom w:val="single" w:sz="4" w:space="1" w:color="auto"/>
          <w:right w:val="single" w:sz="4" w:space="4" w:color="auto"/>
        </w:pBdr>
        <w:rPr>
          <w:noProof/>
        </w:rPr>
      </w:pPr>
      <w:r>
        <w:rPr>
          <w:noProof/>
        </w:rPr>
        <w:t>Entfällt.</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GESCHÄTZTE FINANZIELLE AUSWIRKUNGEN DES VORSCHLAGS/DER INITIATIVE </w:t>
      </w:r>
    </w:p>
    <w:p>
      <w:pPr>
        <w:pStyle w:val="ManualHeading2"/>
        <w:rPr>
          <w:noProof/>
        </w:rPr>
      </w:pPr>
      <w:r>
        <w:rPr>
          <w:noProof/>
        </w:rPr>
        <w:t>3.1.</w:t>
      </w:r>
      <w:r>
        <w:rPr>
          <w:noProof/>
        </w:rPr>
        <w:tab/>
        <w:t xml:space="preserve">Betroffene Rubrik(en) des mehrjährigen Finanzrahmens und Ausgabenlinie(n) im Haushaltsplan </w:t>
      </w:r>
    </w:p>
    <w:p>
      <w:pPr>
        <w:pStyle w:val="ListBullet1"/>
        <w:rPr>
          <w:noProof/>
        </w:rPr>
      </w:pPr>
      <w:r>
        <w:rPr>
          <w:noProof/>
        </w:rPr>
        <w:t xml:space="preserve">Bestehende Haushaltslinien </w:t>
      </w:r>
    </w:p>
    <w:p>
      <w:pPr>
        <w:pStyle w:val="Text1"/>
        <w:rPr>
          <w:noProof/>
        </w:rPr>
      </w:pPr>
      <w:r>
        <w:rPr>
          <w:noProof/>
          <w:u w:val="single"/>
        </w:rPr>
        <w:t>In der Reihenfolge</w:t>
      </w:r>
      <w:r>
        <w:rPr>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58"/>
        <w:gridCol w:w="1082"/>
        <w:gridCol w:w="956"/>
        <w:gridCol w:w="1080"/>
        <w:gridCol w:w="956"/>
        <w:gridCol w:w="1448"/>
      </w:tblGrid>
      <w:tr>
        <w:tc>
          <w:tcPr>
            <w:tcW w:w="1080" w:type="dxa"/>
            <w:vMerge w:val="restart"/>
            <w:vAlign w:val="center"/>
          </w:tcPr>
          <w:p>
            <w:pPr>
              <w:spacing w:before="60" w:after="60"/>
              <w:jc w:val="center"/>
              <w:rPr>
                <w:noProof/>
              </w:rPr>
            </w:pPr>
            <w:r>
              <w:rPr>
                <w:noProof/>
                <w:sz w:val="18"/>
              </w:rPr>
              <w:t>Rubrik des mehrjährigen Finanzrahmens</w:t>
            </w:r>
          </w:p>
        </w:tc>
        <w:tc>
          <w:tcPr>
            <w:tcW w:w="3958" w:type="dxa"/>
            <w:vAlign w:val="center"/>
          </w:tcPr>
          <w:p>
            <w:pPr>
              <w:spacing w:before="60" w:after="60"/>
              <w:jc w:val="center"/>
              <w:rPr>
                <w:noProof/>
              </w:rPr>
            </w:pPr>
            <w:r>
              <w:rPr>
                <w:noProof/>
                <w:sz w:val="20"/>
              </w:rPr>
              <w:t>Haushaltslinie</w:t>
            </w:r>
          </w:p>
        </w:tc>
        <w:tc>
          <w:tcPr>
            <w:tcW w:w="1082" w:type="dxa"/>
            <w:vAlign w:val="center"/>
          </w:tcPr>
          <w:p>
            <w:pPr>
              <w:spacing w:before="60" w:after="60"/>
              <w:jc w:val="center"/>
              <w:rPr>
                <w:noProof/>
              </w:rPr>
            </w:pPr>
            <w:r>
              <w:rPr>
                <w:noProof/>
                <w:sz w:val="18"/>
              </w:rPr>
              <w:t>Art der</w:t>
            </w:r>
            <w:r>
              <w:rPr>
                <w:noProof/>
              </w:rPr>
              <w:br/>
            </w:r>
            <w:r>
              <w:rPr>
                <w:noProof/>
                <w:sz w:val="18"/>
              </w:rPr>
              <w:t>Ausgaben</w:t>
            </w:r>
          </w:p>
        </w:tc>
        <w:tc>
          <w:tcPr>
            <w:tcW w:w="4440" w:type="dxa"/>
            <w:gridSpan w:val="4"/>
            <w:vAlign w:val="center"/>
          </w:tcPr>
          <w:p>
            <w:pPr>
              <w:spacing w:before="60" w:after="60"/>
              <w:jc w:val="center"/>
              <w:rPr>
                <w:noProof/>
              </w:rPr>
            </w:pPr>
            <w:r>
              <w:rPr>
                <w:noProof/>
                <w:sz w:val="20"/>
              </w:rPr>
              <w:t xml:space="preserve">Beitrag </w:t>
            </w:r>
          </w:p>
        </w:tc>
      </w:tr>
      <w:tr>
        <w:tc>
          <w:tcPr>
            <w:tcW w:w="1080" w:type="dxa"/>
            <w:vMerge/>
            <w:vAlign w:val="center"/>
          </w:tcPr>
          <w:p>
            <w:pPr>
              <w:jc w:val="center"/>
              <w:rPr>
                <w:noProof/>
              </w:rPr>
            </w:pPr>
          </w:p>
        </w:tc>
        <w:tc>
          <w:tcPr>
            <w:tcW w:w="3958" w:type="dxa"/>
            <w:vAlign w:val="center"/>
          </w:tcPr>
          <w:p>
            <w:pPr>
              <w:rPr>
                <w:noProof/>
              </w:rPr>
            </w:pPr>
            <w:r>
              <w:rPr>
                <w:noProof/>
                <w:sz w:val="20"/>
              </w:rPr>
              <w:t xml:space="preserve">Nummer </w:t>
            </w:r>
            <w:r>
              <w:rPr>
                <w:noProof/>
              </w:rPr>
              <w:br/>
            </w:r>
            <w:r>
              <w:rPr>
                <w:noProof/>
                <w:sz w:val="20"/>
              </w:rPr>
              <w:t>[Rubrik………………………...…………]</w:t>
            </w:r>
          </w:p>
        </w:tc>
        <w:tc>
          <w:tcPr>
            <w:tcW w:w="1082" w:type="dxa"/>
            <w:vAlign w:val="center"/>
          </w:tcPr>
          <w:p>
            <w:pPr>
              <w:jc w:val="center"/>
              <w:rPr>
                <w:noProof/>
              </w:rPr>
            </w:pPr>
            <w:r>
              <w:rPr>
                <w:noProof/>
                <w:sz w:val="18"/>
              </w:rPr>
              <w:t>GM/NGM</w:t>
            </w:r>
            <w:r>
              <w:rPr>
                <w:rStyle w:val="FootnoteReference"/>
                <w:noProof/>
                <w:sz w:val="18"/>
              </w:rPr>
              <w:footnoteReference w:id="10"/>
            </w:r>
          </w:p>
        </w:tc>
        <w:tc>
          <w:tcPr>
            <w:tcW w:w="956" w:type="dxa"/>
            <w:vAlign w:val="center"/>
          </w:tcPr>
          <w:p>
            <w:pPr>
              <w:jc w:val="center"/>
              <w:rPr>
                <w:noProof/>
              </w:rPr>
            </w:pPr>
            <w:r>
              <w:rPr>
                <w:noProof/>
                <w:sz w:val="18"/>
              </w:rPr>
              <w:t>von EFTA-Ländern</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von Kandidatenländern</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shd w:val="clear" w:color="auto" w:fill="auto"/>
            <w:vAlign w:val="center"/>
          </w:tcPr>
          <w:p>
            <w:pPr>
              <w:jc w:val="center"/>
              <w:rPr>
                <w:noProof/>
                <w:color w:val="0000FF"/>
                <w:sz w:val="22"/>
              </w:rPr>
            </w:pPr>
            <w:r>
              <w:rPr>
                <w:noProof/>
                <w:sz w:val="22"/>
              </w:rPr>
              <w:t>1 Intelligentes und integratives Wachstum</w:t>
            </w:r>
          </w:p>
        </w:tc>
        <w:tc>
          <w:tcPr>
            <w:tcW w:w="3958" w:type="dxa"/>
            <w:vAlign w:val="center"/>
          </w:tcPr>
          <w:p>
            <w:pPr>
              <w:spacing w:after="60"/>
              <w:rPr>
                <w:noProof/>
                <w:sz w:val="22"/>
              </w:rPr>
            </w:pPr>
            <w:r>
              <w:rPr>
                <w:noProof/>
                <w:sz w:val="22"/>
              </w:rPr>
              <w:t>04 02 60 – Europäischer Sozialfonds – Weniger entwickelte Gebiete – Ziel Investitionen in Wachstum und Beschäftigung</w:t>
            </w:r>
          </w:p>
          <w:p>
            <w:pPr>
              <w:spacing w:after="60"/>
              <w:rPr>
                <w:noProof/>
                <w:sz w:val="22"/>
              </w:rPr>
            </w:pPr>
            <w:r>
              <w:rPr>
                <w:noProof/>
                <w:sz w:val="22"/>
              </w:rPr>
              <w:t>04 02 61 – Europäischer Sozialfonds – Übergangsregionen – Ziel Investitionen in Wachstum und Beschäftigung</w:t>
            </w:r>
          </w:p>
          <w:p>
            <w:pPr>
              <w:spacing w:after="60"/>
              <w:rPr>
                <w:noProof/>
                <w:sz w:val="22"/>
              </w:rPr>
            </w:pPr>
            <w:r>
              <w:rPr>
                <w:noProof/>
                <w:sz w:val="22"/>
              </w:rPr>
              <w:t>04 02 62 – Europäischer Sozialfonds – entwickelte Gebiete – Ziel Investitionen in Wachstum und Beschäftigung</w:t>
            </w:r>
          </w:p>
          <w:p>
            <w:pPr>
              <w:spacing w:after="60"/>
              <w:rPr>
                <w:noProof/>
              </w:rPr>
            </w:pPr>
            <w:r>
              <w:rPr>
                <w:noProof/>
                <w:sz w:val="22"/>
              </w:rPr>
              <w:t>04 02 64 – Beschäftigungsinitiative für Jugendliche</w:t>
            </w:r>
          </w:p>
        </w:tc>
        <w:tc>
          <w:tcPr>
            <w:tcW w:w="1082" w:type="dxa"/>
            <w:vAlign w:val="center"/>
          </w:tcPr>
          <w:p>
            <w:pPr>
              <w:jc w:val="center"/>
              <w:rPr>
                <w:noProof/>
                <w:color w:val="0000FF"/>
                <w:sz w:val="22"/>
              </w:rPr>
            </w:pPr>
            <w:r>
              <w:rPr>
                <w:noProof/>
                <w:sz w:val="22"/>
              </w:rPr>
              <w:t>GM</w:t>
            </w:r>
          </w:p>
        </w:tc>
        <w:tc>
          <w:tcPr>
            <w:tcW w:w="956" w:type="dxa"/>
            <w:vAlign w:val="center"/>
          </w:tcPr>
          <w:p>
            <w:pPr>
              <w:jc w:val="center"/>
              <w:rPr>
                <w:noProof/>
                <w:sz w:val="22"/>
              </w:rPr>
            </w:pPr>
            <w:r>
              <w:rPr>
                <w:noProof/>
                <w:sz w:val="22"/>
              </w:rPr>
              <w:t>NEIN</w:t>
            </w:r>
          </w:p>
        </w:tc>
        <w:tc>
          <w:tcPr>
            <w:tcW w:w="1080" w:type="dxa"/>
            <w:vAlign w:val="center"/>
          </w:tcPr>
          <w:p>
            <w:pPr>
              <w:jc w:val="center"/>
              <w:rPr>
                <w:noProof/>
                <w:sz w:val="22"/>
              </w:rPr>
            </w:pPr>
            <w:r>
              <w:rPr>
                <w:noProof/>
                <w:sz w:val="22"/>
              </w:rPr>
              <w:t>NEIN</w:t>
            </w:r>
          </w:p>
        </w:tc>
        <w:tc>
          <w:tcPr>
            <w:tcW w:w="956" w:type="dxa"/>
            <w:vAlign w:val="center"/>
          </w:tcPr>
          <w:p>
            <w:pPr>
              <w:jc w:val="center"/>
              <w:rPr>
                <w:noProof/>
                <w:sz w:val="22"/>
              </w:rPr>
            </w:pPr>
            <w:r>
              <w:rPr>
                <w:noProof/>
                <w:sz w:val="22"/>
              </w:rPr>
              <w:t>NEIN</w:t>
            </w:r>
          </w:p>
        </w:tc>
        <w:tc>
          <w:tcPr>
            <w:tcW w:w="1448" w:type="dxa"/>
            <w:vAlign w:val="center"/>
          </w:tcPr>
          <w:p>
            <w:pPr>
              <w:jc w:val="center"/>
              <w:rPr>
                <w:noProof/>
                <w:sz w:val="22"/>
              </w:rPr>
            </w:pPr>
            <w:r>
              <w:rPr>
                <w:noProof/>
                <w:sz w:val="22"/>
              </w:rPr>
              <w:t>NEIN</w:t>
            </w:r>
          </w:p>
        </w:tc>
      </w:tr>
    </w:tbl>
    <w:p>
      <w:pPr>
        <w:rPr>
          <w:noProof/>
        </w:rPr>
      </w:pPr>
    </w:p>
    <w:p>
      <w:pPr>
        <w:pStyle w:val="ListBullet1"/>
        <w:rPr>
          <w:noProof/>
        </w:rPr>
      </w:pPr>
      <w:r>
        <w:rPr>
          <w:noProof/>
        </w:rPr>
        <w:t xml:space="preserve">Neu zu schaffende Haushaltslinien </w:t>
      </w:r>
    </w:p>
    <w:p>
      <w:pPr>
        <w:pStyle w:val="Text1"/>
        <w:rPr>
          <w:i/>
          <w:noProof/>
          <w:sz w:val="20"/>
        </w:rPr>
      </w:pPr>
      <w:r>
        <w:rPr>
          <w:i/>
          <w:noProof/>
          <w:u w:val="single"/>
        </w:rPr>
        <w:t>In der Reihenfolge</w:t>
      </w:r>
      <w:r>
        <w:rPr>
          <w:i/>
          <w:noProof/>
        </w:rPr>
        <w:t xml:space="preserve"> der Rubriken des mehrjährigen Finanzrahmens und der Haushaltslinien.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Rubrik des mehrjährigen Finanzrahmens</w:t>
            </w:r>
          </w:p>
        </w:tc>
        <w:tc>
          <w:tcPr>
            <w:tcW w:w="3960" w:type="dxa"/>
            <w:vAlign w:val="center"/>
          </w:tcPr>
          <w:p>
            <w:pPr>
              <w:spacing w:before="60" w:after="60"/>
              <w:jc w:val="center"/>
              <w:rPr>
                <w:noProof/>
              </w:rPr>
            </w:pPr>
            <w:r>
              <w:rPr>
                <w:noProof/>
                <w:sz w:val="20"/>
              </w:rPr>
              <w:t>Haushaltslinie</w:t>
            </w:r>
          </w:p>
        </w:tc>
        <w:tc>
          <w:tcPr>
            <w:tcW w:w="1080" w:type="dxa"/>
            <w:vAlign w:val="center"/>
          </w:tcPr>
          <w:p>
            <w:pPr>
              <w:spacing w:before="60" w:after="60"/>
              <w:jc w:val="center"/>
              <w:rPr>
                <w:noProof/>
              </w:rPr>
            </w:pPr>
            <w:r>
              <w:rPr>
                <w:noProof/>
                <w:sz w:val="18"/>
              </w:rPr>
              <w:t>Art der</w:t>
            </w:r>
            <w:r>
              <w:rPr>
                <w:noProof/>
              </w:rPr>
              <w:br/>
            </w:r>
            <w:r>
              <w:rPr>
                <w:noProof/>
                <w:sz w:val="18"/>
              </w:rPr>
              <w:t>Ausgaben</w:t>
            </w:r>
          </w:p>
        </w:tc>
        <w:tc>
          <w:tcPr>
            <w:tcW w:w="4440" w:type="dxa"/>
            <w:gridSpan w:val="4"/>
            <w:vAlign w:val="center"/>
          </w:tcPr>
          <w:p>
            <w:pPr>
              <w:spacing w:before="60" w:after="60"/>
              <w:jc w:val="center"/>
              <w:rPr>
                <w:noProof/>
              </w:rPr>
            </w:pPr>
            <w:r>
              <w:rPr>
                <w:noProof/>
                <w:sz w:val="20"/>
              </w:rPr>
              <w:t xml:space="preserve">Beitrag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Nummer </w:t>
            </w:r>
            <w:r>
              <w:rPr>
                <w:noProof/>
              </w:rPr>
              <w:br/>
            </w:r>
            <w:r>
              <w:rPr>
                <w:noProof/>
                <w:sz w:val="20"/>
              </w:rPr>
              <w:t>[Rubrik………………………...…………]</w:t>
            </w:r>
          </w:p>
        </w:tc>
        <w:tc>
          <w:tcPr>
            <w:tcW w:w="1080" w:type="dxa"/>
            <w:vAlign w:val="center"/>
          </w:tcPr>
          <w:p>
            <w:pPr>
              <w:jc w:val="center"/>
              <w:rPr>
                <w:noProof/>
              </w:rPr>
            </w:pPr>
            <w:r>
              <w:rPr>
                <w:noProof/>
                <w:sz w:val="18"/>
              </w:rPr>
              <w:t>GM/NGM</w:t>
            </w:r>
          </w:p>
        </w:tc>
        <w:tc>
          <w:tcPr>
            <w:tcW w:w="956" w:type="dxa"/>
            <w:vAlign w:val="center"/>
          </w:tcPr>
          <w:p>
            <w:pPr>
              <w:jc w:val="center"/>
              <w:rPr>
                <w:noProof/>
                <w:sz w:val="18"/>
              </w:rPr>
            </w:pPr>
            <w:r>
              <w:rPr>
                <w:noProof/>
                <w:sz w:val="18"/>
              </w:rPr>
              <w:t>von EFTA-Ländern</w:t>
            </w:r>
          </w:p>
        </w:tc>
        <w:tc>
          <w:tcPr>
            <w:tcW w:w="1080" w:type="dxa"/>
            <w:vAlign w:val="center"/>
          </w:tcPr>
          <w:p>
            <w:pPr>
              <w:jc w:val="center"/>
              <w:rPr>
                <w:noProof/>
                <w:sz w:val="18"/>
              </w:rPr>
            </w:pPr>
            <w:r>
              <w:rPr>
                <w:noProof/>
                <w:sz w:val="18"/>
              </w:rPr>
              <w:t>von Kandidatenländern</w:t>
            </w:r>
          </w:p>
        </w:tc>
        <w:tc>
          <w:tcPr>
            <w:tcW w:w="956" w:type="dxa"/>
            <w:vAlign w:val="center"/>
          </w:tcPr>
          <w:p>
            <w:pPr>
              <w:jc w:val="center"/>
              <w:rPr>
                <w:noProof/>
                <w:sz w:val="18"/>
              </w:rPr>
            </w:pPr>
            <w:r>
              <w:rPr>
                <w:noProof/>
                <w:sz w:val="18"/>
              </w:rPr>
              <w:t>von Drittländern</w:t>
            </w:r>
          </w:p>
        </w:tc>
        <w:tc>
          <w:tcPr>
            <w:tcW w:w="1448" w:type="dxa"/>
            <w:vAlign w:val="center"/>
          </w:tcPr>
          <w:p>
            <w:pPr>
              <w:jc w:val="center"/>
              <w:rPr>
                <w:noProof/>
              </w:rPr>
            </w:pPr>
            <w:r>
              <w:rPr>
                <w:noProof/>
                <w:sz w:val="16"/>
              </w:rPr>
              <w:t xml:space="preserve">nach Artikel 21 Absatz 2 Buchstabe b der Haushaltsordnung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JA/NEIN</w:t>
            </w:r>
          </w:p>
        </w:tc>
        <w:tc>
          <w:tcPr>
            <w:tcW w:w="1080" w:type="dxa"/>
            <w:vAlign w:val="center"/>
          </w:tcPr>
          <w:p>
            <w:pPr>
              <w:jc w:val="center"/>
              <w:rPr>
                <w:noProof/>
                <w:color w:val="0000FF"/>
                <w:sz w:val="18"/>
              </w:rPr>
            </w:pPr>
            <w:r>
              <w:rPr>
                <w:noProof/>
              </w:rPr>
              <w:t>JA/NEIN</w:t>
            </w:r>
          </w:p>
        </w:tc>
        <w:tc>
          <w:tcPr>
            <w:tcW w:w="956" w:type="dxa"/>
            <w:vAlign w:val="center"/>
          </w:tcPr>
          <w:p>
            <w:pPr>
              <w:jc w:val="center"/>
              <w:rPr>
                <w:noProof/>
                <w:color w:val="0000FF"/>
                <w:sz w:val="18"/>
              </w:rPr>
            </w:pPr>
            <w:r>
              <w:rPr>
                <w:noProof/>
              </w:rPr>
              <w:t>JA/NEIN</w:t>
            </w:r>
          </w:p>
        </w:tc>
        <w:tc>
          <w:tcPr>
            <w:tcW w:w="1448" w:type="dxa"/>
            <w:vAlign w:val="center"/>
          </w:tcPr>
          <w:p>
            <w:pPr>
              <w:jc w:val="center"/>
              <w:rPr>
                <w:noProof/>
              </w:rPr>
            </w:pPr>
            <w:r>
              <w:rPr>
                <w:noProof/>
              </w:rPr>
              <w:t>JA/NEIN</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Geschätzte Auswirkungen auf die Ausgaben </w:t>
      </w:r>
    </w:p>
    <w:p>
      <w:pPr>
        <w:pBdr>
          <w:top w:val="nil"/>
          <w:left w:val="nil"/>
          <w:bottom w:val="nil"/>
          <w:right w:val="nil"/>
          <w:between w:val="nil"/>
          <w:bar w:val="nil"/>
        </w:pBdr>
        <w:spacing w:before="0" w:after="240"/>
        <w:rPr>
          <w:noProof/>
        </w:rPr>
      </w:pPr>
      <w:r>
        <w:rPr>
          <w:noProof/>
        </w:rPr>
        <w:t>Die Mittel für Verpflichtungen für die besondere Mittelzuweisung zugunsten der Beschäftigungsinitiative für junge Menschen für 2019 sollten um 116,7 Mio. EUR</w:t>
      </w:r>
      <w:r>
        <w:rPr>
          <w:rStyle w:val="FootnoteReference"/>
          <w:noProof/>
        </w:rPr>
        <w:footnoteReference w:id="13"/>
      </w:r>
      <w:r>
        <w:rPr>
          <w:noProof/>
        </w:rPr>
        <w:t xml:space="preserve"> (zu jeweiligen Preisen) angehoben werden.  Die Mittel für Zahlungen wurden entsprechend angepasst. </w:t>
      </w:r>
    </w:p>
    <w:p>
      <w:pPr>
        <w:pStyle w:val="ManualHeading3"/>
        <w:rPr>
          <w:noProof/>
        </w:rPr>
      </w:pPr>
    </w:p>
    <w:p>
      <w:pPr>
        <w:pStyle w:val="ManualHeading3"/>
        <w:rPr>
          <w:noProof/>
        </w:rPr>
      </w:pPr>
    </w:p>
    <w:p>
      <w:pPr>
        <w:pStyle w:val="ManualHeading3"/>
        <w:rPr>
          <w:noProof/>
          <w:u w:val="single"/>
        </w:rPr>
      </w:pPr>
      <w:r>
        <w:rPr>
          <w:noProof/>
        </w:rPr>
        <w:t>3.2.1.</w:t>
      </w:r>
      <w:r>
        <w:rPr>
          <w:noProof/>
        </w:rPr>
        <w:tab/>
        <w:t xml:space="preserve">Übersicht über die geschätzten Auswirkungen auf die Ausgaben </w:t>
      </w:r>
    </w:p>
    <w:p>
      <w:pPr>
        <w:spacing w:before="0" w:after="200" w:line="276" w:lineRule="auto"/>
        <w:jc w:val="left"/>
        <w:rPr>
          <w:noProof/>
          <w:sz w:val="20"/>
        </w:rPr>
      </w:pPr>
      <w:r>
        <w:rPr>
          <w:noProof/>
        </w:rPr>
        <w:br w:type="page"/>
      </w:r>
    </w:p>
    <w:p>
      <w:pPr>
        <w:jc w:val="right"/>
        <w:rPr>
          <w:noProof/>
          <w:sz w:val="20"/>
        </w:rPr>
      </w:pPr>
      <w:r>
        <w:rPr>
          <w:noProof/>
          <w:sz w:val="20"/>
        </w:rPr>
        <w:t>in Mio. EUR zu jeweiligen Preisen (3 Dezimalstellen)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Rubrik des mehrjährigen Finanz-</w:t>
            </w:r>
            <w:r>
              <w:rPr>
                <w:noProof/>
              </w:rPr>
              <w:br/>
            </w:r>
            <w:r>
              <w:rPr>
                <w:b/>
                <w:noProof/>
              </w:rPr>
              <w:t xml:space="preserve">rahmens </w:t>
            </w:r>
          </w:p>
        </w:tc>
        <w:tc>
          <w:tcPr>
            <w:tcW w:w="1080" w:type="dxa"/>
            <w:vAlign w:val="center"/>
          </w:tcPr>
          <w:p>
            <w:pPr>
              <w:spacing w:before="60" w:after="60"/>
              <w:jc w:val="center"/>
              <w:rPr>
                <w:noProof/>
              </w:rPr>
            </w:pPr>
            <w:r>
              <w:rPr>
                <w:noProof/>
                <w:sz w:val="22"/>
              </w:rPr>
              <w:t>Anzahl</w:t>
            </w:r>
          </w:p>
          <w:p>
            <w:pPr>
              <w:spacing w:before="60" w:after="60"/>
              <w:jc w:val="center"/>
              <w:rPr>
                <w:noProof/>
              </w:rPr>
            </w:pPr>
            <w:r>
              <w:rPr>
                <w:noProof/>
                <w:sz w:val="22"/>
              </w:rPr>
              <w:t>1b</w:t>
            </w:r>
          </w:p>
        </w:tc>
        <w:tc>
          <w:tcPr>
            <w:tcW w:w="7817" w:type="dxa"/>
            <w:vAlign w:val="center"/>
          </w:tcPr>
          <w:p>
            <w:pPr>
              <w:spacing w:before="60" w:after="60"/>
              <w:rPr>
                <w:noProof/>
              </w:rPr>
            </w:pPr>
            <w:r>
              <w:rPr>
                <w:noProof/>
              </w:rPr>
              <w:t>Intelligentes und integratives Wachstum</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GD: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INSGESAMT</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Operative Mittel </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Wirtschaftlicher, sozialer und territorialer Zusammenhalt</w:t>
            </w:r>
          </w:p>
          <w:p>
            <w:pPr>
              <w:spacing w:before="60"/>
              <w:rPr>
                <w:noProof/>
              </w:rPr>
            </w:pPr>
            <w:r>
              <w:rPr>
                <w:noProof/>
                <w:sz w:val="21"/>
              </w:rPr>
              <w:t>Europäischer Fonds für regionale Entwicklung, Europäischer Sozialfonds, Kohäsionsfonds</w:t>
            </w:r>
          </w:p>
        </w:tc>
        <w:tc>
          <w:tcPr>
            <w:tcW w:w="3119" w:type="dxa"/>
            <w:vAlign w:val="center"/>
          </w:tcPr>
          <w:p>
            <w:pPr>
              <w:spacing w:before="20" w:after="20"/>
              <w:rPr>
                <w:noProof/>
                <w:sz w:val="18"/>
              </w:rPr>
            </w:pPr>
            <w:r>
              <w:rPr>
                <w:noProof/>
                <w:sz w:val="18"/>
              </w:rPr>
              <w:t xml:space="preserve">Verpflichtungen </w:t>
            </w:r>
          </w:p>
          <w:p>
            <w:pPr>
              <w:spacing w:before="20" w:after="20"/>
              <w:rPr>
                <w:noProof/>
                <w:sz w:val="18"/>
              </w:rPr>
            </w:pPr>
          </w:p>
          <w:p>
            <w:pPr>
              <w:spacing w:before="20" w:after="20"/>
              <w:rPr>
                <w:noProof/>
                <w:sz w:val="18"/>
              </w:rPr>
            </w:pPr>
          </w:p>
          <w:p>
            <w:pPr>
              <w:spacing w:after="60"/>
              <w:rPr>
                <w:noProof/>
                <w:sz w:val="22"/>
              </w:rPr>
            </w:pPr>
            <w:r>
              <w:rPr>
                <w:noProof/>
                <w:sz w:val="22"/>
              </w:rPr>
              <w:t>04 02 64 – Beschäftigungsinitiative für Jugendliche</w:t>
            </w:r>
          </w:p>
          <w:p>
            <w:pPr>
              <w:spacing w:before="20" w:after="20"/>
              <w:rPr>
                <w:noProof/>
                <w:sz w:val="18"/>
              </w:rPr>
            </w:pPr>
          </w:p>
          <w:p>
            <w:pPr>
              <w:spacing w:before="20" w:after="20"/>
              <w:rPr>
                <w:noProof/>
                <w:sz w:val="18"/>
              </w:rPr>
            </w:pPr>
          </w:p>
          <w:p>
            <w:pPr>
              <w:spacing w:before="20" w:after="20"/>
              <w:rPr>
                <w:noProof/>
                <w:sz w:val="18"/>
              </w:rPr>
            </w:pP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rPr>
                <w:noProof/>
                <w:sz w:val="20"/>
              </w:rPr>
            </w:pPr>
            <w:r>
              <w:rPr>
                <w:noProof/>
                <w:sz w:val="20"/>
              </w:rPr>
              <w:t xml:space="preserve">116,667 </w:t>
            </w:r>
          </w:p>
        </w:tc>
        <w:tc>
          <w:tcPr>
            <w:tcW w:w="1276" w:type="dxa"/>
            <w:vAlign w:val="center"/>
          </w:tcPr>
          <w:p>
            <w:pPr>
              <w:spacing w:before="20" w:after="20"/>
              <w:rPr>
                <w:noProof/>
                <w:sz w:val="20"/>
              </w:rPr>
            </w:pPr>
            <w:r>
              <w:rPr>
                <w:noProof/>
                <w:sz w:val="20"/>
              </w:rPr>
              <w:t>0,000</w:t>
            </w:r>
          </w:p>
        </w:tc>
        <w:tc>
          <w:tcPr>
            <w:tcW w:w="1518" w:type="dxa"/>
            <w:vAlign w:val="center"/>
          </w:tcPr>
          <w:p>
            <w:pPr>
              <w:spacing w:before="20" w:after="20"/>
              <w:rPr>
                <w:b/>
                <w:noProof/>
                <w:sz w:val="20"/>
              </w:rPr>
            </w:pPr>
            <w:r>
              <w:rPr>
                <w:noProof/>
                <w:sz w:val="20"/>
              </w:rPr>
              <w:t>116,667</w:t>
            </w:r>
          </w:p>
        </w:tc>
      </w:tr>
    </w:tbl>
    <w:p>
      <w:pPr>
        <w:rPr>
          <w:noProof/>
        </w:rPr>
      </w:pPr>
      <w:r>
        <w:rPr>
          <w:noProof/>
        </w:rPr>
        <w:br w:type="page"/>
      </w:r>
    </w:p>
    <w:p>
      <w:pPr>
        <w:rPr>
          <w:noProof/>
        </w:rPr>
      </w:pPr>
    </w:p>
    <w:p>
      <w:pPr>
        <w:rPr>
          <w:noProof/>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78"/>
        <w:gridCol w:w="347"/>
        <w:gridCol w:w="709"/>
        <w:gridCol w:w="708"/>
        <w:gridCol w:w="709"/>
        <w:gridCol w:w="1276"/>
        <w:gridCol w:w="1276"/>
        <w:gridCol w:w="1275"/>
        <w:gridCol w:w="1276"/>
        <w:gridCol w:w="1518"/>
      </w:tblGrid>
      <w:tr>
        <w:trPr>
          <w:trHeight w:val="85"/>
        </w:trPr>
        <w:tc>
          <w:tcPr>
            <w:tcW w:w="2203" w:type="dxa"/>
          </w:tcPr>
          <w:p>
            <w:pPr>
              <w:jc w:val="center"/>
              <w:rPr>
                <w:noProof/>
                <w:sz w:val="20"/>
              </w:rPr>
            </w:pPr>
            <w:r>
              <w:rPr>
                <w:noProof/>
              </w:rPr>
              <w:br w:type="page"/>
            </w:r>
          </w:p>
        </w:tc>
        <w:tc>
          <w:tcPr>
            <w:tcW w:w="3119" w:type="dxa"/>
            <w:vAlign w:val="center"/>
          </w:tcPr>
          <w:p>
            <w:pPr>
              <w:spacing w:before="20" w:after="20"/>
              <w:rPr>
                <w:noProof/>
                <w:sz w:val="18"/>
              </w:rPr>
            </w:pPr>
            <w:r>
              <w:rPr>
                <w:noProof/>
                <w:sz w:val="18"/>
              </w:rPr>
              <w:t xml:space="preserve">Zahlungen </w:t>
            </w:r>
          </w:p>
          <w:p>
            <w:pPr>
              <w:spacing w:after="60"/>
              <w:rPr>
                <w:noProof/>
              </w:rPr>
            </w:pPr>
          </w:p>
          <w:p>
            <w:pPr>
              <w:spacing w:after="60"/>
              <w:rPr>
                <w:noProof/>
              </w:rPr>
            </w:pPr>
          </w:p>
          <w:p>
            <w:pPr>
              <w:spacing w:after="60"/>
              <w:rPr>
                <w:noProof/>
                <w:sz w:val="22"/>
              </w:rPr>
            </w:pPr>
            <w:r>
              <w:rPr>
                <w:noProof/>
                <w:sz w:val="22"/>
              </w:rPr>
              <w:t>04 02 64 – Beschäftigungsinitiative für Jugendliche</w:t>
            </w:r>
          </w:p>
          <w:p>
            <w:pPr>
              <w:spacing w:after="60"/>
              <w:rPr>
                <w:noProof/>
                <w:sz w:val="22"/>
              </w:rPr>
            </w:pPr>
          </w:p>
          <w:p>
            <w:pPr>
              <w:spacing w:after="60"/>
              <w:rPr>
                <w:noProof/>
                <w:sz w:val="18"/>
              </w:rPr>
            </w:pPr>
            <w:r>
              <w:rPr>
                <w:noProof/>
              </w:rPr>
              <w:t xml:space="preserve"> </w:t>
            </w:r>
          </w:p>
        </w:tc>
        <w:tc>
          <w:tcPr>
            <w:tcW w:w="425" w:type="dxa"/>
            <w:gridSpan w:val="2"/>
            <w:vAlign w:val="center"/>
          </w:tcPr>
          <w:p>
            <w:pPr>
              <w:spacing w:before="20" w:after="20"/>
              <w:jc w:val="center"/>
              <w:rPr>
                <w:noProof/>
                <w:sz w:val="14"/>
              </w:rPr>
            </w:pPr>
            <w:r>
              <w:rPr>
                <w:noProof/>
                <w:sz w:val="14"/>
              </w:rPr>
              <w:t>(2)</w:t>
            </w:r>
          </w:p>
        </w:tc>
        <w:tc>
          <w:tcPr>
            <w:tcW w:w="709" w:type="dxa"/>
            <w:vAlign w:val="center"/>
          </w:tcPr>
          <w:p>
            <w:pPr>
              <w:spacing w:before="20" w:after="20"/>
              <w:rPr>
                <w:noProof/>
                <w:sz w:val="20"/>
              </w:rPr>
            </w:pPr>
          </w:p>
        </w:tc>
        <w:tc>
          <w:tcPr>
            <w:tcW w:w="708" w:type="dxa"/>
            <w:vAlign w:val="center"/>
          </w:tcPr>
          <w:p>
            <w:pPr>
              <w:spacing w:before="20" w:after="20"/>
              <w:rPr>
                <w:noProof/>
                <w:sz w:val="20"/>
              </w:rPr>
            </w:pPr>
          </w:p>
        </w:tc>
        <w:tc>
          <w:tcPr>
            <w:tcW w:w="709" w:type="dxa"/>
            <w:vAlign w:val="center"/>
          </w:tcPr>
          <w:p>
            <w:pPr>
              <w:spacing w:before="20" w:after="20"/>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rPr>
                <w:noProof/>
                <w:sz w:val="20"/>
              </w:rPr>
            </w:pPr>
          </w:p>
        </w:tc>
        <w:tc>
          <w:tcPr>
            <w:tcW w:w="1275" w:type="dxa"/>
            <w:vAlign w:val="center"/>
          </w:tcPr>
          <w:p>
            <w:pPr>
              <w:spacing w:before="20" w:after="20"/>
              <w:jc w:val="right"/>
              <w:rPr>
                <w:noProof/>
                <w:sz w:val="20"/>
              </w:rPr>
            </w:pPr>
            <w:r>
              <w:rPr>
                <w:noProof/>
                <w:sz w:val="20"/>
              </w:rPr>
              <w:t>0,000</w:t>
            </w:r>
          </w:p>
        </w:tc>
        <w:tc>
          <w:tcPr>
            <w:tcW w:w="1276" w:type="dxa"/>
            <w:vAlign w:val="center"/>
          </w:tcPr>
          <w:p>
            <w:pPr>
              <w:spacing w:before="20" w:after="20"/>
              <w:rPr>
                <w:noProof/>
                <w:sz w:val="20"/>
              </w:rPr>
            </w:pPr>
            <w:r>
              <w:rPr>
                <w:noProof/>
                <w:sz w:val="20"/>
              </w:rPr>
              <w:t>3 500</w:t>
            </w:r>
          </w:p>
        </w:tc>
        <w:tc>
          <w:tcPr>
            <w:tcW w:w="1518" w:type="dxa"/>
            <w:vAlign w:val="center"/>
          </w:tcPr>
          <w:p>
            <w:pPr>
              <w:spacing w:before="20" w:after="20"/>
              <w:rPr>
                <w:b/>
                <w:noProof/>
                <w:sz w:val="20"/>
              </w:rPr>
            </w:pPr>
            <w:r>
              <w:rPr>
                <w:b/>
                <w:noProof/>
                <w:sz w:val="20"/>
              </w:rPr>
              <w:t>3 500</w:t>
            </w:r>
          </w:p>
        </w:tc>
      </w:tr>
      <w:tr>
        <w:trPr>
          <w:trHeight w:val="231"/>
        </w:trPr>
        <w:tc>
          <w:tcPr>
            <w:tcW w:w="5747" w:type="dxa"/>
            <w:gridSpan w:val="4"/>
            <w:vAlign w:val="center"/>
          </w:tcPr>
          <w:p>
            <w:pPr>
              <w:spacing w:before="20" w:after="20"/>
              <w:rPr>
                <w:noProof/>
              </w:rPr>
            </w:pPr>
            <w:r>
              <w:rPr>
                <w:noProof/>
                <w:sz w:val="21"/>
              </w:rPr>
              <w:t>Aus der Dotation bestimmter spezifischer Programme finanzierte Verwaltungsausgaben</w:t>
            </w:r>
            <w:r>
              <w:rPr>
                <w:rStyle w:val="FootnoteReference"/>
                <w:noProof/>
                <w:sz w:val="21"/>
              </w:rPr>
              <w:footnoteReference w:id="14"/>
            </w:r>
            <w:r>
              <w:rPr>
                <w:noProof/>
                <w:sz w:val="21"/>
              </w:rPr>
              <w:t xml:space="preserve"> </w:t>
            </w:r>
          </w:p>
          <w:p>
            <w:pPr>
              <w:spacing w:before="0" w:after="0"/>
              <w:rPr>
                <w:noProof/>
              </w:rPr>
            </w:pPr>
          </w:p>
        </w:tc>
        <w:tc>
          <w:tcPr>
            <w:tcW w:w="709" w:type="dxa"/>
            <w:vAlign w:val="center"/>
          </w:tcPr>
          <w:p>
            <w:pPr>
              <w:rPr>
                <w:b/>
                <w:noProof/>
                <w:sz w:val="20"/>
              </w:rPr>
            </w:pPr>
          </w:p>
        </w:tc>
        <w:tc>
          <w:tcPr>
            <w:tcW w:w="708" w:type="dxa"/>
            <w:vAlign w:val="center"/>
          </w:tcPr>
          <w:p>
            <w:pPr>
              <w:rPr>
                <w:b/>
                <w:noProof/>
                <w:sz w:val="20"/>
              </w:rPr>
            </w:pPr>
          </w:p>
        </w:tc>
        <w:tc>
          <w:tcPr>
            <w:tcW w:w="709" w:type="dxa"/>
            <w:vAlign w:val="center"/>
          </w:tcPr>
          <w:p>
            <w:pPr>
              <w:rPr>
                <w:b/>
                <w:noProof/>
                <w:sz w:val="20"/>
              </w:rPr>
            </w:pPr>
          </w:p>
        </w:tc>
        <w:tc>
          <w:tcPr>
            <w:tcW w:w="1276" w:type="dxa"/>
            <w:vAlign w:val="center"/>
          </w:tcPr>
          <w:p>
            <w:pPr>
              <w:rPr>
                <w:b/>
                <w:noProof/>
                <w:sz w:val="20"/>
              </w:rPr>
            </w:pPr>
          </w:p>
        </w:tc>
        <w:tc>
          <w:tcPr>
            <w:tcW w:w="1276" w:type="dxa"/>
            <w:vAlign w:val="center"/>
          </w:tcPr>
          <w:p>
            <w:pPr>
              <w:rPr>
                <w:b/>
                <w:noProof/>
                <w:sz w:val="20"/>
              </w:rPr>
            </w:pPr>
          </w:p>
        </w:tc>
        <w:tc>
          <w:tcPr>
            <w:tcW w:w="1275" w:type="dxa"/>
            <w:vAlign w:val="center"/>
          </w:tcPr>
          <w:p>
            <w:pPr>
              <w:rPr>
                <w:b/>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319"/>
        </w:trPr>
        <w:tc>
          <w:tcPr>
            <w:tcW w:w="2203" w:type="dxa"/>
            <w:vAlign w:val="center"/>
          </w:tcPr>
          <w:p>
            <w:pPr>
              <w:spacing w:before="60" w:after="60"/>
              <w:rPr>
                <w:noProof/>
              </w:rPr>
            </w:pPr>
            <w:r>
              <w:rPr>
                <w:noProof/>
                <w:sz w:val="20"/>
              </w:rPr>
              <w:t>Entfällt.</w:t>
            </w:r>
          </w:p>
        </w:tc>
        <w:tc>
          <w:tcPr>
            <w:tcW w:w="3197" w:type="dxa"/>
            <w:gridSpan w:val="2"/>
            <w:vAlign w:val="center"/>
          </w:tcPr>
          <w:p>
            <w:pPr>
              <w:spacing w:before="40" w:after="40"/>
              <w:jc w:val="right"/>
              <w:rPr>
                <w:noProof/>
                <w:sz w:val="18"/>
              </w:rPr>
            </w:pPr>
          </w:p>
        </w:tc>
        <w:tc>
          <w:tcPr>
            <w:tcW w:w="347" w:type="dxa"/>
            <w:vAlign w:val="center"/>
          </w:tcPr>
          <w:p>
            <w:pPr>
              <w:spacing w:before="40" w:after="40"/>
              <w:jc w:val="center"/>
              <w:rPr>
                <w:noProof/>
                <w:sz w:val="14"/>
              </w:rPr>
            </w:pPr>
            <w:r>
              <w:rPr>
                <w:noProof/>
                <w:sz w:val="14"/>
              </w:rPr>
              <w:t>(3)</w:t>
            </w:r>
          </w:p>
        </w:tc>
        <w:tc>
          <w:tcPr>
            <w:tcW w:w="709" w:type="dxa"/>
            <w:vAlign w:val="center"/>
          </w:tcPr>
          <w:p>
            <w:pPr>
              <w:spacing w:before="40" w:after="40"/>
              <w:jc w:val="right"/>
              <w:rPr>
                <w:b/>
                <w:noProof/>
                <w:sz w:val="20"/>
              </w:rPr>
            </w:pPr>
          </w:p>
        </w:tc>
        <w:tc>
          <w:tcPr>
            <w:tcW w:w="708"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275" w:type="dxa"/>
            <w:vAlign w:val="center"/>
          </w:tcPr>
          <w:p>
            <w:pPr>
              <w:spacing w:before="40" w:after="40"/>
              <w:jc w:val="right"/>
              <w:rPr>
                <w:b/>
                <w:noProof/>
                <w:sz w:val="20"/>
              </w:rPr>
            </w:pPr>
          </w:p>
        </w:tc>
        <w:tc>
          <w:tcPr>
            <w:tcW w:w="1276" w:type="dxa"/>
            <w:vAlign w:val="center"/>
          </w:tcPr>
          <w:p>
            <w:pPr>
              <w:spacing w:before="40" w:after="40"/>
              <w:jc w:val="right"/>
              <w:rPr>
                <w:b/>
                <w:noProof/>
                <w:sz w:val="20"/>
              </w:rPr>
            </w:pPr>
          </w:p>
        </w:tc>
        <w:tc>
          <w:tcPr>
            <w:tcW w:w="1518"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Mittel INSGESAMT</w:t>
            </w:r>
            <w:r>
              <w:rPr>
                <w:noProof/>
              </w:rPr>
              <w:br/>
            </w:r>
            <w:r>
              <w:rPr>
                <w:b/>
                <w:noProof/>
                <w:sz w:val="22"/>
              </w:rPr>
              <w:t xml:space="preserve">für GD </w:t>
            </w:r>
            <w:r>
              <w:rPr>
                <w:noProof/>
              </w:rPr>
              <w:t xml:space="preserve">EMPL, REGIO </w:t>
            </w:r>
          </w:p>
        </w:tc>
        <w:tc>
          <w:tcPr>
            <w:tcW w:w="3197" w:type="dxa"/>
            <w:gridSpan w:val="2"/>
            <w:vAlign w:val="center"/>
          </w:tcPr>
          <w:p>
            <w:pPr>
              <w:rPr>
                <w:noProof/>
                <w:sz w:val="18"/>
              </w:rPr>
            </w:pPr>
            <w:r>
              <w:rPr>
                <w:noProof/>
                <w:sz w:val="18"/>
              </w:rPr>
              <w:t>Verpflichtungen</w:t>
            </w:r>
          </w:p>
        </w:tc>
        <w:tc>
          <w:tcPr>
            <w:tcW w:w="347" w:type="dxa"/>
            <w:vAlign w:val="center"/>
          </w:tcPr>
          <w:p>
            <w:pPr>
              <w:jc w:val="center"/>
              <w:rPr>
                <w:noProof/>
                <w:sz w:val="14"/>
              </w:rPr>
            </w:pPr>
            <w:r>
              <w:rPr>
                <w:noProof/>
                <w:sz w:val="14"/>
              </w:rPr>
              <w:t>=1+1 a+3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 xml:space="preserve">116,667 </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b/>
                <w:noProof/>
                <w:sz w:val="20"/>
              </w:rPr>
            </w:pPr>
            <w:r>
              <w:rPr>
                <w:noProof/>
                <w:sz w:val="20"/>
              </w:rPr>
              <w:t>0,000</w:t>
            </w:r>
          </w:p>
        </w:tc>
        <w:tc>
          <w:tcPr>
            <w:tcW w:w="1518" w:type="dxa"/>
          </w:tcPr>
          <w:p>
            <w:pPr>
              <w:spacing w:before="20" w:after="20"/>
              <w:jc w:val="right"/>
              <w:rPr>
                <w:noProof/>
                <w:sz w:val="20"/>
                <w:szCs w:val="20"/>
              </w:rPr>
            </w:pPr>
          </w:p>
          <w:p>
            <w:pPr>
              <w:spacing w:before="20" w:after="20"/>
              <w:jc w:val="right"/>
              <w:rPr>
                <w:b/>
                <w:noProof/>
                <w:sz w:val="20"/>
                <w:szCs w:val="20"/>
              </w:rPr>
            </w:pPr>
          </w:p>
          <w:p>
            <w:pPr>
              <w:spacing w:before="20" w:after="20"/>
              <w:jc w:val="right"/>
              <w:rPr>
                <w:b/>
                <w:noProof/>
                <w:sz w:val="20"/>
              </w:rPr>
            </w:pPr>
            <w:r>
              <w:rPr>
                <w:b/>
                <w:noProof/>
                <w:sz w:val="20"/>
              </w:rPr>
              <w:t>116,667</w:t>
            </w:r>
          </w:p>
        </w:tc>
      </w:tr>
      <w:tr>
        <w:tc>
          <w:tcPr>
            <w:tcW w:w="2203" w:type="dxa"/>
            <w:vMerge/>
          </w:tcPr>
          <w:p>
            <w:pPr>
              <w:rPr>
                <w:noProof/>
                <w:sz w:val="20"/>
              </w:rPr>
            </w:pPr>
          </w:p>
        </w:tc>
        <w:tc>
          <w:tcPr>
            <w:tcW w:w="3197" w:type="dxa"/>
            <w:gridSpan w:val="2"/>
            <w:vAlign w:val="center"/>
          </w:tcPr>
          <w:p>
            <w:pPr>
              <w:rPr>
                <w:noProof/>
                <w:sz w:val="18"/>
              </w:rPr>
            </w:pPr>
            <w:r>
              <w:rPr>
                <w:noProof/>
                <w:sz w:val="18"/>
              </w:rPr>
              <w:t>Zahlungen</w:t>
            </w:r>
          </w:p>
        </w:tc>
        <w:tc>
          <w:tcPr>
            <w:tcW w:w="347" w:type="dxa"/>
            <w:vAlign w:val="center"/>
          </w:tcPr>
          <w:p>
            <w:pPr>
              <w:jc w:val="center"/>
              <w:rPr>
                <w:noProof/>
                <w:sz w:val="14"/>
              </w:rPr>
            </w:pPr>
            <w:r>
              <w:rPr>
                <w:noProof/>
                <w:sz w:val="14"/>
              </w:rPr>
              <w:t>=2+2a</w:t>
            </w:r>
          </w:p>
          <w:p>
            <w:pPr>
              <w:jc w:val="center"/>
              <w:rPr>
                <w:noProof/>
                <w:sz w:val="14"/>
              </w:rPr>
            </w:pPr>
            <w:r>
              <w:rPr>
                <w:noProof/>
                <w:sz w:val="14"/>
              </w:rPr>
              <w:t>+3</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0,000</w:t>
            </w:r>
          </w:p>
        </w:tc>
        <w:tc>
          <w:tcPr>
            <w:tcW w:w="1276" w:type="dxa"/>
          </w:tcPr>
          <w:p>
            <w:pPr>
              <w:spacing w:before="20" w:after="20"/>
              <w:jc w:val="right"/>
              <w:rPr>
                <w:noProof/>
                <w:sz w:val="20"/>
                <w:szCs w:val="20"/>
              </w:rPr>
            </w:pPr>
          </w:p>
          <w:p>
            <w:pPr>
              <w:spacing w:before="20" w:after="20"/>
              <w:jc w:val="right"/>
              <w:rPr>
                <w:noProof/>
                <w:sz w:val="20"/>
                <w:szCs w:val="20"/>
              </w:rPr>
            </w:pPr>
          </w:p>
          <w:p>
            <w:pPr>
              <w:spacing w:before="20" w:after="20"/>
              <w:jc w:val="right"/>
              <w:rPr>
                <w:noProof/>
                <w:sz w:val="20"/>
              </w:rPr>
            </w:pPr>
            <w:r>
              <w:rPr>
                <w:noProof/>
                <w:sz w:val="20"/>
              </w:rPr>
              <w:t>3 500</w:t>
            </w:r>
          </w:p>
        </w:tc>
        <w:tc>
          <w:tcPr>
            <w:tcW w:w="1518" w:type="dxa"/>
          </w:tcPr>
          <w:p>
            <w:pPr>
              <w:spacing w:before="20" w:after="20"/>
              <w:jc w:val="right"/>
              <w:rPr>
                <w:noProof/>
                <w:sz w:val="20"/>
                <w:szCs w:val="20"/>
              </w:rPr>
            </w:pPr>
          </w:p>
          <w:p>
            <w:pPr>
              <w:spacing w:before="20" w:after="20"/>
              <w:jc w:val="right"/>
              <w:rPr>
                <w:noProof/>
                <w:sz w:val="20"/>
                <w:szCs w:val="20"/>
              </w:rPr>
            </w:pPr>
          </w:p>
          <w:p>
            <w:pPr>
              <w:spacing w:before="20" w:after="20"/>
              <w:jc w:val="center"/>
              <w:rPr>
                <w:b/>
                <w:noProof/>
                <w:sz w:val="20"/>
              </w:rPr>
            </w:pPr>
            <w:r>
              <w:rPr>
                <w:b/>
                <w:noProof/>
                <w:sz w:val="20"/>
              </w:rPr>
              <w:t>3 500</w:t>
            </w:r>
          </w:p>
        </w:tc>
      </w:tr>
    </w:tbl>
    <w:p>
      <w:pPr>
        <w:rPr>
          <w:noProof/>
          <w:sz w:val="16"/>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347"/>
        <w:gridCol w:w="709"/>
        <w:gridCol w:w="708"/>
        <w:gridCol w:w="709"/>
        <w:gridCol w:w="1276"/>
        <w:gridCol w:w="1276"/>
        <w:gridCol w:w="1275"/>
        <w:gridCol w:w="1276"/>
        <w:gridCol w:w="144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Operative Mittel INSGESAMT</w:t>
            </w:r>
          </w:p>
        </w:tc>
        <w:tc>
          <w:tcPr>
            <w:tcW w:w="1440" w:type="dxa"/>
            <w:vAlign w:val="center"/>
          </w:tcPr>
          <w:p>
            <w:pPr>
              <w:spacing w:beforeLines="20" w:before="48" w:afterLines="20" w:after="48"/>
              <w:rPr>
                <w:noProof/>
                <w:sz w:val="18"/>
              </w:rPr>
            </w:pPr>
            <w:r>
              <w:rPr>
                <w:noProof/>
                <w:sz w:val="18"/>
              </w:rPr>
              <w:t>Verpflichtungen</w:t>
            </w:r>
          </w:p>
        </w:tc>
        <w:tc>
          <w:tcPr>
            <w:tcW w:w="347" w:type="dxa"/>
            <w:vAlign w:val="center"/>
          </w:tcPr>
          <w:p>
            <w:pPr>
              <w:spacing w:beforeLines="20" w:before="48" w:afterLines="20" w:after="48"/>
              <w:jc w:val="center"/>
              <w:rPr>
                <w:noProof/>
                <w:sz w:val="14"/>
              </w:rPr>
            </w:pPr>
            <w:r>
              <w:rPr>
                <w:noProof/>
                <w:sz w:val="14"/>
              </w:rPr>
              <w:t>(4)</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 xml:space="preserve">116,667 </w:t>
            </w:r>
            <w:r>
              <w:rPr>
                <w:noProof/>
              </w:rPr>
              <w:tab/>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rPr>
          <w:trHeight w:val="414"/>
        </w:trP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347" w:type="dxa"/>
            <w:vAlign w:val="center"/>
          </w:tcPr>
          <w:p>
            <w:pPr>
              <w:spacing w:beforeLines="20" w:before="48" w:afterLines="20" w:after="48"/>
              <w:jc w:val="center"/>
              <w:rPr>
                <w:noProof/>
                <w:sz w:val="14"/>
              </w:rPr>
            </w:pPr>
            <w:r>
              <w:rPr>
                <w:noProof/>
                <w:sz w:val="14"/>
              </w:rPr>
              <w:t>(5)</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rPr>
            </w:pPr>
            <w:r>
              <w:rPr>
                <w:noProof/>
                <w:sz w:val="20"/>
              </w:rPr>
              <w:t>0,000</w:t>
            </w:r>
          </w:p>
        </w:tc>
        <w:tc>
          <w:tcPr>
            <w:tcW w:w="1276" w:type="dxa"/>
          </w:tcPr>
          <w:p>
            <w:pPr>
              <w:spacing w:before="20" w:after="20"/>
              <w:jc w:val="right"/>
              <w:rPr>
                <w:noProof/>
                <w:sz w:val="20"/>
              </w:rPr>
            </w:pPr>
            <w:r>
              <w:rPr>
                <w:noProof/>
                <w:sz w:val="20"/>
              </w:rPr>
              <w:t>3 500</w:t>
            </w:r>
          </w:p>
        </w:tc>
        <w:tc>
          <w:tcPr>
            <w:tcW w:w="1448" w:type="dxa"/>
          </w:tcPr>
          <w:p>
            <w:pPr>
              <w:spacing w:before="20" w:after="20"/>
              <w:jc w:val="right"/>
              <w:rPr>
                <w:b/>
                <w:noProof/>
                <w:sz w:val="20"/>
              </w:rPr>
            </w:pPr>
            <w:r>
              <w:rPr>
                <w:b/>
                <w:noProof/>
                <w:sz w:val="20"/>
              </w:rPr>
              <w:t>3 500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Aus der Dotation bestimmter spezifischer Programme finanzierte Verwaltungsausgaben INSGESAMT</w:t>
            </w:r>
          </w:p>
        </w:tc>
        <w:tc>
          <w:tcPr>
            <w:tcW w:w="347" w:type="dxa"/>
            <w:vAlign w:val="center"/>
          </w:tcPr>
          <w:p>
            <w:pPr>
              <w:spacing w:beforeLines="20" w:before="48" w:afterLines="20" w:after="48"/>
              <w:jc w:val="center"/>
              <w:rPr>
                <w:noProof/>
                <w:sz w:val="14"/>
              </w:rPr>
            </w:pPr>
            <w:r>
              <w:rPr>
                <w:noProof/>
                <w:sz w:val="14"/>
              </w:rPr>
              <w:t>(6)</w:t>
            </w:r>
          </w:p>
        </w:tc>
        <w:tc>
          <w:tcPr>
            <w:tcW w:w="709" w:type="dxa"/>
            <w:vAlign w:val="center"/>
          </w:tcPr>
          <w:p>
            <w:pPr>
              <w:spacing w:before="20" w:after="20"/>
              <w:jc w:val="right"/>
              <w:rPr>
                <w:b/>
                <w:noProof/>
                <w:sz w:val="20"/>
              </w:rPr>
            </w:pPr>
          </w:p>
        </w:tc>
        <w:tc>
          <w:tcPr>
            <w:tcW w:w="708" w:type="dxa"/>
            <w:vAlign w:val="center"/>
          </w:tcPr>
          <w:p>
            <w:pPr>
              <w:spacing w:before="20" w:after="20"/>
              <w:jc w:val="right"/>
              <w:rPr>
                <w:b/>
                <w:noProof/>
                <w:sz w:val="20"/>
              </w:rPr>
            </w:pPr>
          </w:p>
        </w:tc>
        <w:tc>
          <w:tcPr>
            <w:tcW w:w="709"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b/>
                <w:noProof/>
                <w:sz w:val="20"/>
              </w:rPr>
            </w:pPr>
            <w:r>
              <w:rPr>
                <w:noProof/>
                <w:sz w:val="20"/>
              </w:rPr>
              <w:t>0,000</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0,000</w:t>
            </w:r>
          </w:p>
        </w:tc>
      </w:tr>
      <w:tr>
        <w:tc>
          <w:tcPr>
            <w:tcW w:w="3960" w:type="dxa"/>
            <w:vMerge w:val="restart"/>
            <w:shd w:val="thinDiagStripe" w:color="C0C0C0" w:fill="auto"/>
            <w:vAlign w:val="center"/>
          </w:tcPr>
          <w:p>
            <w:pPr>
              <w:jc w:val="center"/>
              <w:rPr>
                <w:b/>
                <w:noProof/>
              </w:rPr>
            </w:pPr>
            <w:r>
              <w:rPr>
                <w:b/>
                <w:noProof/>
                <w:sz w:val="22"/>
              </w:rPr>
              <w:t xml:space="preserve">Mittel INSGESAMT </w:t>
            </w:r>
            <w:r>
              <w:rPr>
                <w:noProof/>
              </w:rPr>
              <w:br/>
            </w:r>
            <w:r>
              <w:rPr>
                <w:b/>
                <w:noProof/>
                <w:sz w:val="22"/>
              </w:rPr>
              <w:t>unter RUBRIK 1b</w:t>
            </w:r>
            <w:r>
              <w:rPr>
                <w:noProof/>
              </w:rPr>
              <w:br/>
            </w:r>
            <w:r>
              <w:rPr>
                <w:noProof/>
                <w:sz w:val="22"/>
              </w:rPr>
              <w:t>des mehrjährigen Finanzrahmens</w:t>
            </w:r>
          </w:p>
        </w:tc>
        <w:tc>
          <w:tcPr>
            <w:tcW w:w="1440" w:type="dxa"/>
            <w:vAlign w:val="center"/>
          </w:tcPr>
          <w:p>
            <w:pPr>
              <w:rPr>
                <w:noProof/>
                <w:sz w:val="18"/>
              </w:rPr>
            </w:pPr>
            <w:r>
              <w:rPr>
                <w:noProof/>
                <w:sz w:val="18"/>
              </w:rPr>
              <w:t>Verpflichtungen</w:t>
            </w:r>
          </w:p>
        </w:tc>
        <w:tc>
          <w:tcPr>
            <w:tcW w:w="347" w:type="dxa"/>
            <w:vAlign w:val="center"/>
          </w:tcPr>
          <w:p>
            <w:pPr>
              <w:jc w:val="center"/>
              <w:rPr>
                <w:noProof/>
                <w:sz w:val="14"/>
              </w:rPr>
            </w:pPr>
            <w:r>
              <w:rPr>
                <w:noProof/>
                <w:sz w:val="14"/>
              </w:rPr>
              <w:t>=4+ 6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vAlign w:val="center"/>
          </w:tcPr>
          <w:p>
            <w:pPr>
              <w:spacing w:before="20" w:after="20"/>
              <w:jc w:val="right"/>
              <w:rPr>
                <w:noProof/>
                <w:sz w:val="20"/>
              </w:rPr>
            </w:pPr>
            <w:r>
              <w:rPr>
                <w:noProof/>
                <w:sz w:val="20"/>
              </w:rPr>
              <w:t>116,667</w:t>
            </w:r>
          </w:p>
        </w:tc>
        <w:tc>
          <w:tcPr>
            <w:tcW w:w="1276" w:type="dxa"/>
            <w:vAlign w:val="center"/>
          </w:tcPr>
          <w:p>
            <w:pPr>
              <w:spacing w:before="20" w:after="20"/>
              <w:jc w:val="right"/>
              <w:rPr>
                <w:noProof/>
                <w:sz w:val="20"/>
              </w:rPr>
            </w:pPr>
            <w:r>
              <w:rPr>
                <w:noProof/>
                <w:sz w:val="20"/>
              </w:rPr>
              <w:t>0,000</w:t>
            </w:r>
          </w:p>
        </w:tc>
        <w:tc>
          <w:tcPr>
            <w:tcW w:w="1448" w:type="dxa"/>
            <w:vAlign w:val="center"/>
          </w:tcPr>
          <w:p>
            <w:pPr>
              <w:spacing w:before="20" w:after="20"/>
              <w:jc w:val="right"/>
              <w:rPr>
                <w:b/>
                <w:noProof/>
                <w:sz w:val="20"/>
              </w:rPr>
            </w:pPr>
            <w:r>
              <w:rPr>
                <w:b/>
                <w:noProof/>
                <w:sz w:val="20"/>
              </w:rPr>
              <w:t>116,667</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Zahlungen</w:t>
            </w:r>
          </w:p>
        </w:tc>
        <w:tc>
          <w:tcPr>
            <w:tcW w:w="347" w:type="dxa"/>
            <w:vAlign w:val="center"/>
          </w:tcPr>
          <w:p>
            <w:pPr>
              <w:jc w:val="center"/>
              <w:rPr>
                <w:noProof/>
                <w:sz w:val="14"/>
              </w:rPr>
            </w:pPr>
            <w:r>
              <w:rPr>
                <w:noProof/>
                <w:sz w:val="14"/>
              </w:rPr>
              <w:t>=5+ 6</w:t>
            </w: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5" w:type="dxa"/>
          </w:tcPr>
          <w:p>
            <w:pPr>
              <w:spacing w:before="20" w:after="20"/>
              <w:jc w:val="right"/>
              <w:rPr>
                <w:noProof/>
                <w:sz w:val="20"/>
                <w:szCs w:val="20"/>
              </w:rPr>
            </w:pPr>
          </w:p>
          <w:p>
            <w:pPr>
              <w:spacing w:before="20" w:after="20"/>
              <w:jc w:val="right"/>
              <w:rPr>
                <w:noProof/>
                <w:sz w:val="20"/>
              </w:rPr>
            </w:pPr>
            <w:r>
              <w:rPr>
                <w:noProof/>
                <w:sz w:val="20"/>
              </w:rPr>
              <w:t>0,000</w:t>
            </w:r>
          </w:p>
        </w:tc>
        <w:tc>
          <w:tcPr>
            <w:tcW w:w="1276" w:type="dxa"/>
            <w:vAlign w:val="center"/>
          </w:tcPr>
          <w:p>
            <w:pPr>
              <w:spacing w:before="20" w:after="20"/>
              <w:jc w:val="right"/>
              <w:rPr>
                <w:noProof/>
                <w:sz w:val="20"/>
              </w:rPr>
            </w:pPr>
            <w:r>
              <w:rPr>
                <w:noProof/>
                <w:sz w:val="20"/>
              </w:rPr>
              <w:t>3 500</w:t>
            </w:r>
          </w:p>
        </w:tc>
        <w:tc>
          <w:tcPr>
            <w:tcW w:w="1448" w:type="dxa"/>
            <w:vAlign w:val="center"/>
          </w:tcPr>
          <w:p>
            <w:pPr>
              <w:spacing w:before="20" w:after="20"/>
              <w:jc w:val="right"/>
              <w:rPr>
                <w:b/>
                <w:noProof/>
                <w:sz w:val="20"/>
              </w:rPr>
            </w:pPr>
            <w:r>
              <w:rPr>
                <w:b/>
                <w:noProof/>
                <w:sz w:val="20"/>
              </w:rPr>
              <w:t>3 500</w:t>
            </w:r>
          </w:p>
        </w:tc>
      </w:tr>
      <w:tr>
        <w:tc>
          <w:tcPr>
            <w:tcW w:w="3960" w:type="dxa"/>
            <w:shd w:val="thinDiagStripe" w:color="C0C0C0" w:fill="auto"/>
          </w:tcPr>
          <w:p>
            <w:pPr>
              <w:rPr>
                <w:noProof/>
                <w:sz w:val="20"/>
              </w:rPr>
            </w:pPr>
          </w:p>
        </w:tc>
        <w:tc>
          <w:tcPr>
            <w:tcW w:w="1440" w:type="dxa"/>
            <w:vAlign w:val="center"/>
          </w:tcPr>
          <w:p>
            <w:pPr>
              <w:rPr>
                <w:noProof/>
                <w:sz w:val="18"/>
              </w:rPr>
            </w:pPr>
          </w:p>
        </w:tc>
        <w:tc>
          <w:tcPr>
            <w:tcW w:w="347" w:type="dxa"/>
            <w:vAlign w:val="center"/>
          </w:tcPr>
          <w:p>
            <w:pPr>
              <w:jc w:val="center"/>
              <w:rPr>
                <w:noProof/>
                <w:sz w:val="14"/>
              </w:rPr>
            </w:pPr>
          </w:p>
        </w:tc>
        <w:tc>
          <w:tcPr>
            <w:tcW w:w="709" w:type="dxa"/>
            <w:vAlign w:val="center"/>
          </w:tcPr>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275"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c>
          <w:tcPr>
            <w:tcW w:w="1448" w:type="dxa"/>
            <w:vAlign w:val="center"/>
          </w:tcPr>
          <w:p>
            <w:pPr>
              <w:spacing w:before="20" w:after="20"/>
              <w:jc w:val="right"/>
              <w:rPr>
                <w:b/>
                <w:noProof/>
                <w:sz w:val="20"/>
              </w:rPr>
            </w:pPr>
          </w:p>
        </w:tc>
      </w:tr>
    </w:tbl>
    <w:p>
      <w:pPr>
        <w:rPr>
          <w:noProof/>
          <w:sz w:val="16"/>
        </w:rPr>
      </w:pPr>
    </w:p>
    <w:p>
      <w:pPr>
        <w:rPr>
          <w:noProof/>
        </w:rPr>
      </w:pPr>
    </w:p>
    <w:p>
      <w:pPr>
        <w:rPr>
          <w:b/>
          <w:noProof/>
          <w:sz w:val="22"/>
          <w:u w:val="single"/>
        </w:rPr>
      </w:pPr>
      <w:r>
        <w:rPr>
          <w:noProof/>
        </w:rPr>
        <w:br/>
      </w:r>
    </w:p>
    <w:p>
      <w:pPr>
        <w:spacing w:after="40"/>
        <w:rPr>
          <w:b/>
          <w:noProof/>
          <w:sz w:val="22"/>
          <w:u w:val="single"/>
        </w:rPr>
      </w:pPr>
      <w:r>
        <w:rPr>
          <w:b/>
          <w:noProof/>
          <w:sz w:val="22"/>
          <w:u w:val="single"/>
        </w:rPr>
        <w:t>Wenn der Vorschlag/die Initiative mehrere Rubriken betrifft: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Operative Mittel INSGESAMT</w:t>
            </w:r>
          </w:p>
        </w:tc>
        <w:tc>
          <w:tcPr>
            <w:tcW w:w="1440" w:type="dxa"/>
            <w:tcBorders>
              <w:top w:val="single" w:sz="4" w:space="0" w:color="auto"/>
            </w:tcBorders>
            <w:vAlign w:val="center"/>
          </w:tcPr>
          <w:p>
            <w:pPr>
              <w:spacing w:beforeLines="20" w:before="48" w:afterLines="20" w:after="48"/>
              <w:rPr>
                <w:noProof/>
                <w:sz w:val="18"/>
              </w:rPr>
            </w:pPr>
            <w:r>
              <w:rPr>
                <w:noProof/>
                <w:sz w:val="18"/>
              </w:rPr>
              <w:t>Verpflichtungen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Zahlungen</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Aus der Dotation bestimmter spezifischer Programme finanzierte Verwaltungsausgaben INSGESAMT</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 xml:space="preserve">Mittel INSGESAMT </w:t>
            </w:r>
            <w:r>
              <w:rPr>
                <w:noProof/>
              </w:rPr>
              <w:br/>
            </w:r>
            <w:r>
              <w:rPr>
                <w:b/>
                <w:noProof/>
                <w:sz w:val="22"/>
              </w:rPr>
              <w:t>unter den RUBRIKEN 1 bis 4</w:t>
            </w:r>
            <w:r>
              <w:rPr>
                <w:noProof/>
              </w:rPr>
              <w:br/>
            </w:r>
            <w:r>
              <w:rPr>
                <w:noProof/>
                <w:sz w:val="22"/>
              </w:rPr>
              <w:t>des mehrjährigen Finanzrahmens</w:t>
            </w:r>
            <w:r>
              <w:rPr>
                <w:noProof/>
              </w:rPr>
              <w:br/>
            </w:r>
            <w:r>
              <w:rPr>
                <w:noProof/>
                <w:sz w:val="20"/>
              </w:rPr>
              <w:t>(Referenzbetrag)</w:t>
            </w:r>
          </w:p>
        </w:tc>
        <w:tc>
          <w:tcPr>
            <w:tcW w:w="1440" w:type="dxa"/>
            <w:vAlign w:val="center"/>
          </w:tcPr>
          <w:p>
            <w:pPr>
              <w:rPr>
                <w:noProof/>
                <w:sz w:val="18"/>
              </w:rPr>
            </w:pPr>
            <w:r>
              <w:rPr>
                <w:noProof/>
                <w:sz w:val="18"/>
              </w:rPr>
              <w:t>Verpflichtungen</w:t>
            </w:r>
          </w:p>
        </w:tc>
        <w:tc>
          <w:tcPr>
            <w:tcW w:w="654" w:type="dxa"/>
            <w:vAlign w:val="center"/>
          </w:tcPr>
          <w:p>
            <w:pPr>
              <w:jc w:val="center"/>
              <w:rPr>
                <w:noProof/>
                <w:sz w:val="14"/>
              </w:rPr>
            </w:pPr>
            <w:r>
              <w:rPr>
                <w:noProof/>
                <w:sz w:val="14"/>
              </w:rPr>
              <w:t>=4+ 6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Zahlungen</w:t>
            </w:r>
          </w:p>
        </w:tc>
        <w:tc>
          <w:tcPr>
            <w:tcW w:w="654" w:type="dxa"/>
            <w:tcBorders>
              <w:bottom w:val="single" w:sz="4" w:space="0" w:color="auto"/>
            </w:tcBorders>
            <w:vAlign w:val="center"/>
          </w:tcPr>
          <w:p>
            <w:pPr>
              <w:jc w:val="center"/>
              <w:rPr>
                <w:noProof/>
                <w:sz w:val="14"/>
              </w:rPr>
            </w:pPr>
            <w:r>
              <w:rPr>
                <w:noProof/>
                <w:sz w:val="14"/>
              </w:rPr>
              <w:t>=5+ 6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Rubrik des mehrjährigen Finanz-</w:t>
            </w:r>
            <w:r>
              <w:rPr>
                <w:noProof/>
              </w:rPr>
              <w:br/>
            </w:r>
            <w:r>
              <w:rPr>
                <w:b/>
                <w:noProof/>
              </w:rPr>
              <w:t xml:space="preserve">rahmens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„Verwaltungsausgaben“</w:t>
            </w: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br/>
            </w:r>
            <w:r>
              <w:rPr>
                <w:b/>
                <w:noProof/>
                <w:sz w:val="20"/>
              </w:rPr>
              <w:t>N</w:t>
            </w:r>
          </w:p>
        </w:tc>
        <w:tc>
          <w:tcPr>
            <w:tcW w:w="868" w:type="dxa"/>
            <w:vAlign w:val="center"/>
          </w:tcPr>
          <w:p>
            <w:pPr>
              <w:jc w:val="center"/>
              <w:rPr>
                <w:noProof/>
                <w:sz w:val="20"/>
              </w:rPr>
            </w:pPr>
            <w:r>
              <w:rPr>
                <w:noProof/>
                <w:sz w:val="20"/>
              </w:rPr>
              <w:t>Jahr</w:t>
            </w:r>
            <w:r>
              <w:rPr>
                <w:noProof/>
              </w:rPr>
              <w:br/>
            </w:r>
            <w:r>
              <w:rPr>
                <w:b/>
                <w:noProof/>
                <w:sz w:val="20"/>
              </w:rPr>
              <w:t>N+1</w:t>
            </w:r>
          </w:p>
        </w:tc>
        <w:tc>
          <w:tcPr>
            <w:tcW w:w="868" w:type="dxa"/>
            <w:vAlign w:val="center"/>
          </w:tcPr>
          <w:p>
            <w:pPr>
              <w:jc w:val="center"/>
              <w:rPr>
                <w:noProof/>
                <w:sz w:val="20"/>
              </w:rPr>
            </w:pPr>
            <w:r>
              <w:rPr>
                <w:noProof/>
                <w:sz w:val="20"/>
              </w:rPr>
              <w:t>Jahr</w:t>
            </w:r>
            <w:r>
              <w:rPr>
                <w:noProof/>
              </w:rPr>
              <w:br/>
            </w:r>
            <w:r>
              <w:rPr>
                <w:b/>
                <w:noProof/>
                <w:sz w:val="20"/>
              </w:rPr>
              <w:t>N+2</w:t>
            </w:r>
          </w:p>
        </w:tc>
        <w:tc>
          <w:tcPr>
            <w:tcW w:w="868" w:type="dxa"/>
            <w:vAlign w:val="center"/>
          </w:tcPr>
          <w:p>
            <w:pPr>
              <w:jc w:val="center"/>
              <w:rPr>
                <w:noProof/>
                <w:sz w:val="20"/>
              </w:rPr>
            </w:pPr>
            <w:r>
              <w:rPr>
                <w:noProof/>
                <w:sz w:val="20"/>
              </w:rPr>
              <w:t>Jahr</w:t>
            </w:r>
            <w:r>
              <w:rPr>
                <w:noProof/>
              </w:rPr>
              <w:br/>
            </w:r>
            <w:r>
              <w:rPr>
                <w:b/>
                <w:noProof/>
                <w:sz w:val="20"/>
              </w:rPr>
              <w:t>N+3</w:t>
            </w:r>
          </w:p>
        </w:tc>
        <w:tc>
          <w:tcPr>
            <w:tcW w:w="2604" w:type="dxa"/>
            <w:gridSpan w:val="3"/>
            <w:vAlign w:val="center"/>
          </w:tcPr>
          <w:p>
            <w:pPr>
              <w:jc w:val="center"/>
              <w:rPr>
                <w:b/>
                <w:noProof/>
                <w:sz w:val="18"/>
              </w:rPr>
            </w:pPr>
            <w:r>
              <w:rPr>
                <w:noProof/>
                <w:sz w:val="18"/>
              </w:rPr>
              <w:t xml:space="preserve">Bei länger andauernden Auswirkungen (siehe 1.6.) bitte weitere Spalten einfügen. </w:t>
            </w:r>
          </w:p>
        </w:tc>
        <w:tc>
          <w:tcPr>
            <w:tcW w:w="1777" w:type="dxa"/>
            <w:vAlign w:val="center"/>
          </w:tcPr>
          <w:p>
            <w:pPr>
              <w:jc w:val="center"/>
              <w:rPr>
                <w:b/>
                <w:noProof/>
                <w:sz w:val="20"/>
              </w:rPr>
            </w:pPr>
            <w:r>
              <w:rPr>
                <w:b/>
                <w:noProof/>
                <w:sz w:val="20"/>
              </w:rPr>
              <w:t>INSGESAMT</w:t>
            </w:r>
          </w:p>
        </w:tc>
      </w:tr>
      <w:tr>
        <w:trPr>
          <w:gridAfter w:val="10"/>
          <w:wAfter w:w="9947" w:type="dxa"/>
        </w:trPr>
        <w:tc>
          <w:tcPr>
            <w:tcW w:w="3960" w:type="dxa"/>
            <w:vAlign w:val="center"/>
          </w:tcPr>
          <w:p>
            <w:pPr>
              <w:spacing w:before="60" w:after="60"/>
              <w:jc w:val="center"/>
              <w:rPr>
                <w:noProof/>
              </w:rPr>
            </w:pPr>
            <w:r>
              <w:rPr>
                <w:noProof/>
                <w:sz w:val="22"/>
              </w:rPr>
              <w:t xml:space="preserve">GD: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Sonstige Verwaltungsausgaben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GD &lt;…….&gt;INSGESAMT</w:t>
            </w:r>
          </w:p>
        </w:tc>
        <w:tc>
          <w:tcPr>
            <w:tcW w:w="2094" w:type="dxa"/>
            <w:gridSpan w:val="2"/>
            <w:vAlign w:val="center"/>
          </w:tcPr>
          <w:p>
            <w:pPr>
              <w:rPr>
                <w:noProof/>
                <w:sz w:val="14"/>
              </w:rPr>
            </w:pPr>
            <w:r>
              <w:rPr>
                <w:noProof/>
                <w:sz w:val="18"/>
              </w:rPr>
              <w:t xml:space="preserve">Mittel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Mittel INSGESAMT</w:t>
            </w:r>
            <w:r>
              <w:rPr>
                <w:noProof/>
              </w:rPr>
              <w:br/>
            </w:r>
            <w:r>
              <w:rPr>
                <w:b/>
                <w:noProof/>
                <w:sz w:val="22"/>
              </w:rPr>
              <w:t>unter der RUBRIK 5</w:t>
            </w:r>
            <w:r>
              <w:rPr>
                <w:noProof/>
              </w:rPr>
              <w:br/>
            </w:r>
            <w:r>
              <w:rPr>
                <w:noProof/>
                <w:sz w:val="22"/>
              </w:rPr>
              <w:t>des mehrjährigen Finanzrahmens</w:t>
            </w:r>
            <w:r>
              <w:rPr>
                <w:b/>
                <w:noProof/>
                <w:sz w:val="22"/>
              </w:rPr>
              <w:t xml:space="preserve"> </w:t>
            </w:r>
          </w:p>
        </w:tc>
        <w:tc>
          <w:tcPr>
            <w:tcW w:w="2094" w:type="dxa"/>
            <w:vAlign w:val="center"/>
          </w:tcPr>
          <w:p>
            <w:pPr>
              <w:spacing w:before="40" w:after="40"/>
              <w:rPr>
                <w:noProof/>
              </w:rPr>
            </w:pPr>
            <w:r>
              <w:rPr>
                <w:noProof/>
                <w:sz w:val="18"/>
              </w:rPr>
              <w:t>(Verpflichtungen insges. = Zahlungen insges.)</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in Mio. EUR (3 Dezimalstellen)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Jahr</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Jahr</w:t>
            </w:r>
            <w:r>
              <w:rPr>
                <w:noProof/>
              </w:rPr>
              <w:br/>
            </w:r>
            <w:r>
              <w:rPr>
                <w:b/>
                <w:noProof/>
                <w:sz w:val="20"/>
              </w:rPr>
              <w:t>N+1</w:t>
            </w:r>
          </w:p>
        </w:tc>
        <w:tc>
          <w:tcPr>
            <w:tcW w:w="868" w:type="dxa"/>
            <w:vAlign w:val="center"/>
          </w:tcPr>
          <w:p>
            <w:pPr>
              <w:jc w:val="center"/>
              <w:rPr>
                <w:noProof/>
                <w:sz w:val="20"/>
              </w:rPr>
            </w:pPr>
            <w:r>
              <w:rPr>
                <w:noProof/>
                <w:sz w:val="20"/>
              </w:rPr>
              <w:t>Jahr</w:t>
            </w:r>
            <w:r>
              <w:rPr>
                <w:noProof/>
              </w:rPr>
              <w:br/>
            </w:r>
            <w:r>
              <w:rPr>
                <w:b/>
                <w:noProof/>
                <w:sz w:val="20"/>
              </w:rPr>
              <w:t>N+2</w:t>
            </w:r>
          </w:p>
        </w:tc>
        <w:tc>
          <w:tcPr>
            <w:tcW w:w="868" w:type="dxa"/>
            <w:vAlign w:val="center"/>
          </w:tcPr>
          <w:p>
            <w:pPr>
              <w:jc w:val="center"/>
              <w:rPr>
                <w:noProof/>
                <w:sz w:val="20"/>
              </w:rPr>
            </w:pPr>
            <w:r>
              <w:rPr>
                <w:noProof/>
                <w:sz w:val="20"/>
              </w:rPr>
              <w:t>Jahr</w:t>
            </w:r>
            <w:r>
              <w:rPr>
                <w:noProof/>
              </w:rPr>
              <w:br/>
            </w:r>
            <w:r>
              <w:rPr>
                <w:b/>
                <w:noProof/>
                <w:sz w:val="20"/>
              </w:rPr>
              <w:t>N+3</w:t>
            </w:r>
          </w:p>
        </w:tc>
        <w:tc>
          <w:tcPr>
            <w:tcW w:w="2604" w:type="dxa"/>
            <w:gridSpan w:val="3"/>
            <w:vAlign w:val="center"/>
          </w:tcPr>
          <w:p>
            <w:pPr>
              <w:jc w:val="center"/>
              <w:rPr>
                <w:b/>
                <w:noProof/>
                <w:sz w:val="18"/>
              </w:rPr>
            </w:pPr>
            <w:r>
              <w:rPr>
                <w:noProof/>
                <w:sz w:val="18"/>
              </w:rPr>
              <w:t>Bei länger andauernden Auswirkungen (siehe 1.6.) bitte weitere Spalten einfügen.</w:t>
            </w:r>
          </w:p>
        </w:tc>
        <w:tc>
          <w:tcPr>
            <w:tcW w:w="1777" w:type="dxa"/>
            <w:vAlign w:val="center"/>
          </w:tcPr>
          <w:p>
            <w:pPr>
              <w:jc w:val="center"/>
              <w:rPr>
                <w:b/>
                <w:noProof/>
                <w:sz w:val="20"/>
              </w:rPr>
            </w:pPr>
            <w:r>
              <w:rPr>
                <w:b/>
                <w:noProof/>
                <w:sz w:val="20"/>
              </w:rPr>
              <w:t>INSGESAMT</w:t>
            </w:r>
          </w:p>
        </w:tc>
      </w:tr>
      <w:tr>
        <w:tc>
          <w:tcPr>
            <w:tcW w:w="3960" w:type="dxa"/>
            <w:vMerge w:val="restart"/>
            <w:shd w:val="clear" w:color="auto" w:fill="C0C0C0"/>
            <w:vAlign w:val="center"/>
          </w:tcPr>
          <w:p>
            <w:pPr>
              <w:jc w:val="center"/>
              <w:rPr>
                <w:b/>
                <w:noProof/>
              </w:rPr>
            </w:pPr>
            <w:r>
              <w:rPr>
                <w:b/>
                <w:noProof/>
                <w:sz w:val="22"/>
              </w:rPr>
              <w:t xml:space="preserve">Mittel INSGESAMT </w:t>
            </w:r>
            <w:r>
              <w:rPr>
                <w:noProof/>
              </w:rPr>
              <w:br/>
            </w:r>
            <w:r>
              <w:rPr>
                <w:b/>
                <w:noProof/>
                <w:sz w:val="22"/>
              </w:rPr>
              <w:t>unter den RUBRIKEN 1 bis 5</w:t>
            </w:r>
            <w:r>
              <w:rPr>
                <w:noProof/>
              </w:rPr>
              <w:br/>
            </w:r>
            <w:r>
              <w:rPr>
                <w:noProof/>
                <w:sz w:val="22"/>
              </w:rPr>
              <w:t>des mehrjährigen Finanzrahmens</w:t>
            </w:r>
            <w:r>
              <w:rPr>
                <w:b/>
                <w:noProof/>
                <w:sz w:val="22"/>
              </w:rPr>
              <w:t xml:space="preserve"> </w:t>
            </w:r>
          </w:p>
        </w:tc>
        <w:tc>
          <w:tcPr>
            <w:tcW w:w="2094" w:type="dxa"/>
            <w:gridSpan w:val="2"/>
            <w:vAlign w:val="center"/>
          </w:tcPr>
          <w:p>
            <w:pPr>
              <w:rPr>
                <w:noProof/>
                <w:sz w:val="14"/>
              </w:rPr>
            </w:pPr>
            <w:r>
              <w:rPr>
                <w:noProof/>
                <w:sz w:val="18"/>
              </w:rPr>
              <w:t>Verpflichtungen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Zahlungen</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Geschätzte Auswirkungen auf operative Mittel </w:t>
      </w:r>
    </w:p>
    <w:p>
      <w:pPr>
        <w:pStyle w:val="ListDash1"/>
        <w:rPr>
          <w:noProof/>
        </w:rPr>
      </w:pPr>
      <w:r>
        <w:rPr>
          <w:noProof/>
        </w:rPr>
        <w:sym w:font="Wingdings" w:char="F0A8"/>
      </w:r>
      <w:r>
        <w:rPr>
          <w:noProof/>
        </w:rPr>
        <w:tab/>
        <w:t xml:space="preserve">Für den Vorschlag/die Initiative werden keine operativen Mittel benötigt. </w:t>
      </w:r>
    </w:p>
    <w:p>
      <w:pPr>
        <w:pStyle w:val="ListDash1"/>
        <w:rPr>
          <w:noProof/>
        </w:rPr>
      </w:pPr>
      <w:r>
        <w:rPr>
          <w:noProof/>
        </w:rPr>
        <w:sym w:font="Wingdings" w:char="F078"/>
      </w:r>
      <w:r>
        <w:rPr>
          <w:noProof/>
        </w:rPr>
        <w:tab/>
        <w:t>Für den Vorschlag/die Initiative werden die folgenden operativen Mittel benötigt:</w:t>
      </w:r>
    </w:p>
    <w:p>
      <w:pPr>
        <w:jc w:val="right"/>
        <w:rPr>
          <w:noProof/>
          <w:sz w:val="20"/>
        </w:rPr>
      </w:pPr>
      <w:r>
        <w:rPr>
          <w:noProof/>
          <w:sz w:val="20"/>
        </w:rPr>
        <w:t>Mittel für Verpflichtungen in Mio. EUR (3 Dezimalstellen)</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Ziele und Ergebnisse angeben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Jahr</w:t>
            </w:r>
            <w:r>
              <w:rPr>
                <w:noProof/>
              </w:rPr>
              <w:br/>
            </w:r>
            <w:r>
              <w:rPr>
                <w:b/>
                <w:noProof/>
                <w:sz w:val="18"/>
              </w:rPr>
              <w:t>N</w:t>
            </w:r>
          </w:p>
        </w:tc>
        <w:tc>
          <w:tcPr>
            <w:tcW w:w="1260" w:type="dxa"/>
            <w:gridSpan w:val="2"/>
            <w:vAlign w:val="center"/>
          </w:tcPr>
          <w:p>
            <w:pPr>
              <w:ind w:right="-29"/>
              <w:jc w:val="center"/>
              <w:rPr>
                <w:noProof/>
                <w:sz w:val="18"/>
                <w:szCs w:val="18"/>
              </w:rPr>
            </w:pPr>
            <w:r>
              <w:rPr>
                <w:noProof/>
                <w:sz w:val="18"/>
              </w:rPr>
              <w:t>Jahr</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Jahr</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Jahr</w:t>
            </w:r>
            <w:r>
              <w:rPr>
                <w:noProof/>
              </w:rPr>
              <w:br/>
            </w:r>
            <w:r>
              <w:rPr>
                <w:b/>
                <w:noProof/>
                <w:sz w:val="18"/>
              </w:rPr>
              <w:t>N+3</w:t>
            </w:r>
          </w:p>
        </w:tc>
        <w:tc>
          <w:tcPr>
            <w:tcW w:w="3600" w:type="dxa"/>
            <w:gridSpan w:val="6"/>
            <w:vAlign w:val="center"/>
          </w:tcPr>
          <w:p>
            <w:pPr>
              <w:jc w:val="center"/>
              <w:rPr>
                <w:noProof/>
                <w:sz w:val="18"/>
                <w:szCs w:val="18"/>
              </w:rPr>
            </w:pPr>
            <w:r>
              <w:rPr>
                <w:noProof/>
                <w:sz w:val="18"/>
              </w:rPr>
              <w:t>Bei länger andauernden Auswirkungen (siehe 1.6.) bitte weitere Spalten einfügen.</w:t>
            </w:r>
          </w:p>
        </w:tc>
        <w:tc>
          <w:tcPr>
            <w:tcW w:w="1620" w:type="dxa"/>
            <w:gridSpan w:val="2"/>
            <w:tcBorders>
              <w:left w:val="nil"/>
              <w:bottom w:val="nil"/>
            </w:tcBorders>
            <w:vAlign w:val="center"/>
          </w:tcPr>
          <w:p>
            <w:pPr>
              <w:ind w:right="-29"/>
              <w:jc w:val="center"/>
              <w:rPr>
                <w:noProof/>
                <w:sz w:val="18"/>
                <w:szCs w:val="18"/>
              </w:rPr>
            </w:pPr>
            <w:r>
              <w:rPr>
                <w:b/>
                <w:noProof/>
                <w:sz w:val="18"/>
              </w:rPr>
              <w:t>INSGESAMT</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ERGEBNISSE</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Art</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Durchschnittskosten</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Anzahl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Gesamtzahl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Gesamtkosten</w:t>
            </w:r>
          </w:p>
        </w:tc>
      </w:tr>
      <w:tr>
        <w:trPr>
          <w:jc w:val="center"/>
        </w:trPr>
        <w:tc>
          <w:tcPr>
            <w:tcW w:w="2844" w:type="dxa"/>
            <w:gridSpan w:val="3"/>
            <w:vAlign w:val="center"/>
          </w:tcPr>
          <w:p>
            <w:pPr>
              <w:spacing w:before="60" w:after="60"/>
              <w:ind w:right="-29"/>
              <w:jc w:val="center"/>
              <w:rPr>
                <w:noProof/>
                <w:sz w:val="18"/>
                <w:szCs w:val="18"/>
              </w:rPr>
            </w:pPr>
            <w:r>
              <w:rPr>
                <w:noProof/>
                <w:sz w:val="18"/>
              </w:rPr>
              <w:t>EINZELZIEL Nr.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Zwischensumme für Einzelziel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EINZELZIEL Nr. 2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Ergebnis</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Zwischensumme für Einzelziel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GESAMTKOSTEN</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Geschätzte Auswirkungen auf die Verwaltungsmittel</w:t>
      </w:r>
    </w:p>
    <w:p>
      <w:pPr>
        <w:pStyle w:val="ManualHeading4"/>
        <w:rPr>
          <w:noProof/>
        </w:rPr>
      </w:pPr>
      <w:r>
        <w:rPr>
          <w:noProof/>
        </w:rPr>
        <w:t>3.2.3.1.</w:t>
      </w:r>
      <w:r>
        <w:rPr>
          <w:noProof/>
        </w:rPr>
        <w:tab/>
        <w:t xml:space="preserve">Zusammenfassung </w:t>
      </w:r>
    </w:p>
    <w:p>
      <w:pPr>
        <w:pStyle w:val="ListDash1"/>
        <w:rPr>
          <w:noProof/>
        </w:rPr>
      </w:pPr>
      <w:r>
        <w:rPr>
          <w:noProof/>
        </w:rPr>
        <w:sym w:font="Wingdings" w:char="F078"/>
      </w:r>
      <w:r>
        <w:rPr>
          <w:noProof/>
        </w:rPr>
        <w:tab/>
        <w:t xml:space="preserve">Für den Vorschlag/die Initiative werden keine Verwaltungsmittel benötigt. </w:t>
      </w:r>
    </w:p>
    <w:p>
      <w:pPr>
        <w:pStyle w:val="ListDash1"/>
        <w:rPr>
          <w:noProof/>
        </w:rPr>
      </w:pPr>
      <w:r>
        <w:rPr>
          <w:noProof/>
        </w:rPr>
        <w:sym w:font="Wingdings" w:char="F0A8"/>
      </w:r>
      <w:r>
        <w:rPr>
          <w:noProof/>
        </w:rPr>
        <w:tab/>
        <w:t>Für den Vorschlag/die Initiative werden die folgenden Verwaltungsmittel benötigt:</w:t>
      </w:r>
    </w:p>
    <w:p>
      <w:pPr>
        <w:rPr>
          <w:noProof/>
          <w:sz w:val="20"/>
        </w:rPr>
      </w:pPr>
      <w:r>
        <w:rPr>
          <w:noProof/>
          <w:sz w:val="20"/>
        </w:rPr>
        <w:t>in Mio. EUR (3 Dezimalstellen)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Jahr</w:t>
            </w:r>
            <w:r>
              <w:rPr>
                <w:noProof/>
              </w:rPr>
              <w:br/>
            </w:r>
            <w:r>
              <w:rPr>
                <w:b/>
                <w:noProof/>
                <w:sz w:val="16"/>
              </w:rPr>
              <w:t>N</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Jahr</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Jahr</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Jahr</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Bei länger andauernden Auswirkungen (siehe 1.6.) bitte weitere Spalten einfügen.</w:t>
            </w:r>
          </w:p>
        </w:tc>
        <w:tc>
          <w:tcPr>
            <w:tcW w:w="1080" w:type="dxa"/>
            <w:vAlign w:val="center"/>
          </w:tcPr>
          <w:p>
            <w:pPr>
              <w:spacing w:before="60" w:after="60" w:line="200" w:lineRule="exact"/>
              <w:jc w:val="center"/>
              <w:rPr>
                <w:b/>
                <w:noProof/>
                <w:sz w:val="16"/>
                <w:szCs w:val="16"/>
              </w:rPr>
            </w:pPr>
            <w:r>
              <w:rPr>
                <w:b/>
                <w:noProof/>
                <w:sz w:val="16"/>
              </w:rPr>
              <w:t>INSGESAMT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br/>
            </w:r>
            <w:r>
              <w:rPr>
                <w:b/>
                <w:noProof/>
                <w:sz w:val="16"/>
              </w:rPr>
              <w:t>des mehrjährigen Finanzrahmens</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Sonstige Verwaltungsausgaben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 RUBRIK 5</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außerhalb der RUBRIK 5</w:t>
            </w:r>
            <w:r>
              <w:rPr>
                <w:rStyle w:val="FootnoteReference"/>
                <w:b/>
                <w:noProof/>
                <w:sz w:val="16"/>
              </w:rPr>
              <w:footnoteReference w:id="19"/>
            </w:r>
            <w:r>
              <w:rPr>
                <w:noProof/>
              </w:rPr>
              <w:br/>
            </w:r>
            <w:r>
              <w:rPr>
                <w:b/>
                <w:noProof/>
                <w:sz w:val="16"/>
              </w:rPr>
              <w:t xml:space="preserve">des mehrjährigen Finanzrahmens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Sonstige</w:t>
            </w:r>
            <w:r>
              <w:rPr>
                <w:noProof/>
              </w:rPr>
              <w:br/>
            </w:r>
            <w:r>
              <w:rPr>
                <w:noProof/>
                <w:sz w:val="16"/>
              </w:rPr>
              <w:t>Verwaltungsausgaben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Zwischensumme</w:t>
            </w:r>
            <w:r>
              <w:rPr>
                <w:noProof/>
              </w:rPr>
              <w:br/>
            </w:r>
            <w:r>
              <w:rPr>
                <w:b/>
                <w:noProof/>
                <w:sz w:val="16"/>
              </w:rPr>
              <w:t>außerhalb der RUBRIK 5</w:t>
            </w:r>
            <w:r>
              <w:rPr>
                <w:noProof/>
              </w:rPr>
              <w:br/>
            </w:r>
            <w:r>
              <w:rPr>
                <w:b/>
                <w:noProof/>
                <w:sz w:val="16"/>
              </w:rPr>
              <w:t xml:space="preserve">des mehrjährigen Finanzrahmens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INSGESAMT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Der Mittelbedarf für Personal- und sonstige Verwaltungsausgaben wird durch der Verwaltung der Maßnahme zugeordnete Mittel der GD oder GD-interne Personalumschichtung gedeckt. Hinzu kommen etwaige zusätzliche Mittel, die der für die Verwaltung der Maßnahme zuständigen GD nach Maßgabe der verfügbaren Mittel im Rahmen der jährlichen Mittelzuweisung zugeteilt werden.</w:t>
      </w:r>
      <w:r>
        <w:rPr>
          <w:noProof/>
        </w:rPr>
        <w:tab/>
      </w:r>
    </w:p>
    <w:p>
      <w:pPr>
        <w:pStyle w:val="ManualHeading4"/>
        <w:rPr>
          <w:bCs/>
          <w:noProof/>
          <w:szCs w:val="24"/>
        </w:rPr>
      </w:pPr>
      <w:r>
        <w:rPr>
          <w:noProof/>
        </w:rPr>
        <w:t>3.2.3.2.</w:t>
      </w:r>
      <w:r>
        <w:rPr>
          <w:noProof/>
        </w:rPr>
        <w:tab/>
        <w:t>Geschätzter Personalbedarf</w:t>
      </w:r>
    </w:p>
    <w:p>
      <w:pPr>
        <w:pStyle w:val="ListDash1"/>
        <w:rPr>
          <w:noProof/>
        </w:rPr>
      </w:pPr>
      <w:r>
        <w:rPr>
          <w:noProof/>
        </w:rPr>
        <w:sym w:font="Wingdings" w:char="F078"/>
      </w:r>
      <w:r>
        <w:rPr>
          <w:noProof/>
        </w:rPr>
        <w:tab/>
        <w:t xml:space="preserve">Für den Vorschlag/die Initiative werden keine Mittel für Personal benötigt. </w:t>
      </w:r>
    </w:p>
    <w:p>
      <w:pPr>
        <w:pStyle w:val="ListDash1"/>
        <w:rPr>
          <w:noProof/>
        </w:rPr>
      </w:pPr>
      <w:r>
        <w:rPr>
          <w:noProof/>
        </w:rPr>
        <w:sym w:font="Wingdings" w:char="F0A8"/>
      </w:r>
      <w:r>
        <w:rPr>
          <w:noProof/>
        </w:rPr>
        <w:tab/>
        <w:t>Für den Vorschlag/die Initiative werden die folgenden Mittel für Personal benötigt:</w:t>
      </w:r>
    </w:p>
    <w:p>
      <w:pPr>
        <w:spacing w:after="60"/>
        <w:jc w:val="right"/>
        <w:rPr>
          <w:i/>
          <w:noProof/>
          <w:sz w:val="20"/>
        </w:rPr>
      </w:pPr>
      <w:r>
        <w:rPr>
          <w:i/>
          <w:noProof/>
          <w:sz w:val="20"/>
        </w:rPr>
        <w:t>Schätzung in Vollzeitäquivalenten</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Jahr</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Jahr</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Jahr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Jahr </w:t>
            </w:r>
            <w:r>
              <w:rPr>
                <w:b/>
                <w:noProof/>
                <w:sz w:val="16"/>
              </w:rPr>
              <w:t>N+3</w:t>
            </w:r>
          </w:p>
        </w:tc>
        <w:tc>
          <w:tcPr>
            <w:tcW w:w="345" w:type="pct"/>
            <w:gridSpan w:val="3"/>
            <w:shd w:val="clear" w:color="auto" w:fill="auto"/>
            <w:vAlign w:val="center"/>
          </w:tcPr>
          <w:p>
            <w:pPr>
              <w:jc w:val="center"/>
              <w:rPr>
                <w:b/>
                <w:noProof/>
                <w:sz w:val="16"/>
                <w:szCs w:val="16"/>
              </w:rPr>
            </w:pPr>
            <w:r>
              <w:rPr>
                <w:noProof/>
                <w:sz w:val="16"/>
              </w:rPr>
              <w:t>Bei länger andauernden Auswirkungen (siehe 1.6.) bitte weitere Spalten einfügen.</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Im Stellenplan vorgesehene Planstellen (Beamte und Bedienstete auf Zeit)</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(am Sitz und in den Vertretungen der Kommission)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(indirekte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Externes Personal (in Vollzeitäquivalenten VZÄ)</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(VB, ANS und LAK der Globaldotation)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(VB, ÖB, ANS, LAK und JSD in den Delegationen)</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am Sitz der EU</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in den Delegationen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(VB, ANS und LAK - indirekte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(VB, ANS und LAK der direkten Forschung)</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Sonstige Haushaltslinien (bitte angeben)</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INSGESAMT</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rPr>
        <w:t xml:space="preserve"> </w:t>
      </w:r>
      <w:r>
        <w:rPr>
          <w:noProof/>
          <w:sz w:val="18"/>
        </w:rPr>
        <w:t>steht für den jeweiligen Politikbereich bzw. Haushaltstitel.</w:t>
      </w:r>
    </w:p>
    <w:p>
      <w:pPr>
        <w:pStyle w:val="Text1"/>
        <w:rPr>
          <w:noProof/>
          <w:sz w:val="18"/>
          <w:szCs w:val="18"/>
        </w:rPr>
      </w:pPr>
      <w:r>
        <w:rPr>
          <w:noProof/>
          <w:sz w:val="18"/>
        </w:rPr>
        <w:t>Der Personalbedarf wird durch der Verwaltung der Maßnahme zugeordnetes Personal der GD oder GD-interne Personalumsetzung gedeckt. Hinzu kommen etwaige zusätzliche Mittel, die der für die Verwaltung der Maßnahme zuständigen GD nach Maßgabe der verfügbaren Mittel im Rahmen der jährlichen Mittelzuweisung zugeteilt werden.</w:t>
      </w:r>
    </w:p>
    <w:p>
      <w:pPr>
        <w:rPr>
          <w:noProof/>
          <w:sz w:val="20"/>
        </w:rPr>
      </w:pPr>
      <w:r>
        <w:rPr>
          <w:noProof/>
          <w:sz w:val="20"/>
        </w:rPr>
        <w:t>Beschreibung der auszuführenden Aufgaben: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Beamte und Zeitbedienstete</w:t>
            </w:r>
          </w:p>
        </w:tc>
        <w:tc>
          <w:tcPr>
            <w:tcW w:w="7200" w:type="dxa"/>
          </w:tcPr>
          <w:p>
            <w:pPr>
              <w:rPr>
                <w:noProof/>
                <w:sz w:val="20"/>
              </w:rPr>
            </w:pPr>
          </w:p>
        </w:tc>
      </w:tr>
      <w:tr>
        <w:tc>
          <w:tcPr>
            <w:tcW w:w="3240" w:type="dxa"/>
          </w:tcPr>
          <w:p>
            <w:pPr>
              <w:spacing w:before="60" w:after="60"/>
              <w:rPr>
                <w:noProof/>
                <w:sz w:val="20"/>
              </w:rPr>
            </w:pPr>
            <w:r>
              <w:rPr>
                <w:noProof/>
                <w:sz w:val="20"/>
              </w:rPr>
              <w:t>Externes Personal</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Vereinbarkeit mit dem mehrjährigen Finanzrahmen </w:t>
      </w:r>
    </w:p>
    <w:p>
      <w:pPr>
        <w:pStyle w:val="ListDash1"/>
        <w:rPr>
          <w:noProof/>
        </w:rPr>
      </w:pPr>
      <w:r>
        <w:rPr>
          <w:noProof/>
        </w:rPr>
        <w:sym w:font="Wingdings" w:char="F078"/>
      </w:r>
      <w:r>
        <w:rPr>
          <w:noProof/>
        </w:rPr>
        <w:tab/>
        <w:t>Der Vorschlag/Die Initiative ist mit dem mehrjährigen Finanzrahmen vereinbar.</w:t>
      </w:r>
    </w:p>
    <w:p>
      <w:pPr>
        <w:pStyle w:val="ListDash1"/>
        <w:rPr>
          <w:noProof/>
        </w:rPr>
      </w:pPr>
      <w:r>
        <w:rPr>
          <w:noProof/>
        </w:rPr>
        <w:sym w:font="Wingdings" w:char="F0A8"/>
      </w:r>
      <w:r>
        <w:rPr>
          <w:noProof/>
        </w:rPr>
        <w:t>Der Vorschlag/Die Initiative erfordert eine Anpassung der betreffenden Rubrik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die erforderliche Anpassung unter Angabe der betreffenden Haushaltslinien und der entsprechenden Beträge.</w:t>
      </w:r>
    </w:p>
    <w:p>
      <w:pPr>
        <w:pStyle w:val="ListDash1"/>
        <w:rPr>
          <w:noProof/>
        </w:rPr>
      </w:pPr>
      <w:r>
        <w:rPr>
          <w:noProof/>
        </w:rPr>
        <w:sym w:font="Wingdings" w:char="F0A8"/>
      </w:r>
      <w:r>
        <w:rPr>
          <w:noProof/>
        </w:rPr>
        <w:tab/>
        <w:t>Der Vorschlag/Die Initiative erfordert eine Inanspruchnahme des Flexibilitätsinstruments oder eine Änderung des mehrjährigen Finanzrahmens.</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Bitte erläutern Sie den Bedarf unter Angabe der betreffenden Rubriken und Haushaltslinien sowie der entsprechenden Beträge.</w:t>
      </w:r>
    </w:p>
    <w:p>
      <w:pPr>
        <w:pStyle w:val="ManualHeading3"/>
        <w:rPr>
          <w:bCs/>
          <w:noProof/>
          <w:szCs w:val="24"/>
        </w:rPr>
      </w:pPr>
      <w:r>
        <w:rPr>
          <w:noProof/>
        </w:rPr>
        <w:t>3.2.5.</w:t>
      </w:r>
      <w:r>
        <w:rPr>
          <w:noProof/>
        </w:rPr>
        <w:tab/>
        <w:t xml:space="preserve">Finanzierungsbeteiligung Dritter </w:t>
      </w:r>
    </w:p>
    <w:p>
      <w:pPr>
        <w:pStyle w:val="ListDash1"/>
        <w:rPr>
          <w:noProof/>
        </w:rPr>
      </w:pPr>
      <w:r>
        <w:rPr>
          <w:noProof/>
        </w:rPr>
        <w:t xml:space="preserve">Der Vorschlag/Die Initiative sieht keine Kofinanzierung durch Dritte vor. </w:t>
      </w:r>
    </w:p>
    <w:p>
      <w:pPr>
        <w:pStyle w:val="ListDash1"/>
        <w:rPr>
          <w:noProof/>
        </w:rPr>
      </w:pPr>
      <w:r>
        <w:rPr>
          <w:noProof/>
        </w:rPr>
        <w:t>Der Vorschlag/Die Initiative sieht folgende Kofinanzierung vor:</w:t>
      </w:r>
    </w:p>
    <w:p>
      <w:pPr>
        <w:jc w:val="right"/>
        <w:rPr>
          <w:noProof/>
          <w:sz w:val="20"/>
        </w:rPr>
      </w:pPr>
      <w:r>
        <w:rPr>
          <w:noProof/>
          <w:sz w:val="20"/>
        </w:rPr>
        <w:t>Mittel in Mio. EUR (3 Dezimalstellen)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Jahr</w:t>
            </w:r>
            <w:r>
              <w:rPr>
                <w:noProof/>
              </w:rPr>
              <w:br/>
            </w:r>
            <w:r>
              <w:rPr>
                <w:b/>
                <w:noProof/>
                <w:sz w:val="20"/>
              </w:rPr>
              <w:t>N</w:t>
            </w:r>
          </w:p>
        </w:tc>
        <w:tc>
          <w:tcPr>
            <w:tcW w:w="964" w:type="dxa"/>
            <w:vAlign w:val="center"/>
          </w:tcPr>
          <w:p>
            <w:pPr>
              <w:jc w:val="center"/>
              <w:rPr>
                <w:noProof/>
                <w:sz w:val="20"/>
              </w:rPr>
            </w:pPr>
            <w:r>
              <w:rPr>
                <w:noProof/>
                <w:sz w:val="20"/>
              </w:rPr>
              <w:t>Jahr</w:t>
            </w:r>
            <w:r>
              <w:rPr>
                <w:noProof/>
              </w:rPr>
              <w:br/>
            </w:r>
            <w:r>
              <w:rPr>
                <w:b/>
                <w:noProof/>
                <w:sz w:val="20"/>
              </w:rPr>
              <w:t>N+1</w:t>
            </w:r>
          </w:p>
        </w:tc>
        <w:tc>
          <w:tcPr>
            <w:tcW w:w="964" w:type="dxa"/>
            <w:vAlign w:val="center"/>
          </w:tcPr>
          <w:p>
            <w:pPr>
              <w:jc w:val="center"/>
              <w:rPr>
                <w:noProof/>
                <w:sz w:val="20"/>
              </w:rPr>
            </w:pPr>
            <w:r>
              <w:rPr>
                <w:noProof/>
                <w:sz w:val="20"/>
              </w:rPr>
              <w:t>Jahr</w:t>
            </w:r>
            <w:r>
              <w:rPr>
                <w:noProof/>
              </w:rPr>
              <w:br/>
            </w:r>
            <w:r>
              <w:rPr>
                <w:b/>
                <w:noProof/>
                <w:sz w:val="20"/>
              </w:rPr>
              <w:t>N+2</w:t>
            </w:r>
          </w:p>
        </w:tc>
        <w:tc>
          <w:tcPr>
            <w:tcW w:w="964" w:type="dxa"/>
            <w:vAlign w:val="center"/>
          </w:tcPr>
          <w:p>
            <w:pPr>
              <w:jc w:val="center"/>
              <w:rPr>
                <w:noProof/>
                <w:sz w:val="20"/>
              </w:rPr>
            </w:pPr>
            <w:r>
              <w:rPr>
                <w:noProof/>
                <w:sz w:val="20"/>
              </w:rPr>
              <w:t>Jahr</w:t>
            </w:r>
            <w:r>
              <w:rPr>
                <w:noProof/>
              </w:rPr>
              <w:br/>
            </w:r>
            <w:r>
              <w:rPr>
                <w:b/>
                <w:noProof/>
                <w:sz w:val="20"/>
              </w:rPr>
              <w:t>N+3</w:t>
            </w:r>
          </w:p>
        </w:tc>
        <w:tc>
          <w:tcPr>
            <w:tcW w:w="2892" w:type="dxa"/>
            <w:gridSpan w:val="3"/>
            <w:vAlign w:val="center"/>
          </w:tcPr>
          <w:p>
            <w:pPr>
              <w:jc w:val="center"/>
              <w:rPr>
                <w:b/>
                <w:noProof/>
                <w:sz w:val="20"/>
              </w:rPr>
            </w:pPr>
            <w:r>
              <w:rPr>
                <w:noProof/>
                <w:sz w:val="20"/>
              </w:rPr>
              <w:t>Bei länger andauernden Auswirkungen (siehe 1.6.) bitte weitere Spalten einfügen.</w:t>
            </w:r>
          </w:p>
        </w:tc>
        <w:tc>
          <w:tcPr>
            <w:tcW w:w="1158" w:type="dxa"/>
            <w:vAlign w:val="center"/>
          </w:tcPr>
          <w:p>
            <w:pPr>
              <w:spacing w:before="60" w:after="60"/>
              <w:jc w:val="center"/>
              <w:rPr>
                <w:noProof/>
                <w:sz w:val="20"/>
              </w:rPr>
            </w:pPr>
            <w:r>
              <w:rPr>
                <w:noProof/>
                <w:sz w:val="20"/>
              </w:rPr>
              <w:t>Gesamt</w:t>
            </w:r>
          </w:p>
        </w:tc>
      </w:tr>
      <w:tr>
        <w:trPr>
          <w:cantSplit/>
        </w:trPr>
        <w:tc>
          <w:tcPr>
            <w:tcW w:w="2340" w:type="dxa"/>
          </w:tcPr>
          <w:p>
            <w:pPr>
              <w:rPr>
                <w:noProof/>
              </w:rPr>
            </w:pPr>
            <w:r>
              <w:rPr>
                <w:noProof/>
                <w:sz w:val="20"/>
              </w:rPr>
              <w:t>Kofinanzierende Einrichtung</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Kofinanzierung INSGESAMT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Geschätzte Auswirkungen auf die Einnahmen </w:t>
      </w:r>
    </w:p>
    <w:p>
      <w:pPr>
        <w:pStyle w:val="ListDash1"/>
        <w:rPr>
          <w:noProof/>
        </w:rPr>
      </w:pPr>
      <w:r>
        <w:rPr>
          <w:noProof/>
        </w:rPr>
        <w:sym w:font="Wingdings" w:char="F078"/>
      </w:r>
      <w:r>
        <w:rPr>
          <w:noProof/>
        </w:rPr>
        <w:tab/>
        <w:t>Der Vorschlag/Die Initiative wirkt sich nicht auf die Einnahmen aus.</w:t>
      </w:r>
    </w:p>
    <w:p>
      <w:pPr>
        <w:pStyle w:val="ListDash1"/>
        <w:rPr>
          <w:noProof/>
        </w:rPr>
      </w:pPr>
      <w:r>
        <w:rPr>
          <w:noProof/>
        </w:rPr>
        <w:sym w:font="Wingdings" w:char="F0A8"/>
      </w:r>
      <w:r>
        <w:rPr>
          <w:noProof/>
        </w:rPr>
        <w:tab/>
        <w:t>Der Vorschlag/Die Initiative wirkt sich auf die Einnahmen aus, und zwar:</w:t>
      </w:r>
    </w:p>
    <w:p>
      <w:pPr>
        <w:pStyle w:val="ListNumberLevel3"/>
        <w:tabs>
          <w:tab w:val="clear" w:pos="2126"/>
        </w:tabs>
        <w:rPr>
          <w:noProof/>
        </w:rPr>
      </w:pPr>
      <w:r>
        <w:rPr>
          <w:noProof/>
        </w:rPr>
        <w:sym w:font="Wingdings" w:char="F0A8"/>
      </w:r>
      <w:r>
        <w:rPr>
          <w:noProof/>
        </w:rPr>
        <w:tab/>
        <w:t xml:space="preserve">auf die Eigenmittel </w:t>
      </w:r>
    </w:p>
    <w:p>
      <w:pPr>
        <w:pStyle w:val="ListNumberLevel3"/>
        <w:tabs>
          <w:tab w:val="clear" w:pos="2126"/>
        </w:tabs>
        <w:rPr>
          <w:noProof/>
        </w:rPr>
      </w:pPr>
      <w:r>
        <w:rPr>
          <w:noProof/>
        </w:rPr>
        <w:sym w:font="Wingdings" w:char="F0A8"/>
      </w:r>
      <w:r>
        <w:rPr>
          <w:noProof/>
        </w:rPr>
        <w:tab/>
        <w:t xml:space="preserve">auf die sonstigen Einnahmen </w:t>
      </w:r>
    </w:p>
    <w:p>
      <w:pPr>
        <w:jc w:val="right"/>
        <w:rPr>
          <w:i/>
          <w:noProof/>
          <w:sz w:val="20"/>
        </w:rPr>
      </w:pPr>
      <w:r>
        <w:rPr>
          <w:noProof/>
        </w:rPr>
        <w:t>in Mio. EUR (3 Dezimalstellen)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Einnahmenlinie:</w:t>
            </w:r>
          </w:p>
        </w:tc>
        <w:tc>
          <w:tcPr>
            <w:tcW w:w="1276" w:type="dxa"/>
            <w:vMerge w:val="restart"/>
            <w:vAlign w:val="center"/>
          </w:tcPr>
          <w:p>
            <w:pPr>
              <w:jc w:val="center"/>
              <w:rPr>
                <w:noProof/>
                <w:sz w:val="18"/>
              </w:rPr>
            </w:pPr>
            <w:r>
              <w:rPr>
                <w:noProof/>
                <w:sz w:val="18"/>
              </w:rPr>
              <w:t>Für das laufende Haushaltsjahr zur Verfügung stehende Mittel</w:t>
            </w:r>
          </w:p>
        </w:tc>
        <w:tc>
          <w:tcPr>
            <w:tcW w:w="7200" w:type="dxa"/>
            <w:gridSpan w:val="7"/>
            <w:vAlign w:val="center"/>
          </w:tcPr>
          <w:p>
            <w:pPr>
              <w:jc w:val="center"/>
              <w:rPr>
                <w:noProof/>
                <w:sz w:val="18"/>
              </w:rPr>
            </w:pPr>
            <w:r>
              <w:rPr>
                <w:noProof/>
                <w:sz w:val="18"/>
              </w:rPr>
              <w:t>Auswirkungen des Vorschlags/der Initiative</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Jahr</w:t>
            </w:r>
            <w:r>
              <w:rPr>
                <w:noProof/>
              </w:rPr>
              <w:br/>
            </w:r>
            <w:r>
              <w:rPr>
                <w:b/>
                <w:noProof/>
                <w:sz w:val="18"/>
              </w:rPr>
              <w:t>N</w:t>
            </w:r>
          </w:p>
        </w:tc>
        <w:tc>
          <w:tcPr>
            <w:tcW w:w="900" w:type="dxa"/>
            <w:vAlign w:val="center"/>
          </w:tcPr>
          <w:p>
            <w:pPr>
              <w:jc w:val="center"/>
              <w:rPr>
                <w:noProof/>
                <w:sz w:val="18"/>
              </w:rPr>
            </w:pPr>
            <w:r>
              <w:rPr>
                <w:noProof/>
                <w:sz w:val="18"/>
              </w:rPr>
              <w:t>Jahr</w:t>
            </w:r>
            <w:r>
              <w:rPr>
                <w:noProof/>
              </w:rPr>
              <w:br/>
            </w:r>
            <w:r>
              <w:rPr>
                <w:b/>
                <w:noProof/>
                <w:sz w:val="18"/>
              </w:rPr>
              <w:t>N+1</w:t>
            </w:r>
          </w:p>
        </w:tc>
        <w:tc>
          <w:tcPr>
            <w:tcW w:w="900" w:type="dxa"/>
            <w:vAlign w:val="center"/>
          </w:tcPr>
          <w:p>
            <w:pPr>
              <w:jc w:val="center"/>
              <w:rPr>
                <w:noProof/>
                <w:sz w:val="18"/>
              </w:rPr>
            </w:pPr>
            <w:r>
              <w:rPr>
                <w:noProof/>
                <w:sz w:val="18"/>
              </w:rPr>
              <w:t>Jahr</w:t>
            </w:r>
            <w:r>
              <w:rPr>
                <w:noProof/>
              </w:rPr>
              <w:br/>
            </w:r>
            <w:r>
              <w:rPr>
                <w:b/>
                <w:noProof/>
                <w:sz w:val="18"/>
              </w:rPr>
              <w:t>N+2</w:t>
            </w:r>
          </w:p>
        </w:tc>
        <w:tc>
          <w:tcPr>
            <w:tcW w:w="1080" w:type="dxa"/>
            <w:vAlign w:val="center"/>
          </w:tcPr>
          <w:p>
            <w:pPr>
              <w:jc w:val="center"/>
              <w:rPr>
                <w:noProof/>
                <w:sz w:val="18"/>
              </w:rPr>
            </w:pPr>
            <w:r>
              <w:rPr>
                <w:noProof/>
                <w:sz w:val="18"/>
              </w:rPr>
              <w:t>Jahr</w:t>
            </w:r>
            <w:r>
              <w:rPr>
                <w:noProof/>
              </w:rPr>
              <w:br/>
            </w:r>
            <w:r>
              <w:rPr>
                <w:b/>
                <w:noProof/>
                <w:sz w:val="18"/>
              </w:rPr>
              <w:t>N+3</w:t>
            </w:r>
          </w:p>
        </w:tc>
        <w:tc>
          <w:tcPr>
            <w:tcW w:w="3240" w:type="dxa"/>
            <w:gridSpan w:val="3"/>
            <w:vAlign w:val="center"/>
          </w:tcPr>
          <w:p>
            <w:pPr>
              <w:jc w:val="center"/>
              <w:rPr>
                <w:b/>
                <w:noProof/>
                <w:sz w:val="18"/>
              </w:rPr>
            </w:pPr>
            <w:r>
              <w:rPr>
                <w:noProof/>
                <w:sz w:val="18"/>
              </w:rPr>
              <w:t>Bei länger andauernden Auswirkungen (siehe 1.6.) bitte weitere Spalten einfügen.</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Bitte geben Sie für die sonstigen zweckgebundenen Einnahmen die betreffende(n) Ausgabenlinie(n) an.</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Bitte geben Sie an, wie die Auswirkungen auf die Einnahmen berechnet werden.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DE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 zuletzt geändert durch die Verordnung (EU) 2018/1719 des Europäischen Parlaments und des Rates vom 14. November 2018 zur Änderung der Verordnung (EU) Nr. 1303/2013 hinsichtlich der Änderungen bei den Mitteln für den wirtschaftlichen, sozialen und territorialen Zusammenhalt und bei den Mitteln für die Ziele „Investitionen in Wachstum und Beschäftigung“ und „Europäische territoriale Zusammenarbeit“ (ABl. L 291 vom 16.11.2018, S. 5).</w:t>
      </w:r>
    </w:p>
  </w:footnote>
  <w:footnote w:id="2">
    <w:p>
      <w:pPr>
        <w:pStyle w:val="FootnoteText"/>
      </w:pPr>
      <w:r>
        <w:rPr>
          <w:rStyle w:val="FootnoteReference"/>
        </w:rPr>
        <w:footnoteRef/>
      </w:r>
      <w:r>
        <w:tab/>
        <w:t>Verordnung (EU) Nr. 1304/2013 des Europäischen Parlaments und des Rates 17. Dezember 2013 über den Europäischen Sozialfonds und zur Aufhebung der Verordnung (EG) Nr. 1081/2006 des Rates (ABl. L 347 vom 20.12.2013, S. 470).</w:t>
      </w:r>
    </w:p>
  </w:footnote>
  <w:footnote w:id="3">
    <w:p>
      <w:pPr>
        <w:pStyle w:val="FootnoteText"/>
      </w:pPr>
      <w:r>
        <w:rPr>
          <w:rStyle w:val="FootnoteReference"/>
        </w:rPr>
        <w:footnoteRef/>
      </w:r>
      <w:r>
        <w:tab/>
        <w:t>ABl. C […] vom […], S. […].</w:t>
      </w:r>
    </w:p>
  </w:footnote>
  <w:footnote w:id="4">
    <w:p>
      <w:pPr>
        <w:pStyle w:val="FootnoteText"/>
      </w:pPr>
      <w:r>
        <w:rPr>
          <w:rStyle w:val="FootnoteReference"/>
        </w:rPr>
        <w:footnoteRef/>
      </w:r>
      <w:r>
        <w:tab/>
        <w:t>ABl. C […] vom […], S. […].</w:t>
      </w:r>
    </w:p>
  </w:footnote>
  <w:footnote w:id="5">
    <w:p>
      <w:pPr>
        <w:pStyle w:val="FootnoteText"/>
      </w:pPr>
      <w:r>
        <w:rPr>
          <w:rStyle w:val="FootnoteReference"/>
        </w:rPr>
        <w:footnoteRef/>
      </w:r>
      <w:r>
        <w:tab/>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(ABl. L 347 vom 20.12.2013, S. 320).</w:t>
      </w:r>
    </w:p>
  </w:footnote>
  <w:footnote w:id="6">
    <w:p>
      <w:pPr>
        <w:pStyle w:val="FootnoteText"/>
      </w:pPr>
      <w:r>
        <w:rPr>
          <w:rStyle w:val="FootnoteReference"/>
        </w:rPr>
        <w:footnoteRef/>
      </w:r>
      <w:r>
        <w:tab/>
        <w:t>ABl. C […] vom […], S. […].</w:t>
      </w:r>
    </w:p>
  </w:footnote>
  <w:footnote w:id="7">
    <w:p>
      <w:pPr>
        <w:pStyle w:val="FootnoteText"/>
        <w:rPr>
          <w:szCs w:val="24"/>
        </w:rPr>
      </w:pPr>
      <w:r>
        <w:rPr>
          <w:rStyle w:val="FootnoteReference"/>
        </w:rPr>
        <w:footnoteRef/>
      </w:r>
      <w:r>
        <w:tab/>
        <w:t>ABM: Activity Based Management: maßnahmenbezogenes Management; ABB: Activity Based Budgeting: maßnahmenbezogene Budgetierung.</w:t>
      </w:r>
    </w:p>
  </w:footnote>
  <w:footnote w:id="8">
    <w:p>
      <w:pPr>
        <w:pStyle w:val="FootnoteText"/>
        <w:rPr>
          <w:szCs w:val="24"/>
        </w:rPr>
      </w:pPr>
      <w:r>
        <w:rPr>
          <w:rStyle w:val="FootnoteReference"/>
        </w:rPr>
        <w:footnoteRef/>
      </w:r>
      <w:r>
        <w:tab/>
        <w:t>Im Sinne des Artikels 54 Absatz 2 Buchstabe a oder b der Haushaltsordnung.</w:t>
      </w:r>
    </w:p>
  </w:footnote>
  <w:footnote w:id="9">
    <w:p>
      <w:pPr>
        <w:pStyle w:val="FootnoteText"/>
        <w:rPr>
          <w:szCs w:val="24"/>
        </w:rPr>
      </w:pPr>
      <w:r>
        <w:rPr>
          <w:rStyle w:val="FootnoteReference"/>
        </w:rPr>
        <w:footnoteRef/>
      </w:r>
      <w:r>
        <w:tab/>
        <w:t xml:space="preserve">Erläuterungen zu den Methoden der Mittelverwaltung und Verweise auf die Haushaltsordnung enthält die Website BudgWeb (in französischer und englischer Sprache): </w:t>
      </w:r>
      <w:hyperlink r:id="rId1">
        <w:r>
          <w:rPr>
            <w:rStyle w:val="Hyperlink"/>
            <w:sz w:val="18"/>
          </w:rPr>
          <w:t>http://www.cc.cec/budg/man/budgmanag/budgmanag_en.html.</w:t>
        </w:r>
      </w:hyperlink>
    </w:p>
  </w:footnote>
  <w:footnote w:id="10">
    <w:p>
      <w:pPr>
        <w:pStyle w:val="FootnoteText"/>
        <w:rPr>
          <w:szCs w:val="24"/>
        </w:rPr>
      </w:pPr>
      <w:r>
        <w:rPr>
          <w:rStyle w:val="FootnoteReference"/>
        </w:rPr>
        <w:footnoteRef/>
      </w:r>
      <w:r>
        <w:tab/>
        <w:t>GM = Getrennte Mittel/NGM = Nicht getrennte Mittel.</w:t>
      </w:r>
    </w:p>
  </w:footnote>
  <w:footnote w:id="11">
    <w:p>
      <w:pPr>
        <w:pStyle w:val="FootnoteText"/>
        <w:rPr>
          <w:szCs w:val="24"/>
        </w:rPr>
      </w:pPr>
      <w:r>
        <w:rPr>
          <w:rStyle w:val="FootnoteReference"/>
        </w:rPr>
        <w:footnoteRef/>
      </w:r>
      <w:r>
        <w:tab/>
        <w:t xml:space="preserve">EFTA: Europäische Freihandelsassoziation. </w:t>
      </w:r>
    </w:p>
  </w:footnote>
  <w:footnote w:id="12">
    <w:p>
      <w:pPr>
        <w:pStyle w:val="FootnoteText"/>
        <w:rPr>
          <w:szCs w:val="24"/>
        </w:rPr>
      </w:pPr>
      <w:r>
        <w:rPr>
          <w:rStyle w:val="FootnoteReference"/>
        </w:rPr>
        <w:footnoteRef/>
      </w:r>
      <w:r>
        <w:tab/>
        <w:t>Kandidatenländer sowie gegebenenfalls potenzielle Kandidatenländer des Westbalkans.</w:t>
      </w:r>
    </w:p>
  </w:footnote>
  <w:footnote w:id="13">
    <w:p>
      <w:pPr>
        <w:pStyle w:val="FootnoteText"/>
      </w:pPr>
      <w:r>
        <w:rPr>
          <w:rStyle w:val="FootnoteReference"/>
        </w:rPr>
        <w:footnoteRef/>
      </w:r>
      <w:r>
        <w:tab/>
        <w:t>Diese zusätzlichen Mittel werden aus dem Gesamtspielraum für Mittel für Verpflichtungen (GSV) im Rahmen des Spielraums bis zur Obergrenze des MFR 2014-2020 finanziert.</w:t>
      </w:r>
    </w:p>
  </w:footnote>
  <w:footnote w:id="14">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15">
    <w:p>
      <w:pPr>
        <w:pStyle w:val="FootnoteText"/>
        <w:rPr>
          <w:szCs w:val="24"/>
        </w:rPr>
      </w:pPr>
      <w:r>
        <w:rPr>
          <w:rStyle w:val="FootnoteReference"/>
        </w:rPr>
        <w:footnoteRef/>
      </w:r>
      <w:r>
        <w:tab/>
        <w:t>Das Jahr N ist das Jahr, in dem mit der Umsetzung des Vorschlags/der Initiative begonnen wird.</w:t>
      </w:r>
    </w:p>
  </w:footnote>
  <w:footnote w:id="16">
    <w:p>
      <w:pPr>
        <w:pStyle w:val="FootnoteText"/>
        <w:rPr>
          <w:szCs w:val="24"/>
        </w:rPr>
      </w:pPr>
      <w:r>
        <w:rPr>
          <w:rStyle w:val="FootnoteReference"/>
        </w:rPr>
        <w:footnoteRef/>
      </w:r>
      <w:r>
        <w:tab/>
        <w:t>Ergebnisse sind Produkte, die geliefert, und Dienstleistungen, die erbracht werden (z. B. Zahl der Austauschstudenten, gebaute Straßenkilometer)</w:t>
      </w:r>
    </w:p>
  </w:footnote>
  <w:footnote w:id="17">
    <w:p>
      <w:pPr>
        <w:pStyle w:val="FootnoteText"/>
        <w:rPr>
          <w:szCs w:val="24"/>
        </w:rPr>
      </w:pPr>
      <w:r>
        <w:rPr>
          <w:rStyle w:val="FootnoteReference"/>
        </w:rPr>
        <w:footnoteRef/>
      </w:r>
      <w:r>
        <w:tab/>
        <w:t xml:space="preserve">Wie unter 1.4.2. („Einzelziel(e)…“) beschrieben. </w:t>
      </w:r>
    </w:p>
  </w:footnote>
  <w:footnote w:id="18">
    <w:p>
      <w:pPr>
        <w:pStyle w:val="FootnoteText"/>
        <w:rPr>
          <w:szCs w:val="24"/>
        </w:rPr>
      </w:pPr>
      <w:r>
        <w:rPr>
          <w:rStyle w:val="FootnoteReference"/>
        </w:rPr>
        <w:footnoteRef/>
      </w:r>
      <w:r>
        <w:tab/>
        <w:t>Das Jahr N ist das Jahr, in dem mit der Umsetzung des Vorschlags/der Initiative begonnen wird.</w:t>
      </w:r>
    </w:p>
  </w:footnote>
  <w:footnote w:id="19">
    <w:p>
      <w:pPr>
        <w:pStyle w:val="FootnoteText"/>
        <w:rPr>
          <w:szCs w:val="24"/>
        </w:rPr>
      </w:pPr>
      <w:r>
        <w:rPr>
          <w:rStyle w:val="FootnoteReference"/>
        </w:rPr>
        <w:footnoteRef/>
      </w:r>
      <w:r>
        <w:tab/>
        <w:t>Technische und/oder administrative Hilfe und Ausgaben zur Unterstützung der Durchführung von Programmen bzw. Maßnahmen der EU (vormalige BA-Linien), indirekte Forschung, direkte Forschung.</w:t>
      </w:r>
    </w:p>
  </w:footnote>
  <w:footnote w:id="20">
    <w:p>
      <w:pPr>
        <w:pStyle w:val="FootnoteText"/>
        <w:rPr>
          <w:szCs w:val="24"/>
        </w:rPr>
      </w:pPr>
      <w:r>
        <w:rPr>
          <w:rStyle w:val="FootnoteReference"/>
        </w:rPr>
        <w:footnoteRef/>
      </w:r>
      <w:r>
        <w:tab/>
        <w:t xml:space="preserve">VB = Vertragsbedienstete; ÖB = Örtliche Bedienstete; ANS = Abgeordnete nationale Sachverständige; LAK = Leiharbeitskräfte; JSD = junge Sachverständige in Delegationen. </w:t>
      </w:r>
    </w:p>
  </w:footnote>
  <w:footnote w:id="21">
    <w:p>
      <w:pPr>
        <w:pStyle w:val="FootnoteText"/>
        <w:rPr>
          <w:szCs w:val="24"/>
        </w:rPr>
      </w:pPr>
      <w:r>
        <w:rPr>
          <w:rStyle w:val="FootnoteReference"/>
        </w:rPr>
        <w:footnoteRef/>
      </w:r>
      <w:r>
        <w:tab/>
        <w:t>Teilobergrenze für aus operativen Mitteln finanziertes externes Personal (vormalige BA-Linien).</w:t>
      </w:r>
    </w:p>
  </w:footnote>
  <w:footnote w:id="22">
    <w:p>
      <w:pPr>
        <w:pStyle w:val="FootnoteText"/>
        <w:rPr>
          <w:szCs w:val="24"/>
        </w:rPr>
      </w:pPr>
      <w:r>
        <w:rPr>
          <w:rStyle w:val="FootnoteReference"/>
        </w:rPr>
        <w:footnoteRef/>
      </w:r>
      <w:r>
        <w:tab/>
        <w:t>Bei den traditionellen Eigenmitteln (Zölle, Zuckerabgaben) sind die Beträge netto, d. h. abzüglich 25 % für Erhebungskosten, anzugeben.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4"/>
  </w:num>
  <w:num w:numId="18">
    <w:abstractNumId w:val="24"/>
  </w:num>
  <w:num w:numId="19">
    <w:abstractNumId w:val="12"/>
  </w:num>
  <w:num w:numId="20">
    <w:abstractNumId w:val="15"/>
  </w:num>
  <w:num w:numId="21">
    <w:abstractNumId w:val="10"/>
  </w:num>
  <w:num w:numId="22">
    <w:abstractNumId w:val="23"/>
  </w:num>
  <w:num w:numId="23">
    <w:abstractNumId w:val="9"/>
  </w:num>
  <w:num w:numId="24">
    <w:abstractNumId w:val="16"/>
  </w:num>
  <w:num w:numId="25">
    <w:abstractNumId w:val="20"/>
  </w:num>
  <w:num w:numId="26">
    <w:abstractNumId w:val="21"/>
  </w:num>
  <w:num w:numId="27">
    <w:abstractNumId w:val="11"/>
  </w:num>
  <w:num w:numId="28">
    <w:abstractNumId w:val="19"/>
  </w:num>
  <w:num w:numId="29">
    <w:abstractNumId w:val="25"/>
  </w:num>
  <w:num w:numId="30">
    <w:abstractNumId w:val="22"/>
  </w:num>
  <w:num w:numId="31">
    <w:abstractNumId w:val="14"/>
  </w:num>
  <w:num w:numId="32">
    <w:abstractNumId w:val="24"/>
  </w:num>
  <w:num w:numId="33">
    <w:abstractNumId w:val="12"/>
  </w:num>
  <w:num w:numId="34">
    <w:abstractNumId w:val="15"/>
  </w:num>
  <w:num w:numId="35">
    <w:abstractNumId w:val="10"/>
  </w:num>
  <w:num w:numId="36">
    <w:abstractNumId w:val="23"/>
  </w:num>
  <w:num w:numId="37">
    <w:abstractNumId w:val="9"/>
  </w:num>
  <w:num w:numId="38">
    <w:abstractNumId w:val="16"/>
  </w:num>
  <w:num w:numId="39">
    <w:abstractNumId w:val="20"/>
  </w:num>
  <w:num w:numId="40">
    <w:abstractNumId w:val="21"/>
  </w:num>
  <w:num w:numId="41">
    <w:abstractNumId w:val="11"/>
  </w:num>
  <w:num w:numId="42">
    <w:abstractNumId w:val="19"/>
  </w:num>
  <w:num w:numId="4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1 09:31: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58E99E1-7BE3-45E3-81FF-E0D37E05168F"/>
    <w:docVar w:name="LW_COVERPAGE_TYPE" w:val="1"/>
    <w:docVar w:name="LW_CROSSREFERENCE" w:val="&lt;UNUSED&gt;"/>
    <w:docVar w:name="LW_DocType" w:val="COM"/>
    <w:docVar w:name="LW_EMISSION" w:val="1.2.2019"/>
    <w:docVar w:name="LW_EMISSION_ISODATE" w:val="2019-02-01"/>
    <w:docVar w:name="LW_EMISSION_LOCATION" w:val="BRX"/>
    <w:docVar w:name="LW_EMISSION_PREFIX" w:val="Brüssel, den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COD"/>
    <w:docVar w:name="LW_REF.II.NEW.CP_NUMBER" w:val="0027"/>
    <w:docVar w:name="LW_REF.II.NEW.CP_YEAR" w:val="2019"/>
    <w:docVar w:name="LW_REF.INST.NEW" w:val="COM"/>
    <w:docVar w:name="LW_REF.INST.NEW_ADOPTED" w:val="final"/>
    <w:docVar w:name="LW_REF.INST.NEW_TEXT" w:val="(2019)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
    <w:docVar w:name="LW_SUPERTITRE" w:val="&lt;UNUSED&gt;"/>
    <w:docVar w:name="LW_TITRE.OBJ.CP" w:val="zur Änderung der Verordnung (EU) Nr. 1303/2013 hinsichtlich der Mittel für die besondere Mittelzuweisung zugunsten der Beschäftigungsinitiative für junge Menschen"/>
    <w:docVar w:name="LW_TYPE.DOC.CP" w:val="VERORDNUNG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paragraph" w:customStyle="1" w:styleId="ListBullet1">
    <w:name w:val="List Bullet 1"/>
    <w:basedOn w:val="Normal"/>
    <w:pPr>
      <w:numPr>
        <w:numId w:val="9"/>
      </w:numPr>
    </w:pPr>
    <w:rPr>
      <w:rFonts w:eastAsia="Times New Roman"/>
      <w:lang w:eastAsia="de-DE"/>
    </w:rPr>
  </w:style>
  <w:style w:type="paragraph" w:customStyle="1" w:styleId="ListDash1">
    <w:name w:val="List Dash 1"/>
    <w:basedOn w:val="Normal"/>
    <w:pPr>
      <w:numPr>
        <w:numId w:val="10"/>
      </w:numPr>
    </w:pPr>
    <w:rPr>
      <w:rFonts w:eastAsia="Times New Roman"/>
      <w:lang w:eastAsia="de-DE"/>
    </w:rPr>
  </w:style>
  <w:style w:type="paragraph" w:customStyle="1" w:styleId="ListDash2">
    <w:name w:val="List Dash 2"/>
    <w:basedOn w:val="Normal"/>
    <w:pPr>
      <w:numPr>
        <w:numId w:val="1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lang w:eastAsia="en-GB"/>
    </w:rPr>
  </w:style>
  <w:style w:type="paragraph" w:customStyle="1" w:styleId="doc-ti">
    <w:name w:val="doc-ti"/>
    <w:basedOn w:val="Normal"/>
    <w:pPr>
      <w:spacing w:before="240"/>
      <w:jc w:val="center"/>
    </w:pPr>
    <w:rPr>
      <w:rFonts w:eastAsia="Times New Roman"/>
      <w:b/>
      <w:bCs/>
      <w:lang w:eastAsia="en-GB"/>
    </w:rPr>
  </w:style>
  <w:style w:type="paragraph" w:customStyle="1" w:styleId="ListDash">
    <w:name w:val="List Dash"/>
    <w:basedOn w:val="Normal"/>
    <w:pPr>
      <w:numPr>
        <w:numId w:val="12"/>
      </w:numPr>
    </w:pPr>
    <w:rPr>
      <w:rFonts w:eastAsia="Times New Roman"/>
      <w:szCs w:val="20"/>
      <w:lang w:eastAsia="en-GB"/>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lang w:eastAsia="en-GB"/>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lang w:eastAsia="en-GB"/>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0" w:after="150"/>
      <w:jc w:val="left"/>
    </w:pPr>
    <w:rPr>
      <w:rFonts w:eastAsia="Times New Roman"/>
      <w:szCs w:val="24"/>
      <w:lang w:eastAsia="en-GB"/>
    </w:rPr>
  </w:style>
  <w:style w:type="paragraph" w:customStyle="1" w:styleId="hidden">
    <w:name w:val="hidden"/>
    <w:basedOn w:val="Normal"/>
    <w:pPr>
      <w:spacing w:before="0" w:after="150"/>
      <w:jc w:val="left"/>
    </w:pPr>
    <w:rPr>
      <w:rFonts w:eastAsia="Times New Roman"/>
      <w:vanish/>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0"/>
      </w:numPr>
    </w:pPr>
  </w:style>
  <w:style w:type="paragraph" w:customStyle="1" w:styleId="Tiret1">
    <w:name w:val="Tiret 1"/>
    <w:basedOn w:val="Point1"/>
    <w:pPr>
      <w:numPr>
        <w:numId w:val="31"/>
      </w:numPr>
    </w:pPr>
  </w:style>
  <w:style w:type="paragraph" w:customStyle="1" w:styleId="Tiret2">
    <w:name w:val="Tiret 2"/>
    <w:basedOn w:val="Point2"/>
    <w:pPr>
      <w:numPr>
        <w:numId w:val="32"/>
      </w:numPr>
    </w:pPr>
  </w:style>
  <w:style w:type="paragraph" w:customStyle="1" w:styleId="Tiret3">
    <w:name w:val="Tiret 3"/>
    <w:basedOn w:val="Point3"/>
    <w:pPr>
      <w:numPr>
        <w:numId w:val="33"/>
      </w:numPr>
    </w:pPr>
  </w:style>
  <w:style w:type="paragraph" w:customStyle="1" w:styleId="Tiret4">
    <w:name w:val="Tiret 4"/>
    <w:basedOn w:val="Point4"/>
    <w:pPr>
      <w:numPr>
        <w:numId w:val="3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5"/>
      </w:numPr>
    </w:pPr>
  </w:style>
  <w:style w:type="paragraph" w:customStyle="1" w:styleId="NumPar2">
    <w:name w:val="NumPar 2"/>
    <w:basedOn w:val="Normal"/>
    <w:next w:val="Text1"/>
    <w:pPr>
      <w:numPr>
        <w:ilvl w:val="1"/>
        <w:numId w:val="35"/>
      </w:numPr>
    </w:pPr>
  </w:style>
  <w:style w:type="paragraph" w:customStyle="1" w:styleId="NumPar3">
    <w:name w:val="NumPar 3"/>
    <w:basedOn w:val="Normal"/>
    <w:next w:val="Text1"/>
    <w:pPr>
      <w:numPr>
        <w:ilvl w:val="2"/>
        <w:numId w:val="35"/>
      </w:numPr>
    </w:pPr>
  </w:style>
  <w:style w:type="paragraph" w:customStyle="1" w:styleId="NumPar4">
    <w:name w:val="NumPar 4"/>
    <w:basedOn w:val="Normal"/>
    <w:next w:val="Text1"/>
    <w:pPr>
      <w:numPr>
        <w:ilvl w:val="3"/>
        <w:numId w:val="3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7"/>
      </w:numPr>
    </w:pPr>
  </w:style>
  <w:style w:type="paragraph" w:customStyle="1" w:styleId="Point1number">
    <w:name w:val="Point 1 (number)"/>
    <w:basedOn w:val="Normal"/>
    <w:pPr>
      <w:numPr>
        <w:ilvl w:val="2"/>
        <w:numId w:val="37"/>
      </w:numPr>
    </w:pPr>
  </w:style>
  <w:style w:type="paragraph" w:customStyle="1" w:styleId="Point2number">
    <w:name w:val="Point 2 (number)"/>
    <w:basedOn w:val="Normal"/>
    <w:pPr>
      <w:numPr>
        <w:ilvl w:val="4"/>
        <w:numId w:val="37"/>
      </w:numPr>
    </w:pPr>
  </w:style>
  <w:style w:type="paragraph" w:customStyle="1" w:styleId="Point3number">
    <w:name w:val="Point 3 (number)"/>
    <w:basedOn w:val="Normal"/>
    <w:pPr>
      <w:numPr>
        <w:ilvl w:val="6"/>
        <w:numId w:val="37"/>
      </w:numPr>
    </w:pPr>
  </w:style>
  <w:style w:type="paragraph" w:customStyle="1" w:styleId="Point0letter">
    <w:name w:val="Point 0 (letter)"/>
    <w:basedOn w:val="Normal"/>
    <w:pPr>
      <w:numPr>
        <w:ilvl w:val="1"/>
        <w:numId w:val="37"/>
      </w:numPr>
    </w:pPr>
  </w:style>
  <w:style w:type="paragraph" w:customStyle="1" w:styleId="Point1letter">
    <w:name w:val="Point 1 (letter)"/>
    <w:basedOn w:val="Normal"/>
    <w:pPr>
      <w:numPr>
        <w:ilvl w:val="3"/>
        <w:numId w:val="37"/>
      </w:numPr>
    </w:pPr>
  </w:style>
  <w:style w:type="paragraph" w:customStyle="1" w:styleId="Point2letter">
    <w:name w:val="Point 2 (letter)"/>
    <w:basedOn w:val="Normal"/>
    <w:pPr>
      <w:numPr>
        <w:ilvl w:val="5"/>
        <w:numId w:val="37"/>
      </w:numPr>
    </w:pPr>
  </w:style>
  <w:style w:type="paragraph" w:customStyle="1" w:styleId="Point3letter">
    <w:name w:val="Point 3 (letter)"/>
    <w:basedOn w:val="Normal"/>
    <w:pPr>
      <w:numPr>
        <w:ilvl w:val="7"/>
        <w:numId w:val="37"/>
      </w:numPr>
    </w:pPr>
  </w:style>
  <w:style w:type="paragraph" w:customStyle="1" w:styleId="Point4letter">
    <w:name w:val="Point 4 (letter)"/>
    <w:basedOn w:val="Normal"/>
    <w:pPr>
      <w:numPr>
        <w:ilvl w:val="8"/>
        <w:numId w:val="37"/>
      </w:numPr>
    </w:pPr>
  </w:style>
  <w:style w:type="paragraph" w:customStyle="1" w:styleId="Bullet0">
    <w:name w:val="Bullet 0"/>
    <w:basedOn w:val="Normal"/>
    <w:pPr>
      <w:numPr>
        <w:numId w:val="38"/>
      </w:numPr>
    </w:pPr>
  </w:style>
  <w:style w:type="paragraph" w:customStyle="1" w:styleId="Bullet1">
    <w:name w:val="Bullet 1"/>
    <w:basedOn w:val="Normal"/>
    <w:pPr>
      <w:numPr>
        <w:numId w:val="39"/>
      </w:numPr>
    </w:pPr>
  </w:style>
  <w:style w:type="paragraph" w:customStyle="1" w:styleId="Bullet2">
    <w:name w:val="Bullet 2"/>
    <w:basedOn w:val="Normal"/>
    <w:pPr>
      <w:numPr>
        <w:numId w:val="40"/>
      </w:numPr>
    </w:pPr>
  </w:style>
  <w:style w:type="paragraph" w:customStyle="1" w:styleId="Bullet3">
    <w:name w:val="Bullet 3"/>
    <w:basedOn w:val="Normal"/>
    <w:pPr>
      <w:numPr>
        <w:numId w:val="41"/>
      </w:numPr>
    </w:pPr>
  </w:style>
  <w:style w:type="paragraph" w:customStyle="1" w:styleId="Bullet4">
    <w:name w:val="Bullet 4"/>
    <w:basedOn w:val="Normal"/>
    <w:pPr>
      <w:numPr>
        <w:numId w:val="4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953">
      <w:bodyDiv w:val="1"/>
      <w:marLeft w:val="0"/>
      <w:marRight w:val="0"/>
      <w:marTop w:val="0"/>
      <w:marBottom w:val="0"/>
      <w:divBdr>
        <w:top w:val="none" w:sz="0" w:space="0" w:color="auto"/>
        <w:left w:val="none" w:sz="0" w:space="0" w:color="auto"/>
        <w:bottom w:val="none" w:sz="0" w:space="0" w:color="auto"/>
        <w:right w:val="none" w:sz="0" w:space="0" w:color="auto"/>
      </w:divBdr>
    </w:div>
    <w:div w:id="293368241">
      <w:bodyDiv w:val="1"/>
      <w:marLeft w:val="0"/>
      <w:marRight w:val="0"/>
      <w:marTop w:val="0"/>
      <w:marBottom w:val="0"/>
      <w:divBdr>
        <w:top w:val="none" w:sz="0" w:space="0" w:color="auto"/>
        <w:left w:val="none" w:sz="0" w:space="0" w:color="auto"/>
        <w:bottom w:val="none" w:sz="0" w:space="0" w:color="auto"/>
        <w:right w:val="none" w:sz="0" w:space="0" w:color="auto"/>
      </w:divBdr>
    </w:div>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 w:id="1204438961">
      <w:bodyDiv w:val="1"/>
      <w:marLeft w:val="0"/>
      <w:marRight w:val="0"/>
      <w:marTop w:val="0"/>
      <w:marBottom w:val="0"/>
      <w:divBdr>
        <w:top w:val="none" w:sz="0" w:space="0" w:color="auto"/>
        <w:left w:val="none" w:sz="0" w:space="0" w:color="auto"/>
        <w:bottom w:val="none" w:sz="0" w:space="0" w:color="auto"/>
        <w:right w:val="none" w:sz="0" w:space="0" w:color="auto"/>
      </w:divBdr>
      <w:divsChild>
        <w:div w:id="912544142">
          <w:marLeft w:val="0"/>
          <w:marRight w:val="0"/>
          <w:marTop w:val="0"/>
          <w:marBottom w:val="0"/>
          <w:divBdr>
            <w:top w:val="none" w:sz="0" w:space="0" w:color="auto"/>
            <w:left w:val="none" w:sz="0" w:space="0" w:color="auto"/>
            <w:bottom w:val="none" w:sz="0" w:space="0" w:color="auto"/>
            <w:right w:val="none" w:sz="0" w:space="0" w:color="auto"/>
          </w:divBdr>
          <w:divsChild>
            <w:div w:id="1370688718">
              <w:marLeft w:val="0"/>
              <w:marRight w:val="0"/>
              <w:marTop w:val="0"/>
              <w:marBottom w:val="0"/>
              <w:divBdr>
                <w:top w:val="none" w:sz="0" w:space="0" w:color="auto"/>
                <w:left w:val="none" w:sz="0" w:space="0" w:color="auto"/>
                <w:bottom w:val="none" w:sz="0" w:space="0" w:color="auto"/>
                <w:right w:val="none" w:sz="0" w:space="0" w:color="auto"/>
              </w:divBdr>
              <w:divsChild>
                <w:div w:id="1549755144">
                  <w:marLeft w:val="0"/>
                  <w:marRight w:val="0"/>
                  <w:marTop w:val="0"/>
                  <w:marBottom w:val="0"/>
                  <w:divBdr>
                    <w:top w:val="none" w:sz="0" w:space="0" w:color="auto"/>
                    <w:left w:val="none" w:sz="0" w:space="0" w:color="auto"/>
                    <w:bottom w:val="none" w:sz="0" w:space="0" w:color="auto"/>
                    <w:right w:val="none" w:sz="0" w:space="0" w:color="auto"/>
                  </w:divBdr>
                  <w:divsChild>
                    <w:div w:id="1016152875">
                      <w:marLeft w:val="-150"/>
                      <w:marRight w:val="-150"/>
                      <w:marTop w:val="0"/>
                      <w:marBottom w:val="0"/>
                      <w:divBdr>
                        <w:top w:val="none" w:sz="0" w:space="0" w:color="auto"/>
                        <w:left w:val="none" w:sz="0" w:space="0" w:color="auto"/>
                        <w:bottom w:val="none" w:sz="0" w:space="0" w:color="auto"/>
                        <w:right w:val="none" w:sz="0" w:space="0" w:color="auto"/>
                      </w:divBdr>
                      <w:divsChild>
                        <w:div w:id="1481651345">
                          <w:marLeft w:val="0"/>
                          <w:marRight w:val="0"/>
                          <w:marTop w:val="0"/>
                          <w:marBottom w:val="0"/>
                          <w:divBdr>
                            <w:top w:val="none" w:sz="0" w:space="0" w:color="auto"/>
                            <w:left w:val="none" w:sz="0" w:space="0" w:color="auto"/>
                            <w:bottom w:val="none" w:sz="0" w:space="0" w:color="auto"/>
                            <w:right w:val="none" w:sz="0" w:space="0" w:color="auto"/>
                          </w:divBdr>
                          <w:divsChild>
                            <w:div w:id="887644923">
                              <w:marLeft w:val="0"/>
                              <w:marRight w:val="0"/>
                              <w:marTop w:val="0"/>
                              <w:marBottom w:val="0"/>
                              <w:divBdr>
                                <w:top w:val="none" w:sz="0" w:space="0" w:color="auto"/>
                                <w:left w:val="none" w:sz="0" w:space="0" w:color="auto"/>
                                <w:bottom w:val="none" w:sz="0" w:space="0" w:color="auto"/>
                                <w:right w:val="none" w:sz="0" w:space="0" w:color="auto"/>
                              </w:divBdr>
                              <w:divsChild>
                                <w:div w:id="668337294">
                                  <w:marLeft w:val="0"/>
                                  <w:marRight w:val="0"/>
                                  <w:marTop w:val="0"/>
                                  <w:marBottom w:val="300"/>
                                  <w:divBdr>
                                    <w:top w:val="none" w:sz="0" w:space="0" w:color="auto"/>
                                    <w:left w:val="none" w:sz="0" w:space="0" w:color="auto"/>
                                    <w:bottom w:val="none" w:sz="0" w:space="0" w:color="auto"/>
                                    <w:right w:val="none" w:sz="0" w:space="0" w:color="auto"/>
                                  </w:divBdr>
                                  <w:divsChild>
                                    <w:div w:id="2065831939">
                                      <w:marLeft w:val="0"/>
                                      <w:marRight w:val="0"/>
                                      <w:marTop w:val="0"/>
                                      <w:marBottom w:val="0"/>
                                      <w:divBdr>
                                        <w:top w:val="none" w:sz="0" w:space="0" w:color="auto"/>
                                        <w:left w:val="none" w:sz="0" w:space="0" w:color="auto"/>
                                        <w:bottom w:val="none" w:sz="0" w:space="0" w:color="auto"/>
                                        <w:right w:val="none" w:sz="0" w:space="0" w:color="auto"/>
                                      </w:divBdr>
                                      <w:divsChild>
                                        <w:div w:id="832111539">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5141">
      <w:bodyDiv w:val="1"/>
      <w:marLeft w:val="0"/>
      <w:marRight w:val="0"/>
      <w:marTop w:val="0"/>
      <w:marBottom w:val="0"/>
      <w:divBdr>
        <w:top w:val="none" w:sz="0" w:space="0" w:color="auto"/>
        <w:left w:val="none" w:sz="0" w:space="0" w:color="auto"/>
        <w:bottom w:val="none" w:sz="0" w:space="0" w:color="auto"/>
        <w:right w:val="none" w:sz="0" w:space="0" w:color="auto"/>
      </w:divBdr>
    </w:div>
    <w:div w:id="17631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A7CD-ED9A-453E-BEA6-32DC4729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3344</Words>
  <Characters>22744</Characters>
  <Application>Microsoft Office Word</Application>
  <DocSecurity>0</DocSecurity>
  <Lines>1516</Lines>
  <Paragraphs>532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2019-01-15T13:07:00Z</cp:lastPrinted>
  <dcterms:created xsi:type="dcterms:W3CDTF">2019-01-30T13:51:00Z</dcterms:created>
  <dcterms:modified xsi:type="dcterms:W3CDTF">2019-02-01T08:31:00Z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