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4D86C6D-0295-4850-AB25-EB4F7E128614" style="width:450.8pt;height:320.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before="360" w:after="0" w:line="240" w:lineRule="auto"/>
        <w:jc w:val="center"/>
        <w:rPr>
          <w:rFonts w:ascii="Times New Roman" w:hAnsi="Times New Roman"/>
          <w:b/>
          <w:noProof/>
          <w:sz w:val="24"/>
        </w:rPr>
      </w:pPr>
      <w:bookmarkStart w:id="1" w:name="_GoBack"/>
      <w:bookmarkEnd w:id="1"/>
      <w:r>
        <w:rPr>
          <w:rFonts w:ascii="Times New Roman" w:hAnsi="Times New Roman"/>
          <w:b/>
          <w:noProof/>
          <w:sz w:val="24"/>
        </w:rPr>
        <w:lastRenderedPageBreak/>
        <w:t>KOMISJONI ARUANNE EUROOPA PARLAMENDILE JA NÕUKOGULE</w:t>
      </w:r>
    </w:p>
    <w:p>
      <w:pPr>
        <w:spacing w:before="360" w:after="360" w:line="240" w:lineRule="auto"/>
        <w:jc w:val="center"/>
        <w:rPr>
          <w:rFonts w:ascii="Times New Roman" w:hAnsi="Times New Roman"/>
          <w:b/>
          <w:noProof/>
          <w:sz w:val="24"/>
        </w:rPr>
      </w:pPr>
      <w:r>
        <w:rPr>
          <w:rFonts w:ascii="Times New Roman" w:hAnsi="Times New Roman"/>
          <w:b/>
          <w:noProof/>
          <w:sz w:val="24"/>
        </w:rPr>
        <w:t>komisjonile Euroopa Parlamendi ja nõukogu 23. juuli 2014. aasta direktiiviga 2014/90/EL (milles käsitletakse laevavarustust) antud delegeeritud õigusaktide vastuvõtmise õiguse kasutamise kohta</w:t>
      </w:r>
    </w:p>
    <w:p>
      <w:pPr>
        <w:tabs>
          <w:tab w:val="left" w:pos="2070"/>
        </w:tabs>
        <w:spacing w:after="0" w:line="240" w:lineRule="auto"/>
        <w:rPr>
          <w:rFonts w:ascii="Times New Roman" w:eastAsia="Times New Roman" w:hAnsi="Times New Roman"/>
          <w:b/>
          <w:bCs/>
          <w:smallCaps/>
          <w:noProof/>
          <w:sz w:val="24"/>
          <w:szCs w:val="28"/>
        </w:rPr>
      </w:pPr>
      <w:r>
        <w:rPr>
          <w:noProof/>
        </w:rPr>
        <w:tab/>
      </w:r>
    </w:p>
    <w:p>
      <w:pPr>
        <w:keepNext/>
        <w:numPr>
          <w:ilvl w:val="0"/>
          <w:numId w:val="1"/>
        </w:numPr>
        <w:shd w:val="clear" w:color="auto" w:fill="FFFFFF"/>
        <w:spacing w:before="360" w:after="120" w:line="240" w:lineRule="auto"/>
        <w:jc w:val="both"/>
        <w:outlineLvl w:val="0"/>
        <w:rPr>
          <w:rFonts w:ascii="Times New Roman" w:hAnsi="Times New Roman"/>
          <w:b/>
          <w:bCs/>
          <w:smallCaps/>
          <w:noProof/>
          <w:sz w:val="24"/>
          <w:szCs w:val="28"/>
        </w:rPr>
      </w:pPr>
      <w:r>
        <w:rPr>
          <w:rFonts w:ascii="Times New Roman" w:hAnsi="Times New Roman"/>
          <w:b/>
          <w:smallCaps/>
          <w:noProof/>
          <w:sz w:val="24"/>
        </w:rPr>
        <w:t>Taust</w:t>
      </w:r>
    </w:p>
    <w:p>
      <w:pPr>
        <w:spacing w:before="120" w:after="120" w:line="240" w:lineRule="auto"/>
        <w:ind w:left="850"/>
        <w:jc w:val="both"/>
        <w:rPr>
          <w:rFonts w:ascii="Times New Roman" w:hAnsi="Times New Roman"/>
          <w:noProof/>
          <w:sz w:val="24"/>
        </w:rPr>
      </w:pPr>
      <w:r>
        <w:rPr>
          <w:rFonts w:ascii="Times New Roman" w:hAnsi="Times New Roman"/>
          <w:noProof/>
          <w:sz w:val="24"/>
        </w:rPr>
        <w:t>Euroopa Parlamendi ja nõukogu 23. juuli 2014. aasta direktiivi 2014/90/EL (milles käsitletakse laevavarustust)</w:t>
      </w:r>
      <w:r>
        <w:rPr>
          <w:rStyle w:val="FootnoteReference"/>
          <w:noProof/>
        </w:rPr>
        <w:footnoteReference w:id="1"/>
      </w:r>
      <w:r>
        <w:rPr>
          <w:rFonts w:ascii="Times New Roman" w:hAnsi="Times New Roman"/>
          <w:noProof/>
          <w:sz w:val="24"/>
        </w:rPr>
        <w:t xml:space="preserve"> artikli 37 lõikega 1 antakse komisjonile õigus võtta vastu delegeeritud õigusakte vastavalt selles artiklis sätestatud tingimustele. Direktiivi artikli 37 lõike 2 alusel antakse õigus võtta vastu delegeeritud õigusakte viieks aastaks alates 17. septembrist 2014. See ajavahemik lõpeb 17. septembril 2019. Komisjonil on artikli 37 kohaselt õigus võtta vastu direktiivi artiklites 8, 11, 27 ja 36 osutatud delegeeritud õigusakte.</w:t>
      </w:r>
    </w:p>
    <w:p>
      <w:pPr>
        <w:spacing w:before="120" w:after="120" w:line="240" w:lineRule="auto"/>
        <w:ind w:left="850"/>
        <w:jc w:val="both"/>
        <w:rPr>
          <w:rFonts w:ascii="Times New Roman" w:hAnsi="Times New Roman"/>
          <w:noProof/>
          <w:sz w:val="24"/>
        </w:rPr>
      </w:pPr>
      <w:r>
        <w:rPr>
          <w:rFonts w:ascii="Times New Roman" w:hAnsi="Times New Roman"/>
          <w:noProof/>
          <w:sz w:val="24"/>
        </w:rPr>
        <w:t>Need delegeeritud õigusaktid võivad käsitleda järgmist:</w:t>
      </w:r>
    </w:p>
    <w:p>
      <w:pPr>
        <w:numPr>
          <w:ilvl w:val="0"/>
          <w:numId w:val="4"/>
        </w:numPr>
        <w:spacing w:before="120" w:after="120" w:line="240" w:lineRule="auto"/>
        <w:contextualSpacing/>
        <w:jc w:val="both"/>
        <w:rPr>
          <w:rFonts w:ascii="Times New Roman" w:hAnsi="Times New Roman"/>
          <w:noProof/>
          <w:sz w:val="24"/>
        </w:rPr>
      </w:pPr>
      <w:r>
        <w:rPr>
          <w:rFonts w:ascii="Times New Roman" w:hAnsi="Times New Roman"/>
          <w:noProof/>
          <w:sz w:val="24"/>
        </w:rPr>
        <w:t xml:space="preserve">Artikkel 8: ühtlustatud tehniliste kirjelduste ja katsestandardite vastuvõtmine </w:t>
      </w:r>
    </w:p>
    <w:p>
      <w:pPr>
        <w:numPr>
          <w:ilvl w:val="5"/>
          <w:numId w:val="5"/>
        </w:numPr>
        <w:spacing w:before="120" w:after="120" w:line="240" w:lineRule="auto"/>
        <w:contextualSpacing/>
        <w:jc w:val="both"/>
        <w:rPr>
          <w:rFonts w:ascii="Times New Roman" w:hAnsi="Times New Roman"/>
          <w:noProof/>
          <w:sz w:val="24"/>
        </w:rPr>
      </w:pPr>
      <w:r>
        <w:rPr>
          <w:rFonts w:ascii="Times New Roman" w:hAnsi="Times New Roman"/>
          <w:noProof/>
          <w:sz w:val="24"/>
        </w:rPr>
        <w:t>rahvusvahelise standardi puudumisel ning</w:t>
      </w:r>
    </w:p>
    <w:p>
      <w:pPr>
        <w:numPr>
          <w:ilvl w:val="5"/>
          <w:numId w:val="5"/>
        </w:numPr>
        <w:spacing w:before="120" w:after="120" w:line="240" w:lineRule="auto"/>
        <w:contextualSpacing/>
        <w:jc w:val="both"/>
        <w:rPr>
          <w:rFonts w:ascii="Times New Roman" w:hAnsi="Times New Roman"/>
          <w:noProof/>
          <w:sz w:val="24"/>
        </w:rPr>
      </w:pPr>
      <w:r>
        <w:rPr>
          <w:rFonts w:ascii="Times New Roman" w:hAnsi="Times New Roman"/>
          <w:noProof/>
          <w:sz w:val="24"/>
        </w:rPr>
        <w:t>olemasoleva standardi tõsiste puudujääkide või kõrvalekallete tõttu</w:t>
      </w:r>
    </w:p>
    <w:p>
      <w:pPr>
        <w:spacing w:before="120" w:after="120" w:line="240" w:lineRule="auto"/>
        <w:ind w:left="1571"/>
        <w:contextualSpacing/>
        <w:jc w:val="both"/>
        <w:rPr>
          <w:rFonts w:ascii="Times New Roman" w:hAnsi="Times New Roman"/>
          <w:noProof/>
          <w:sz w:val="24"/>
        </w:rPr>
      </w:pPr>
      <w:r>
        <w:rPr>
          <w:rFonts w:ascii="Times New Roman" w:hAnsi="Times New Roman"/>
          <w:noProof/>
          <w:sz w:val="24"/>
        </w:rPr>
        <w:t>laevavarustusse kuuluvate esemete puhul erandlikel asjaoludel, kui see on asjakohase analüüsiga nõuetekohaselt põhjendatud ning kui on vaja kõrvaldada tõsine ja lubamatu oht meresõiduohutusele, tervisele või keskkonnale, arvestades IMO tasemel käimasolevat tööd.</w:t>
      </w:r>
    </w:p>
    <w:p>
      <w:pPr>
        <w:numPr>
          <w:ilvl w:val="0"/>
          <w:numId w:val="4"/>
        </w:numPr>
        <w:spacing w:before="120" w:after="120" w:line="240" w:lineRule="auto"/>
        <w:ind w:left="1571"/>
        <w:contextualSpacing/>
        <w:jc w:val="both"/>
        <w:rPr>
          <w:rFonts w:ascii="Times New Roman" w:hAnsi="Times New Roman"/>
          <w:noProof/>
          <w:sz w:val="24"/>
        </w:rPr>
      </w:pPr>
      <w:r>
        <w:rPr>
          <w:rFonts w:ascii="Times New Roman" w:hAnsi="Times New Roman"/>
          <w:noProof/>
          <w:sz w:val="24"/>
        </w:rPr>
        <w:t>Artikkel 11: nende konkreetsete laevavarustuse esemete kindlaksmääramine, mille puhul võiks kasu olla elektroonilisest märgisest.</w:t>
      </w:r>
    </w:p>
    <w:p>
      <w:pPr>
        <w:numPr>
          <w:ilvl w:val="0"/>
          <w:numId w:val="4"/>
        </w:numPr>
        <w:spacing w:before="120" w:after="120" w:line="240" w:lineRule="auto"/>
        <w:ind w:left="1571"/>
        <w:contextualSpacing/>
        <w:jc w:val="both"/>
        <w:rPr>
          <w:rFonts w:ascii="Times New Roman" w:hAnsi="Times New Roman"/>
          <w:noProof/>
          <w:sz w:val="24"/>
        </w:rPr>
      </w:pPr>
      <w:r>
        <w:rPr>
          <w:rFonts w:ascii="Times New Roman" w:hAnsi="Times New Roman"/>
          <w:noProof/>
          <w:sz w:val="24"/>
        </w:rPr>
        <w:t>Artikkel 27: ajutised ühtlustatud tehnilised kirjeldused ja katsestandardid konkreetsele laevavarustusele, mille suhtes kohaldatakse ELi kaitsemeetmete menetlust, kui laevavarustuse mittevastavuse põhjuseks on katsestandardite puudused.</w:t>
      </w:r>
    </w:p>
    <w:p>
      <w:pPr>
        <w:numPr>
          <w:ilvl w:val="0"/>
          <w:numId w:val="4"/>
        </w:numPr>
        <w:spacing w:before="120" w:after="120" w:line="240" w:lineRule="auto"/>
        <w:ind w:left="1571"/>
        <w:contextualSpacing/>
        <w:jc w:val="both"/>
        <w:rPr>
          <w:rFonts w:ascii="Times New Roman" w:hAnsi="Times New Roman"/>
          <w:noProof/>
          <w:sz w:val="24"/>
        </w:rPr>
      </w:pPr>
      <w:r>
        <w:rPr>
          <w:rFonts w:ascii="Times New Roman" w:hAnsi="Times New Roman"/>
          <w:noProof/>
          <w:sz w:val="24"/>
        </w:rPr>
        <w:t>Artikkel 36: ajakohastatud viited III lisas esitatud standarditele, mis puudutavad nõudeid, mida peavad täitma vastavushindamisasutused, et neist saaks teavitatud asutused (praegu EN ISO/IEC 17065: 2012 ja EN ISO/IEC 17025/2005).</w:t>
      </w:r>
    </w:p>
    <w:p>
      <w:pPr>
        <w:spacing w:before="120" w:after="120" w:line="240" w:lineRule="auto"/>
        <w:ind w:left="850"/>
        <w:jc w:val="both"/>
        <w:rPr>
          <w:rFonts w:ascii="Times New Roman" w:hAnsi="Times New Roman"/>
          <w:noProof/>
          <w:sz w:val="24"/>
        </w:rPr>
      </w:pPr>
    </w:p>
    <w:p>
      <w:pPr>
        <w:spacing w:before="120" w:after="120" w:line="240" w:lineRule="auto"/>
        <w:ind w:left="850"/>
        <w:jc w:val="both"/>
        <w:rPr>
          <w:rFonts w:ascii="Times New Roman" w:hAnsi="Times New Roman"/>
          <w:noProof/>
          <w:sz w:val="24"/>
        </w:rPr>
      </w:pPr>
      <w:r>
        <w:rPr>
          <w:rFonts w:ascii="Times New Roman" w:hAnsi="Times New Roman"/>
          <w:noProof/>
          <w:sz w:val="24"/>
        </w:rPr>
        <w:t xml:space="preserve">Vastavalt direktiivi 2014/90/EL artikli 37 lõikele 2 peab komisjon esitama delegeeritud volituste kohta aruande hiljemalt üheksa kuud enne viieaastase tähtaja möödumist. Volituste delegeerimist pikendatakse automaatselt samaks ajavahemikuks, välja arvatud juhul, kui Euroopa Parlament või nõukogu esitab selle suhtes vastuväite hiljemalt kolm kuud enne iga ajavahemiku lõppemist. </w:t>
      </w:r>
    </w:p>
    <w:p>
      <w:pPr>
        <w:keepNext/>
        <w:numPr>
          <w:ilvl w:val="0"/>
          <w:numId w:val="1"/>
        </w:numPr>
        <w:shd w:val="clear" w:color="auto" w:fill="FFFFFF"/>
        <w:spacing w:before="360" w:after="120" w:line="240" w:lineRule="auto"/>
        <w:jc w:val="both"/>
        <w:outlineLvl w:val="0"/>
        <w:rPr>
          <w:rFonts w:ascii="Times New Roman" w:eastAsia="Times New Roman" w:hAnsi="Times New Roman"/>
          <w:b/>
          <w:bCs/>
          <w:smallCaps/>
          <w:noProof/>
          <w:sz w:val="24"/>
          <w:szCs w:val="28"/>
        </w:rPr>
      </w:pPr>
      <w:r>
        <w:rPr>
          <w:rFonts w:ascii="Times New Roman" w:hAnsi="Times New Roman"/>
          <w:b/>
          <w:smallCaps/>
          <w:noProof/>
          <w:sz w:val="24"/>
        </w:rPr>
        <w:lastRenderedPageBreak/>
        <w:t xml:space="preserve">Euroopa Parlamendi ja nõukogu 23. juuli 2014. aasta direktiivi 2014/90/EL (milles käsitletakse laevavarustust) alusel delegeeritud volituste kasutamine komisjoni poolt </w:t>
      </w:r>
    </w:p>
    <w:p>
      <w:pPr>
        <w:spacing w:before="120" w:after="120" w:line="240" w:lineRule="auto"/>
        <w:ind w:left="850"/>
        <w:jc w:val="both"/>
        <w:rPr>
          <w:rFonts w:ascii="Times New Roman" w:hAnsi="Times New Roman"/>
          <w:noProof/>
          <w:sz w:val="24"/>
        </w:rPr>
      </w:pPr>
      <w:r>
        <w:rPr>
          <w:rFonts w:ascii="Times New Roman" w:hAnsi="Times New Roman"/>
          <w:noProof/>
          <w:sz w:val="24"/>
        </w:rPr>
        <w:t>Komisjon on kasutanud talle direktiiviga 2014/90/EL antud delegeeritud õigusaktide vastuvõtmise õigust aruandeperioodi jooksul üks kord.</w:t>
      </w:r>
    </w:p>
    <w:p>
      <w:pPr>
        <w:spacing w:before="120" w:after="120" w:line="240" w:lineRule="auto"/>
        <w:ind w:left="850"/>
        <w:jc w:val="both"/>
        <w:rPr>
          <w:rFonts w:ascii="Times New Roman" w:hAnsi="Times New Roman"/>
          <w:noProof/>
          <w:sz w:val="24"/>
        </w:rPr>
      </w:pPr>
      <w:r>
        <w:rPr>
          <w:rFonts w:ascii="Times New Roman" w:hAnsi="Times New Roman"/>
          <w:noProof/>
          <w:sz w:val="24"/>
        </w:rPr>
        <w:t>Vastu võetud õigusakt on komisjoni 9. jaanuari 2018. aasta delegeeritud määrus (EL) 2018/414, millega täiendatakse Euroopa Parlamendi ja nõukogu direktiivi 2014/90/EL seoses selliste laevavarustusse kuuluvate esemete kindlaksmääramisega, mida võiks elektrooniliselt märgistada.</w:t>
      </w:r>
    </w:p>
    <w:p>
      <w:pPr>
        <w:spacing w:before="120" w:after="120" w:line="240" w:lineRule="auto"/>
        <w:ind w:left="850"/>
        <w:jc w:val="both"/>
        <w:rPr>
          <w:rFonts w:ascii="Times New Roman" w:hAnsi="Times New Roman"/>
          <w:noProof/>
          <w:sz w:val="24"/>
        </w:rPr>
      </w:pPr>
      <w:r>
        <w:rPr>
          <w:rFonts w:ascii="Times New Roman" w:hAnsi="Times New Roman"/>
          <w:noProof/>
          <w:sz w:val="24"/>
        </w:rPr>
        <w:t>See akt võeti vastu kooskõlas laevavarustuse direktiivi artikliga 11. Sellise laevavarustuse kindlaksmääramine, mida võiks elektrooniliselt märgistada, oli vajalik selleks, et võimaldada elektrooniliste märgiste vabatahtlikku kasutamist, lihtsustada turujärelevalvet ja vältida laevavarustuse esemete võltsimist.</w:t>
      </w:r>
    </w:p>
    <w:p>
      <w:pPr>
        <w:keepNext/>
        <w:numPr>
          <w:ilvl w:val="0"/>
          <w:numId w:val="1"/>
        </w:numPr>
        <w:shd w:val="clear" w:color="auto" w:fill="FFFFFF"/>
        <w:spacing w:before="360" w:after="120" w:line="240" w:lineRule="auto"/>
        <w:jc w:val="both"/>
        <w:outlineLvl w:val="0"/>
        <w:rPr>
          <w:rFonts w:ascii="Times New Roman" w:hAnsi="Times New Roman"/>
          <w:b/>
          <w:bCs/>
          <w:smallCaps/>
          <w:noProof/>
          <w:sz w:val="24"/>
          <w:szCs w:val="28"/>
        </w:rPr>
      </w:pPr>
      <w:r>
        <w:rPr>
          <w:rFonts w:ascii="Times New Roman" w:hAnsi="Times New Roman"/>
          <w:b/>
          <w:smallCaps/>
          <w:noProof/>
          <w:sz w:val="24"/>
        </w:rPr>
        <w:t>Järeldused</w:t>
      </w:r>
    </w:p>
    <w:p>
      <w:pPr>
        <w:spacing w:before="120" w:after="120" w:line="240" w:lineRule="auto"/>
        <w:ind w:left="850"/>
        <w:jc w:val="both"/>
        <w:rPr>
          <w:rFonts w:ascii="Times New Roman" w:hAnsi="Times New Roman"/>
          <w:noProof/>
          <w:sz w:val="24"/>
        </w:rPr>
      </w:pPr>
      <w:r>
        <w:rPr>
          <w:rFonts w:ascii="Times New Roman" w:hAnsi="Times New Roman"/>
          <w:noProof/>
          <w:sz w:val="24"/>
        </w:rPr>
        <w:t>Komisjon leiab, et volituste delegeerimist tuleks pikendada vajaduse tõttu täiendada või muuta direktiivi asjaomaseid sätteid vastavalt direktiivi reguleerimisalasse kuuluvate laevavarustuse esemete pidevalt muutuvale nimekirjale (artikkel 11), ajakohastatud rahvusvahelistele standarditele, mis on seotud nõuetega, mida peavad täitma vastavushindamisasutused (artikkel 36), ning selleks, et kõrvaldada vajadusel lühikese aja jooksul tõsine ja lubamatu oht meresõiduohutusele, tervisele või keskkonnale (artiklid 8 ja 27).</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rPr>
          <w:rFonts w:ascii="Times New Roman" w:hAnsi="Times New Roman"/>
        </w:rPr>
        <w:t>ELT L 257, 28.08.2014, lk 168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A47F3"/>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908675B"/>
    <w:multiLevelType w:val="hybridMultilevel"/>
    <w:tmpl w:val="B844B158"/>
    <w:lvl w:ilvl="0" w:tplc="08090001">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gnword-docGUID" w:val="{8486E9B6-35E5-48F1-8B60-DDDD15B0357B}"/>
    <w:docVar w:name="dgnword-eventsink" w:val="735117944"/>
    <w:docVar w:name="DocStatus" w:val="Green"/>
    <w:docVar w:name="LW_CORRIGENDUM" w:val="&lt;UNUSED&gt;"/>
    <w:docVar w:name="LW_COVERPAGE_EXISTS" w:val="True"/>
    <w:docVar w:name="LW_COVERPAGE_GUID" w:val="E4D86C6D-0295-4850-AB25-EB4F7E128614"/>
    <w:docVar w:name="LW_COVERPAGE_TYPE" w:val="1"/>
    <w:docVar w:name="LW_CROSSREFERENCE" w:val="&lt;UNUSED&gt;"/>
    <w:docVar w:name="LW_DocType" w:val="NORMAL"/>
    <w:docVar w:name="LW_EMISSION" w:val="1.2.2019"/>
    <w:docVar w:name="LW_EMISSION_ISODATE" w:val="2019-02-01"/>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komisjonile Euroopa Parlamendi ja nõukogu 23. juuli 2014. aasta direktiiviga 2014/90/EL (milles käsitletakse laevavarustust) antud delegeeritud õigusaktide vastuvõtmise õiguse kasutamise kohta&lt;/FMT&gt;"/>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et-E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pPr>
      <w:keepNext/>
      <w:tabs>
        <w:tab w:val="num" w:pos="850"/>
      </w:tabs>
      <w:spacing w:before="120" w:after="120" w:line="240" w:lineRule="auto"/>
      <w:ind w:left="850" w:hanging="850"/>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character" w:customStyle="1" w:styleId="Heading3Char">
    <w:name w:val="Heading 3 Char"/>
    <w:link w:val="Heading3"/>
    <w:uiPriority w:val="9"/>
    <w:rPr>
      <w:rFonts w:ascii="Cambria" w:eastAsia="Times New Roman" w:hAnsi="Cambria" w:cs="Times New Roman"/>
      <w:b/>
      <w:bCs/>
      <w:color w:val="4F81BD"/>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link w:val="FootnoteText"/>
    <w:uiPriority w:val="99"/>
    <w:semiHidden/>
    <w:rPr>
      <w:rFonts w:ascii="Calibri" w:hAnsi="Calibri"/>
      <w:sz w:val="20"/>
      <w:szCs w:val="20"/>
    </w:rPr>
  </w:style>
  <w:style w:type="character" w:customStyle="1" w:styleId="Heading4Char">
    <w:name w:val="Heading 4 Char"/>
    <w:link w:val="Heading4"/>
    <w:uiPriority w:val="9"/>
    <w:semiHidden/>
    <w:rPr>
      <w:rFonts w:ascii="Times New Roman" w:eastAsia="Times New Roman" w:hAnsi="Times New Roman" w:cs="Times New Roman"/>
      <w:bCs/>
      <w:iCs/>
      <w:sz w:val="24"/>
      <w:lang w:eastAsia="et-EE"/>
    </w:rPr>
  </w:style>
  <w:style w:type="character" w:styleId="FootnoteReference">
    <w:name w:val="footnote reference"/>
    <w:uiPriority w:val="99"/>
    <w:unhideWhenUsed/>
    <w:rPr>
      <w:shd w:val="clear" w:color="auto" w:fill="auto"/>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val="et-EE" w:eastAsia="et-E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val="et-EE" w:eastAsia="et-E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rFonts w:ascii="Calibri" w:hAnsi="Calibri"/>
      <w:sz w:val="20"/>
      <w:szCs w:val="20"/>
    </w:rPr>
  </w:style>
  <w:style w:type="character" w:styleId="CommentReference">
    <w:name w:val="annotation reference"/>
    <w:uiPriority w:val="99"/>
    <w:semiHidden/>
    <w:unhideWhenUsed/>
    <w:rPr>
      <w:sz w:val="16"/>
      <w:szCs w:val="16"/>
    </w:rPr>
  </w:style>
  <w:style w:type="paragraph" w:customStyle="1" w:styleId="Titreobjet">
    <w:name w:val="Titre objet"/>
    <w:basedOn w:val="Normal"/>
    <w:next w:val="Normal"/>
    <w:pPr>
      <w:spacing w:before="360" w:after="360" w:line="240" w:lineRule="auto"/>
      <w:jc w:val="center"/>
    </w:pPr>
    <w:rPr>
      <w:rFonts w:ascii="Times New Roman" w:hAnsi="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styleId="CommentSubject">
    <w:name w:val="annotation subject"/>
    <w:basedOn w:val="CommentText"/>
    <w:next w:val="CommentText"/>
    <w:link w:val="CommentSubjectChar"/>
    <w:uiPriority w:val="99"/>
    <w:semiHidden/>
    <w:unhideWhenUsed/>
    <w:pPr>
      <w:spacing w:line="276" w:lineRule="auto"/>
    </w:pPr>
    <w:rPr>
      <w:b/>
      <w:bCs/>
    </w:rPr>
  </w:style>
  <w:style w:type="character" w:customStyle="1" w:styleId="CommentSubjectChar">
    <w:name w:val="Comment Subject Char"/>
    <w:link w:val="CommentSubject"/>
    <w:uiPriority w:val="99"/>
    <w:semiHidden/>
    <w:rPr>
      <w:rFonts w:ascii="Calibri" w:hAnsi="Calibri"/>
      <w:b/>
      <w:bCs/>
      <w:sz w:val="20"/>
      <w:szCs w:val="20"/>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et-E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pPr>
      <w:keepNext/>
      <w:tabs>
        <w:tab w:val="num" w:pos="850"/>
      </w:tabs>
      <w:spacing w:before="120" w:after="120" w:line="240" w:lineRule="auto"/>
      <w:ind w:left="850" w:hanging="850"/>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character" w:customStyle="1" w:styleId="Heading3Char">
    <w:name w:val="Heading 3 Char"/>
    <w:link w:val="Heading3"/>
    <w:uiPriority w:val="9"/>
    <w:rPr>
      <w:rFonts w:ascii="Cambria" w:eastAsia="Times New Roman" w:hAnsi="Cambria" w:cs="Times New Roman"/>
      <w:b/>
      <w:bCs/>
      <w:color w:val="4F81BD"/>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link w:val="FootnoteText"/>
    <w:uiPriority w:val="99"/>
    <w:semiHidden/>
    <w:rPr>
      <w:rFonts w:ascii="Calibri" w:hAnsi="Calibri"/>
      <w:sz w:val="20"/>
      <w:szCs w:val="20"/>
    </w:rPr>
  </w:style>
  <w:style w:type="character" w:customStyle="1" w:styleId="Heading4Char">
    <w:name w:val="Heading 4 Char"/>
    <w:link w:val="Heading4"/>
    <w:uiPriority w:val="9"/>
    <w:semiHidden/>
    <w:rPr>
      <w:rFonts w:ascii="Times New Roman" w:eastAsia="Times New Roman" w:hAnsi="Times New Roman" w:cs="Times New Roman"/>
      <w:bCs/>
      <w:iCs/>
      <w:sz w:val="24"/>
      <w:lang w:eastAsia="et-EE"/>
    </w:rPr>
  </w:style>
  <w:style w:type="character" w:styleId="FootnoteReference">
    <w:name w:val="footnote reference"/>
    <w:uiPriority w:val="99"/>
    <w:unhideWhenUsed/>
    <w:rPr>
      <w:shd w:val="clear" w:color="auto" w:fill="auto"/>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val="et-EE" w:eastAsia="et-E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val="et-EE" w:eastAsia="et-E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rFonts w:ascii="Calibri" w:hAnsi="Calibri"/>
      <w:sz w:val="20"/>
      <w:szCs w:val="20"/>
    </w:rPr>
  </w:style>
  <w:style w:type="character" w:styleId="CommentReference">
    <w:name w:val="annotation reference"/>
    <w:uiPriority w:val="99"/>
    <w:semiHidden/>
    <w:unhideWhenUsed/>
    <w:rPr>
      <w:sz w:val="16"/>
      <w:szCs w:val="16"/>
    </w:rPr>
  </w:style>
  <w:style w:type="paragraph" w:customStyle="1" w:styleId="Titreobjet">
    <w:name w:val="Titre objet"/>
    <w:basedOn w:val="Normal"/>
    <w:next w:val="Normal"/>
    <w:pPr>
      <w:spacing w:before="360" w:after="360" w:line="240" w:lineRule="auto"/>
      <w:jc w:val="center"/>
    </w:pPr>
    <w:rPr>
      <w:rFonts w:ascii="Times New Roman" w:hAnsi="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styleId="CommentSubject">
    <w:name w:val="annotation subject"/>
    <w:basedOn w:val="CommentText"/>
    <w:next w:val="CommentText"/>
    <w:link w:val="CommentSubjectChar"/>
    <w:uiPriority w:val="99"/>
    <w:semiHidden/>
    <w:unhideWhenUsed/>
    <w:pPr>
      <w:spacing w:line="276" w:lineRule="auto"/>
    </w:pPr>
    <w:rPr>
      <w:b/>
      <w:bCs/>
    </w:rPr>
  </w:style>
  <w:style w:type="character" w:customStyle="1" w:styleId="CommentSubjectChar">
    <w:name w:val="Comment Subject Char"/>
    <w:link w:val="CommentSubject"/>
    <w:uiPriority w:val="99"/>
    <w:semiHidden/>
    <w:rPr>
      <w:rFonts w:ascii="Calibri" w:hAnsi="Calibri"/>
      <w:b/>
      <w:bCs/>
      <w:sz w:val="20"/>
      <w:szCs w:val="2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929">
      <w:bodyDiv w:val="1"/>
      <w:marLeft w:val="0"/>
      <w:marRight w:val="0"/>
      <w:marTop w:val="0"/>
      <w:marBottom w:val="0"/>
      <w:divBdr>
        <w:top w:val="none" w:sz="0" w:space="0" w:color="auto"/>
        <w:left w:val="none" w:sz="0" w:space="0" w:color="auto"/>
        <w:bottom w:val="none" w:sz="0" w:space="0" w:color="auto"/>
        <w:right w:val="none" w:sz="0" w:space="0" w:color="auto"/>
      </w:divBdr>
    </w:div>
    <w:div w:id="381027463">
      <w:bodyDiv w:val="1"/>
      <w:marLeft w:val="0"/>
      <w:marRight w:val="0"/>
      <w:marTop w:val="0"/>
      <w:marBottom w:val="0"/>
      <w:divBdr>
        <w:top w:val="none" w:sz="0" w:space="0" w:color="auto"/>
        <w:left w:val="none" w:sz="0" w:space="0" w:color="auto"/>
        <w:bottom w:val="none" w:sz="0" w:space="0" w:color="auto"/>
        <w:right w:val="none" w:sz="0" w:space="0" w:color="auto"/>
      </w:divBdr>
    </w:div>
    <w:div w:id="8243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4DB26-C923-412B-B7A1-3063E060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428</Words>
  <Characters>3287</Characters>
  <Application>Microsoft Office Word</Application>
  <DocSecurity>0</DocSecurity>
  <Lines>60</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2019-01-03T13:34:00Z</dcterms:created>
  <dcterms:modified xsi:type="dcterms:W3CDTF">2019-02-01T09:09:00Z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