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383" w:rsidRDefault="002705AE" w:rsidP="000262D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3505DE2-E389-424F-9C70-8FD6A69D6DA1" style="width:450.4pt;height:293.35pt">
            <v:imagedata r:id="rId8" o:title=""/>
          </v:shape>
        </w:pict>
      </w:r>
    </w:p>
    <w:bookmarkEnd w:id="0"/>
    <w:p w:rsidR="006A3383" w:rsidRDefault="006A3383">
      <w:pPr>
        <w:rPr>
          <w:noProof/>
        </w:rPr>
        <w:sectPr w:rsidR="006A3383" w:rsidSect="000262D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6A3383" w:rsidRDefault="000262D4">
      <w:pPr>
        <w:pStyle w:val="Title"/>
        <w:jc w:val="center"/>
        <w:rPr>
          <w:rFonts w:ascii="Times New Roman" w:hAnsi="Times New Roman" w:cs="Times New Roman"/>
          <w:b/>
          <w:noProof/>
          <w:sz w:val="24"/>
          <w:szCs w:val="24"/>
        </w:rPr>
      </w:pPr>
      <w:r>
        <w:rPr>
          <w:rFonts w:ascii="Times New Roman" w:hAnsi="Times New Roman"/>
          <w:b/>
          <w:noProof/>
          <w:sz w:val="24"/>
        </w:rPr>
        <w:lastRenderedPageBreak/>
        <w:t>Lejn Ewropa Sostenibbli sal-2030</w:t>
      </w:r>
    </w:p>
    <w:sdt>
      <w:sdtPr>
        <w:rPr>
          <w:rFonts w:asciiTheme="minorHAnsi" w:eastAsiaTheme="minorHAnsi" w:hAnsiTheme="minorHAnsi" w:cstheme="minorBidi"/>
          <w:b w:val="0"/>
          <w:bCs w:val="0"/>
          <w:noProof/>
          <w:color w:val="auto"/>
          <w:sz w:val="22"/>
          <w:szCs w:val="22"/>
        </w:rPr>
        <w:id w:val="-120153794"/>
        <w:docPartObj>
          <w:docPartGallery w:val="Table of Contents"/>
          <w:docPartUnique/>
        </w:docPartObj>
      </w:sdtPr>
      <w:sdtEndPr/>
      <w:sdtContent>
        <w:p w:rsidR="006A3383" w:rsidRDefault="000262D4">
          <w:pPr>
            <w:pStyle w:val="TOCHeading"/>
            <w:rPr>
              <w:rFonts w:ascii="Times New Roman" w:hAnsi="Times New Roman" w:cs="Times New Roman"/>
              <w:noProof/>
              <w:sz w:val="24"/>
              <w:szCs w:val="24"/>
            </w:rPr>
          </w:pPr>
          <w:r>
            <w:rPr>
              <w:rFonts w:ascii="Times New Roman" w:hAnsi="Times New Roman" w:cs="Times New Roman"/>
              <w:noProof/>
              <w:sz w:val="24"/>
              <w:szCs w:val="24"/>
            </w:rPr>
            <w:t>Contents</w:t>
          </w:r>
        </w:p>
        <w:p w:rsidR="006A3383" w:rsidRDefault="000262D4">
          <w:pPr>
            <w:pStyle w:val="TOC1"/>
            <w:rPr>
              <w:rFonts w:ascii="Times New Roman" w:eastAsiaTheme="minorEastAsia" w:hAnsi="Times New Roman" w:cs="Times New Roman"/>
              <w:noProof/>
              <w:sz w:val="24"/>
              <w:szCs w:val="24"/>
              <w:lang w:val="en-GB" w:eastAsia="en-GB" w:bidi="ar-SA"/>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"1-3" \h \z \u </w:instrText>
          </w:r>
          <w:r>
            <w:rPr>
              <w:rFonts w:ascii="Times New Roman" w:hAnsi="Times New Roman" w:cs="Times New Roman"/>
              <w:noProof/>
              <w:sz w:val="24"/>
              <w:szCs w:val="24"/>
            </w:rPr>
            <w:fldChar w:fldCharType="separate"/>
          </w:r>
          <w:hyperlink w:anchor="_Toc536619980" w:history="1">
            <w:r>
              <w:rPr>
                <w:rStyle w:val="Hyperlink"/>
                <w:rFonts w:ascii="Times New Roman" w:hAnsi="Times New Roman" w:cs="Times New Roman"/>
                <w:noProof/>
                <w:sz w:val="24"/>
                <w:szCs w:val="24"/>
              </w:rPr>
              <w:t>Daħla tal-Ewwel Viċi President Timmermans u tal-Viċi President Katainen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_Toc536619980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sidR="002705AE">
              <w:rPr>
                <w:rFonts w:ascii="Times New Roman" w:hAnsi="Times New Roman" w:cs="Times New Roman"/>
                <w:noProof/>
                <w:webHidden/>
                <w:sz w:val="24"/>
                <w:szCs w:val="24"/>
              </w:rPr>
              <w:t>2</w:t>
            </w:r>
            <w:r>
              <w:rPr>
                <w:rFonts w:ascii="Times New Roman" w:hAnsi="Times New Roman" w:cs="Times New Roman"/>
                <w:noProof/>
                <w:webHidden/>
                <w:sz w:val="24"/>
                <w:szCs w:val="24"/>
              </w:rPr>
              <w:fldChar w:fldCharType="end"/>
            </w:r>
          </w:hyperlink>
        </w:p>
        <w:p w:rsidR="006A3383" w:rsidRDefault="002705AE">
          <w:pPr>
            <w:pStyle w:val="TOC1"/>
            <w:rPr>
              <w:rFonts w:ascii="Times New Roman" w:eastAsiaTheme="minorEastAsia" w:hAnsi="Times New Roman" w:cs="Times New Roman"/>
              <w:noProof/>
              <w:sz w:val="24"/>
              <w:szCs w:val="24"/>
              <w:lang w:val="en-GB" w:eastAsia="en-GB" w:bidi="ar-SA"/>
            </w:rPr>
          </w:pPr>
          <w:hyperlink w:anchor="_Toc536619981" w:history="1">
            <w:r w:rsidR="000262D4">
              <w:rPr>
                <w:rStyle w:val="Hyperlink"/>
                <w:rFonts w:ascii="Times New Roman" w:eastAsia="Times New Roman" w:hAnsi="Times New Roman" w:cs="Times New Roman"/>
                <w:noProof/>
                <w:sz w:val="24"/>
                <w:szCs w:val="24"/>
              </w:rPr>
              <w:t>1</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Żvilupp sostenibbli li jtejjeb l-għajxien tan-nies: Il-vantaġġi kompetittivi tal-Ewropa</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_Toc536619981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0262D4">
              <w:rPr>
                <w:rFonts w:ascii="Times New Roman" w:hAnsi="Times New Roman" w:cs="Times New Roman"/>
                <w:noProof/>
                <w:webHidden/>
                <w:sz w:val="24"/>
                <w:szCs w:val="24"/>
              </w:rPr>
              <w:fldChar w:fldCharType="end"/>
            </w:r>
          </w:hyperlink>
        </w:p>
        <w:p w:rsidR="006A3383" w:rsidRDefault="002705AE">
          <w:pPr>
            <w:pStyle w:val="TOC1"/>
            <w:rPr>
              <w:rFonts w:ascii="Times New Roman" w:eastAsiaTheme="minorEastAsia" w:hAnsi="Times New Roman" w:cs="Times New Roman"/>
              <w:noProof/>
              <w:sz w:val="24"/>
              <w:szCs w:val="24"/>
              <w:lang w:val="en-GB" w:eastAsia="en-GB" w:bidi="ar-SA"/>
            </w:rPr>
          </w:pPr>
          <w:hyperlink w:anchor="_Toc536619982" w:history="1">
            <w:r w:rsidR="000262D4">
              <w:rPr>
                <w:rStyle w:val="Hyperlink"/>
                <w:rFonts w:ascii="Times New Roman" w:eastAsia="Times New Roman" w:hAnsi="Times New Roman" w:cs="Times New Roman"/>
                <w:noProof/>
                <w:sz w:val="24"/>
                <w:szCs w:val="24"/>
              </w:rPr>
              <w:t>2</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L-UE u l-isfidi globali li rridu nindirizzaw</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_Toc536619982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0262D4">
              <w:rPr>
                <w:rFonts w:ascii="Times New Roman" w:hAnsi="Times New Roman" w:cs="Times New Roman"/>
                <w:noProof/>
                <w:webHidden/>
                <w:sz w:val="24"/>
                <w:szCs w:val="24"/>
              </w:rPr>
              <w:fldChar w:fldCharType="end"/>
            </w:r>
          </w:hyperlink>
        </w:p>
        <w:p w:rsidR="006A3383" w:rsidRDefault="002705AE">
          <w:pPr>
            <w:pStyle w:val="TOC1"/>
            <w:rPr>
              <w:rFonts w:ascii="Times New Roman" w:eastAsiaTheme="minorEastAsia" w:hAnsi="Times New Roman" w:cs="Times New Roman"/>
              <w:noProof/>
              <w:sz w:val="24"/>
              <w:szCs w:val="24"/>
              <w:lang w:val="en-GB" w:eastAsia="en-GB" w:bidi="ar-SA"/>
            </w:rPr>
          </w:pPr>
          <w:hyperlink w:anchor="_Toc536619983" w:history="1">
            <w:r w:rsidR="000262D4">
              <w:rPr>
                <w:rStyle w:val="Hyperlink"/>
                <w:rFonts w:ascii="Times New Roman" w:eastAsia="Times New Roman" w:hAnsi="Times New Roman" w:cs="Times New Roman"/>
                <w:noProof/>
                <w:sz w:val="24"/>
                <w:szCs w:val="24"/>
              </w:rPr>
              <w:t>3</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Lejn Ewropa sostenibbli sal-2030</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_Toc536619983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0262D4">
              <w:rPr>
                <w:rFonts w:ascii="Times New Roman" w:hAnsi="Times New Roman" w:cs="Times New Roman"/>
                <w:noProof/>
                <w:webHidden/>
                <w:sz w:val="24"/>
                <w:szCs w:val="24"/>
              </w:rPr>
              <w:fldChar w:fldCharType="end"/>
            </w:r>
          </w:hyperlink>
        </w:p>
        <w:p w:rsidR="006A3383" w:rsidRDefault="002705AE">
          <w:pPr>
            <w:pStyle w:val="TOC2"/>
            <w:rPr>
              <w:rFonts w:ascii="Times New Roman" w:eastAsiaTheme="minorEastAsia" w:hAnsi="Times New Roman" w:cs="Times New Roman"/>
              <w:noProof/>
              <w:sz w:val="24"/>
              <w:szCs w:val="24"/>
              <w:lang w:val="en-GB" w:eastAsia="en-GB" w:bidi="ar-SA"/>
            </w:rPr>
          </w:pPr>
          <w:hyperlink w:anchor="_Toc536619984" w:history="1">
            <w:r w:rsidR="000262D4">
              <w:rPr>
                <w:rStyle w:val="Hyperlink"/>
                <w:rFonts w:ascii="Times New Roman" w:hAnsi="Times New Roman" w:cs="Times New Roman"/>
                <w:noProof/>
                <w:sz w:val="24"/>
                <w:szCs w:val="24"/>
              </w:rPr>
              <w:t>3.1</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 xml:space="preserve">Fondazzjonijiet politiċi </w:t>
            </w:r>
            <w:bookmarkStart w:id="1" w:name="_GoBack"/>
            <w:bookmarkEnd w:id="1"/>
            <w:r w:rsidR="000262D4">
              <w:rPr>
                <w:rStyle w:val="Hyperlink"/>
                <w:rFonts w:ascii="Times New Roman" w:hAnsi="Times New Roman" w:cs="Times New Roman"/>
                <w:noProof/>
                <w:sz w:val="24"/>
                <w:szCs w:val="24"/>
              </w:rPr>
              <w:t>għal futur sostenibbli</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_Toc536619984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85" w:history="1">
            <w:r w:rsidR="000262D4">
              <w:rPr>
                <w:rStyle w:val="Hyperlink"/>
                <w:rFonts w:ascii="Times New Roman" w:hAnsi="Times New Roman" w:cs="Times New Roman"/>
                <w:noProof/>
                <w:sz w:val="24"/>
                <w:szCs w:val="24"/>
              </w:rPr>
              <w:t>3.1.1</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Minn ekonomija lineari għal ekonomija ċirkolari</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_Toc536619985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86" w:history="1">
            <w:r w:rsidR="000262D4">
              <w:rPr>
                <w:rStyle w:val="Hyperlink"/>
                <w:rFonts w:ascii="Times New Roman" w:hAnsi="Times New Roman" w:cs="Times New Roman"/>
                <w:noProof/>
                <w:sz w:val="24"/>
                <w:szCs w:val="24"/>
              </w:rPr>
              <w:t>3.1.2</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Is-sostenibbiltà mill-għalqa sal-platt</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_Toc536619986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87" w:history="1">
            <w:r w:rsidR="000262D4">
              <w:rPr>
                <w:rStyle w:val="Hyperlink"/>
                <w:rFonts w:ascii="Times New Roman" w:hAnsi="Times New Roman" w:cs="Times New Roman"/>
                <w:noProof/>
                <w:sz w:val="24"/>
                <w:szCs w:val="24"/>
              </w:rPr>
              <w:t>3.1.3</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Enerġija, bini u mobilità għall-futur</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_Toc536619987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88" w:history="1">
            <w:r w:rsidR="000262D4">
              <w:rPr>
                <w:rStyle w:val="Hyperlink"/>
                <w:rFonts w:ascii="Times New Roman" w:hAnsi="Times New Roman" w:cs="Times New Roman"/>
                <w:noProof/>
                <w:sz w:val="24"/>
                <w:szCs w:val="24"/>
              </w:rPr>
              <w:t>3.1.4</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Tiġi żgurata tranżizzjoni soċjalment ġusta</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_Toc536619988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0262D4">
              <w:rPr>
                <w:rFonts w:ascii="Times New Roman" w:hAnsi="Times New Roman" w:cs="Times New Roman"/>
                <w:noProof/>
                <w:webHidden/>
                <w:sz w:val="24"/>
                <w:szCs w:val="24"/>
              </w:rPr>
              <w:fldChar w:fldCharType="end"/>
            </w:r>
          </w:hyperlink>
        </w:p>
        <w:p w:rsidR="006A3383" w:rsidRDefault="002705AE">
          <w:pPr>
            <w:pStyle w:val="TOC2"/>
            <w:rPr>
              <w:rFonts w:ascii="Times New Roman" w:eastAsiaTheme="minorEastAsia" w:hAnsi="Times New Roman" w:cs="Times New Roman"/>
              <w:noProof/>
              <w:sz w:val="24"/>
              <w:szCs w:val="24"/>
              <w:lang w:val="en-GB" w:eastAsia="en-GB" w:bidi="ar-SA"/>
            </w:rPr>
          </w:pPr>
          <w:hyperlink w:anchor="_Toc536619989" w:history="1">
            <w:r w:rsidR="000262D4">
              <w:rPr>
                <w:rStyle w:val="Hyperlink"/>
                <w:rFonts w:ascii="Times New Roman" w:hAnsi="Times New Roman" w:cs="Times New Roman"/>
                <w:noProof/>
                <w:sz w:val="24"/>
                <w:szCs w:val="24"/>
              </w:rPr>
              <w:t>3.2</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Faċilitaturi orizzontali għat-tranżizzjoni lejn is-sostenibbiltà</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_Toc536619989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90" w:history="1">
            <w:r w:rsidR="000262D4">
              <w:rPr>
                <w:rStyle w:val="Hyperlink"/>
                <w:rFonts w:ascii="Times New Roman" w:hAnsi="Times New Roman" w:cs="Times New Roman"/>
                <w:noProof/>
                <w:sz w:val="24"/>
                <w:szCs w:val="24"/>
              </w:rPr>
              <w:t>3.2.1</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L-edukazzjoni, ix-xjenza, it-teknoloġija, ir-riċerka, l-innovazzjoni u d-diġitalizzazzjoni</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_Toc536619990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91" w:history="1">
            <w:r w:rsidR="000262D4">
              <w:rPr>
                <w:rStyle w:val="Hyperlink"/>
                <w:rFonts w:ascii="Times New Roman" w:hAnsi="Times New Roman" w:cs="Times New Roman"/>
                <w:noProof/>
                <w:sz w:val="24"/>
                <w:szCs w:val="24"/>
              </w:rPr>
              <w:t>3.2.2</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Il-finanzi, l-ipprezzar, it-tassazzjoni u l-kompetizzjoni</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_Toc536619991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92" w:history="1">
            <w:r w:rsidR="000262D4">
              <w:rPr>
                <w:rStyle w:val="Hyperlink"/>
                <w:rFonts w:ascii="Times New Roman" w:hAnsi="Times New Roman" w:cs="Times New Roman"/>
                <w:noProof/>
                <w:sz w:val="24"/>
                <w:szCs w:val="24"/>
              </w:rPr>
              <w:t>3.2.3</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Imġiba responsabbli tan-negozju, responsabbiltà soċjali korporattiva u mudelli ta’ negozju ġodda</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_Toc536619992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93" w:history="1">
            <w:r w:rsidR="000262D4">
              <w:rPr>
                <w:rStyle w:val="Hyperlink"/>
                <w:rFonts w:ascii="Times New Roman" w:hAnsi="Times New Roman" w:cs="Times New Roman"/>
                <w:noProof/>
                <w:sz w:val="24"/>
                <w:szCs w:val="24"/>
              </w:rPr>
              <w:t>3.2.4</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Kummerċ miftuħ u bbażat fuq ir-regoli</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_Toc536619993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0262D4">
              <w:rPr>
                <w:rFonts w:ascii="Times New Roman" w:hAnsi="Times New Roman" w:cs="Times New Roman"/>
                <w:noProof/>
                <w:webHidden/>
                <w:sz w:val="24"/>
                <w:szCs w:val="24"/>
              </w:rPr>
              <w:fldChar w:fldCharType="end"/>
            </w:r>
          </w:hyperlink>
        </w:p>
        <w:p w:rsidR="006A3383" w:rsidRDefault="002705AE">
          <w:pPr>
            <w:pStyle w:val="TOC3"/>
            <w:tabs>
              <w:tab w:val="left" w:pos="1320"/>
              <w:tab w:val="right" w:leader="dot" w:pos="9062"/>
            </w:tabs>
            <w:rPr>
              <w:rFonts w:ascii="Times New Roman" w:eastAsiaTheme="minorEastAsia" w:hAnsi="Times New Roman" w:cs="Times New Roman"/>
              <w:noProof/>
              <w:sz w:val="24"/>
              <w:szCs w:val="24"/>
              <w:lang w:val="en-GB" w:eastAsia="en-GB" w:bidi="ar-SA"/>
            </w:rPr>
          </w:pPr>
          <w:hyperlink w:anchor="_Toc536619994" w:history="1">
            <w:r w:rsidR="000262D4">
              <w:rPr>
                <w:rStyle w:val="Hyperlink"/>
                <w:rFonts w:ascii="Times New Roman" w:hAnsi="Times New Roman" w:cs="Times New Roman"/>
                <w:noProof/>
                <w:sz w:val="24"/>
                <w:szCs w:val="24"/>
              </w:rPr>
              <w:t>3.2.5</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Governanza u l-iżgurar ta’ koerenza politika fil-livelli kollha</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_Toc536619994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0262D4">
              <w:rPr>
                <w:rFonts w:ascii="Times New Roman" w:hAnsi="Times New Roman" w:cs="Times New Roman"/>
                <w:noProof/>
                <w:webHidden/>
                <w:sz w:val="24"/>
                <w:szCs w:val="24"/>
              </w:rPr>
              <w:fldChar w:fldCharType="end"/>
            </w:r>
          </w:hyperlink>
        </w:p>
        <w:p w:rsidR="006A3383" w:rsidRDefault="002705AE">
          <w:pPr>
            <w:pStyle w:val="TOC1"/>
            <w:rPr>
              <w:rFonts w:ascii="Times New Roman" w:eastAsiaTheme="minorEastAsia" w:hAnsi="Times New Roman" w:cs="Times New Roman"/>
              <w:noProof/>
              <w:sz w:val="24"/>
              <w:szCs w:val="24"/>
              <w:lang w:val="en-GB" w:eastAsia="en-GB" w:bidi="ar-SA"/>
            </w:rPr>
          </w:pPr>
          <w:hyperlink w:anchor="_Toc536619995" w:history="1">
            <w:r w:rsidR="000262D4">
              <w:rPr>
                <w:rStyle w:val="Hyperlink"/>
                <w:rFonts w:ascii="Times New Roman" w:eastAsia="Times New Roman" w:hAnsi="Times New Roman" w:cs="Times New Roman"/>
                <w:noProof/>
                <w:sz w:val="24"/>
                <w:szCs w:val="24"/>
              </w:rPr>
              <w:t>4</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L-UE bħala entità bi rwol globali ta’ innovazzjoni fl-iżvilupp sostenibbli</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_Toc536619995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0262D4">
              <w:rPr>
                <w:rFonts w:ascii="Times New Roman" w:hAnsi="Times New Roman" w:cs="Times New Roman"/>
                <w:noProof/>
                <w:webHidden/>
                <w:sz w:val="24"/>
                <w:szCs w:val="24"/>
              </w:rPr>
              <w:fldChar w:fldCharType="end"/>
            </w:r>
          </w:hyperlink>
        </w:p>
        <w:p w:rsidR="006A3383" w:rsidRDefault="002705AE">
          <w:pPr>
            <w:pStyle w:val="TOC1"/>
            <w:rPr>
              <w:rFonts w:ascii="Times New Roman" w:eastAsiaTheme="minorEastAsia" w:hAnsi="Times New Roman" w:cs="Times New Roman"/>
              <w:noProof/>
              <w:sz w:val="24"/>
              <w:szCs w:val="24"/>
              <w:lang w:val="en-GB" w:eastAsia="en-GB" w:bidi="ar-SA"/>
            </w:rPr>
          </w:pPr>
          <w:hyperlink w:anchor="_Toc536619996" w:history="1">
            <w:r w:rsidR="000262D4">
              <w:rPr>
                <w:rStyle w:val="Hyperlink"/>
                <w:rFonts w:ascii="Times New Roman" w:eastAsia="Times New Roman" w:hAnsi="Times New Roman" w:cs="Times New Roman"/>
                <w:noProof/>
                <w:sz w:val="24"/>
                <w:szCs w:val="24"/>
              </w:rPr>
              <w:t>5</w:t>
            </w:r>
            <w:r w:rsidR="000262D4">
              <w:rPr>
                <w:rFonts w:ascii="Times New Roman" w:eastAsiaTheme="minorEastAsia" w:hAnsi="Times New Roman" w:cs="Times New Roman"/>
                <w:noProof/>
                <w:sz w:val="24"/>
                <w:szCs w:val="24"/>
                <w:lang w:val="en-GB" w:eastAsia="en-GB" w:bidi="ar-SA"/>
              </w:rPr>
              <w:tab/>
            </w:r>
            <w:r w:rsidR="000262D4">
              <w:rPr>
                <w:rStyle w:val="Hyperlink"/>
                <w:rFonts w:ascii="Times New Roman" w:hAnsi="Times New Roman" w:cs="Times New Roman"/>
                <w:noProof/>
                <w:sz w:val="24"/>
                <w:szCs w:val="24"/>
              </w:rPr>
              <w:t>Xenarji għall-futur</w:t>
            </w:r>
            <w:r w:rsidR="000262D4">
              <w:rPr>
                <w:rFonts w:ascii="Times New Roman" w:hAnsi="Times New Roman" w:cs="Times New Roman"/>
                <w:noProof/>
                <w:webHidden/>
                <w:sz w:val="24"/>
                <w:szCs w:val="24"/>
              </w:rPr>
              <w:tab/>
            </w:r>
            <w:r w:rsidR="000262D4">
              <w:rPr>
                <w:rFonts w:ascii="Times New Roman" w:hAnsi="Times New Roman" w:cs="Times New Roman"/>
                <w:noProof/>
                <w:webHidden/>
                <w:sz w:val="24"/>
                <w:szCs w:val="24"/>
              </w:rPr>
              <w:fldChar w:fldCharType="begin"/>
            </w:r>
            <w:r w:rsidR="000262D4">
              <w:rPr>
                <w:rFonts w:ascii="Times New Roman" w:hAnsi="Times New Roman" w:cs="Times New Roman"/>
                <w:noProof/>
                <w:webHidden/>
                <w:sz w:val="24"/>
                <w:szCs w:val="24"/>
              </w:rPr>
              <w:instrText xml:space="preserve"> PAGEREF _Toc536619996 \h </w:instrText>
            </w:r>
            <w:r w:rsidR="000262D4">
              <w:rPr>
                <w:rFonts w:ascii="Times New Roman" w:hAnsi="Times New Roman" w:cs="Times New Roman"/>
                <w:noProof/>
                <w:webHidden/>
                <w:sz w:val="24"/>
                <w:szCs w:val="24"/>
              </w:rPr>
            </w:r>
            <w:r w:rsidR="000262D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0262D4">
              <w:rPr>
                <w:rFonts w:ascii="Times New Roman" w:hAnsi="Times New Roman" w:cs="Times New Roman"/>
                <w:noProof/>
                <w:webHidden/>
                <w:sz w:val="24"/>
                <w:szCs w:val="24"/>
              </w:rPr>
              <w:fldChar w:fldCharType="end"/>
            </w:r>
          </w:hyperlink>
        </w:p>
        <w:p w:rsidR="006A3383" w:rsidRDefault="000262D4">
          <w:pPr>
            <w:rPr>
              <w:noProof/>
            </w:rPr>
          </w:pPr>
          <w:r>
            <w:rPr>
              <w:rFonts w:ascii="Times New Roman" w:hAnsi="Times New Roman" w:cs="Times New Roman"/>
              <w:b/>
              <w:bCs/>
              <w:noProof/>
              <w:sz w:val="24"/>
              <w:szCs w:val="24"/>
            </w:rPr>
            <w:fldChar w:fldCharType="end"/>
          </w:r>
        </w:p>
      </w:sdtContent>
    </w:sdt>
    <w:p w:rsidR="006A3383" w:rsidRDefault="006A3383">
      <w:pPr>
        <w:pStyle w:val="Heading1"/>
        <w:numPr>
          <w:ilvl w:val="0"/>
          <w:numId w:val="0"/>
        </w:numPr>
        <w:spacing w:before="240" w:after="240"/>
        <w:rPr>
          <w:rFonts w:ascii="Times New Roman" w:hAnsi="Times New Roman" w:cs="Times New Roman"/>
          <w:noProof/>
          <w:sz w:val="24"/>
          <w:szCs w:val="24"/>
        </w:rPr>
      </w:pPr>
    </w:p>
    <w:p w:rsidR="006A3383" w:rsidRDefault="006A3383">
      <w:pPr>
        <w:rPr>
          <w:rFonts w:ascii="Times New Roman" w:hAnsi="Times New Roman" w:cs="Times New Roman"/>
          <w:noProof/>
          <w:sz w:val="24"/>
          <w:szCs w:val="24"/>
        </w:rPr>
      </w:pPr>
    </w:p>
    <w:p w:rsidR="006A3383" w:rsidRDefault="006A3383">
      <w:pPr>
        <w:rPr>
          <w:rFonts w:ascii="Times New Roman" w:hAnsi="Times New Roman" w:cs="Times New Roman"/>
          <w:noProof/>
          <w:sz w:val="24"/>
          <w:szCs w:val="24"/>
        </w:rPr>
      </w:pPr>
    </w:p>
    <w:p w:rsidR="006A3383" w:rsidRDefault="000262D4">
      <w:pPr>
        <w:rPr>
          <w:rFonts w:ascii="Times New Roman" w:hAnsi="Times New Roman" w:cs="Times New Roman"/>
          <w:noProof/>
          <w:sz w:val="24"/>
          <w:szCs w:val="24"/>
        </w:rPr>
      </w:pPr>
      <w:r>
        <w:rPr>
          <w:noProof/>
        </w:rPr>
        <w:br w:type="page"/>
      </w:r>
    </w:p>
    <w:p w:rsidR="006A3383" w:rsidRDefault="000262D4">
      <w:pPr>
        <w:pStyle w:val="Heading1"/>
        <w:numPr>
          <w:ilvl w:val="0"/>
          <w:numId w:val="0"/>
        </w:numPr>
        <w:ind w:left="360"/>
        <w:rPr>
          <w:rFonts w:eastAsia="Times New Roman"/>
          <w:noProof/>
        </w:rPr>
      </w:pPr>
      <w:bookmarkStart w:id="2" w:name="_Toc536442036"/>
      <w:bookmarkStart w:id="3" w:name="_Toc536619980"/>
      <w:r>
        <w:rPr>
          <w:noProof/>
        </w:rPr>
        <w:lastRenderedPageBreak/>
        <w:t>Daħla tal-Ewwel Viċi President Timmermans u tal-Viċi President Katainen</w:t>
      </w:r>
      <w:bookmarkEnd w:id="2"/>
      <w:bookmarkEnd w:id="3"/>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Bħala Ewropej għandna nkunu kburin bil-kisbiet tagħna. Permezz tal-integrazzjoni u l-kooperazzjoni mill-qrib ħloqna ġid bla preċedent, standards soċjali għoljin u opportunitajiet kbar għaċ-ċittadini tagħna. Ankrajna l-prinċipji komuni tagħna u l-valuri tad-demokrazija, tad-drittijiet tal-bniedem u tal-istat tad-dritt fit-Trattati tagħna u bnejna Unjoni Ewropea, sħiħa u ħielsa. </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Dan is-suċċess inkiseb għaliex l-Ewropej huma ambizzjużi. Il-kultura demokratika b’saħħitha tagħna twassal għal dibattiti ħorox, u hekk għandu jkun. Għaliex dan mhuwiex iż-żmien li nistrieħu fuq is-suċċessi tagħna u nħallu l-istorja tterraq għal rasha. Il-ħtieġa li ntejbu l-istandards tal-għajxien tal-Ewropej kollha, li nħarsu, niddefendu u nagħtu s-setgħa liċ-ċittadini, li nsaħħu s-sigurtà tan-nies mid-diversi theddid, kemm jekk jiġi mit-terroriżmu jew mit-tibdil fil-klima, ma tieqaf qatt. </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Id-dinja il-ħin kollu tinbidel u bħalissa ninsabu qalb ir-raba’ rivoluzzjoni industrijali. Kollox qiegħed jinbidel għal kulħadd. Jekk nistħajlu mod ieħor inkunu qegħdin nabbandunaw is-sens komun. Il-kwistjoni hija dwar jekk aħniex vittmi tal-bidla, jew jekk aħniex lesti nħaddnuha u niggwidawha. L-Ewropej qegħdin iħabbtu wiċċhom ma’ sfidi urġenti bħad-degradazzjoni ambjentali u t-tibdil fil-klima, it-tranżizzjoni demografika, il-migrazzjoni, l-inugwaljanza u l-pressjoni fuq il-finanzi pubbliċi. Iċ-ċittadini jinsabu inkwetati dwar il-ġejjieni tagħhom u ta’ uliedhom. Qegħdin nagħmlu ħsara ekoloġika li qiegħda taffettwa kollox. Il-ġenerazzjonijiet ġejjiena se jkollhom iħabbtu wiċċhom ma’ din is-sitwazzjoni, li xejn mhu se tkun tajba għalihom jekk ma nsaħħux l-azzjoni biex nirranġawha. </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Huwa d-dmir tal-Unjoni Ewropea li sservi lill-Ewropej u mhux bil-kontra. L-Unjoni Ewropea trid tgħin lin-nies jirrealizzaw l-aspirazzjonijiet tagħhom u tindirizza t-tħassib tagħhom minnufih u b’mod effettiv. Kollox jibda billi naraw x’inhu sejjer ħażin u nħarsu f’wiċċ ir-realtà u lejn il-fatti li ħadd ma jista’ jiċħadhom. Madankollu dawn il-fatti ma għandhomx jimlewna bit-tħassib u l-biża’, iżda jispirawna biex nieħdu azzjoni. </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Bosta minn dan it-tħassib huwa marbut mal-isfidi li jmorru lil hinn mill-fruntieri u li jheddu l-impjiegi tagħna,il-prosperità, il-livell ta’ għajxien, il-libertà u s-saħħa tagħna. L-ebda stat jew nazzjon ma jista’ jindirizza dawn l-isfidi b’mod effettiv għal rasu. Għandna bżonn id-daqs tal-Unjoni Ewropea li, meta tkun magħquda u determinata - hija forza globali li trid tittieħed bis-serjetà. Madankollu, fl-aħħar mill-aħħar id-daqs biss mhuwiex se jkun biżżejjed; neħtieġu aġenda b’impatt globali, u din l-aġenda tieħu l-aħjar sura fis-17-il Għan ta’ Żvilupp Sostenibbli (SDGs) li 193 stat, fosthom l-Unjoni Ewropea u l-Istati Membri tagħhom, ikkommettew ruħhom li jilħqu. Dawn l-SDGs huma t-triq li permezz tagħha se negħlbu l-isfidi li qed niffaċċjaw, filwaqt li ntejbu l-ħabitat, l-ekonomija u l-ħajja tagħna.</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L-iżvilupp sostenibbli huwa kwistjoni kumplessa, iżda fir-realta’ huwa kunċett sempliċi: niżguraw li t-tkabbir ekonomiku tagħna jippermettilna li nibnu mudell li jipproduċi riżultati ekwi għall-umanità kollha kemm hi; u li niżguraw li l-bniedem ma jużax aktar riżorsi milli tista’ tagħtina d-Dinja. Dan ifisser li jeħtiġilna nimmodernizzaw l-ekonomija tagħna sabiex tibda tħaddan mudelli ta’ konsum u produzzjoni sostenibbli, nirranġaw l-</w:t>
      </w:r>
      <w:r>
        <w:rPr>
          <w:rFonts w:ascii="Times New Roman" w:hAnsi="Times New Roman"/>
          <w:noProof/>
          <w:color w:val="000000"/>
          <w:sz w:val="24"/>
        </w:rPr>
        <w:lastRenderedPageBreak/>
        <w:t>iżbilanċi fis-sistema tal-ikel tagħna u npoġġu l-mod li bih nipproduċu u nużaw l-enerġija u l-mod li niddisinjaw il-binjiet tagħna fuq xejra sostenibbli. Biex nagħmlu dan irridu nadattaw ix-xjenza, il-finanzjament, it-tassazzjoni u l-governanza tagħna għall-ksib tal-SDGs.</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Din mhijiex kwistjoni ta’ xellug jew lemin, hija kwistjoni ta’ tajjeb jew ħażin. Fortunatament l-Unjoni Ewropea diġà qiegħda fit-triq it-tajba minħabba l-vantaġġi kompetittivi qawwijin tagħha. L-Ewropa żviluppat uħud mill-ogħla standards ambjentali fid-dinja, daħħlet fis-seħħ politiki ambizzjużi dwar il-klima, u appoġġat il-Ftehim ta’ Pariġi dwar il-Klima. Permezz tal-politiki esterni u l-aġenda kummerċjali trasparenti msejsa fuq ir-regoli l-Unjoni Ewropea kkondividiet soluzzjonijiet sostenibbli ma’ pajjiżi terzi wkoll. </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Is-sisien tal-Unjoni Ewropea nbnew fuq il-premessa li, fil-kliem elokwenti li lissen Robert Schuman 70 sena ilu, “il-paċi fid-dinja ma tistax titħares mingħajr ma jsiru sforzi kreattivi proporzjonali għall-perikli li jhedduha”. Illum, mal-kliem “paċi fid-dinja” nistgħu nżidu l-benesseri u s-sopravivenza tan-nies tagħna”. </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L-aġenda tas-sostenibbiltà hija aġenda pożittiva - tikkonċerna l-għoti ta’ ħajja aħjar lin-nies. L-Ewropa hija armata sew biex tiġġieled l-akbar sfida. Flimkien jirnexxielna. Neħtieġu l-impenn ta' kulħadd u r-rieda politika biex naslu. Filwaqt li oħrajn jinħbew, l-Ewropa issa trid timxi ’l quddiem, ittejjeb il-kompetittività tagħha, tinvesti fit-tkabbir sostenibbli u twitti t-triq għall-bqija tad-dinja.</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Mhuwiex biżżejjed li jkollna viżjoni iżda jeħtiġilna wkoll naqblu fuq mod konkret dwar kif se naslu fid-destinazzjoni tagħna. Dan id-Dokument ta’ Riflessjoni huwa l-kontribut tagħna għal dan id-dibattitu.</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Ma konniex inkunu kapaċi niffinalizzawh mingħajr il-kontribut imprezzabbli tal-partijiet ikkonċernati Ewropej. Is-soċjetà ċivili, is-settur privat u l-akkademja huma parti minn dan id-dibattitu. Il-Pjattaforma ta’ Livell Għoli ta’ Bosta Partijiet dwar l-SDGs, li nħolqot mill-Kummissjoni Ewropea fl-2017, kienet eżerċizzju pożittiv ferm għat-tlaqqigħ ta’ ideat trażversali.</w:t>
      </w:r>
    </w:p>
    <w:p w:rsidR="006A3383" w:rsidRDefault="000262D4">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Il-kwistjonijiet li jitqajmu f’dan id-dokument huma maħsuba li jinformaw id-dibattitu fost iċ-ċittadini, il-partijiet ikkonċernati, il-gvernijiet u l-istituzzjonijiet fix-xhur li ġejjin, bil-għan li jnebbħu d-dibattitu dwar il-ġejjieni tal-Ewropa, it-tħejjija tal-Aġenda Strateġika tal-Unjoni Ewropea 2019-2024, u l-prijoritajiet tal-Kummissjoni Ewropea li jmiss.</w:t>
      </w:r>
    </w:p>
    <w:p w:rsidR="006A3383" w:rsidRDefault="000262D4">
      <w:pPr>
        <w:pStyle w:val="Heading1"/>
        <w:rPr>
          <w:rFonts w:eastAsia="Times New Roman"/>
          <w:noProof/>
        </w:rPr>
      </w:pPr>
      <w:bookmarkStart w:id="4" w:name="_Toc536442037"/>
      <w:bookmarkStart w:id="5" w:name="_Toc536619981"/>
      <w:r>
        <w:rPr>
          <w:noProof/>
        </w:rPr>
        <w:t>Żvilupp sostenibbli li jtejjeb l-għajxien tan-nies: Il-vantaġġi kompetittivi tal-Ewropa</w:t>
      </w:r>
      <w:bookmarkEnd w:id="4"/>
      <w:bookmarkEnd w:id="5"/>
    </w:p>
    <w:p w:rsidR="006A3383" w:rsidRDefault="006A3383">
      <w:pPr>
        <w:spacing w:line="240" w:lineRule="auto"/>
        <w:jc w:val="both"/>
        <w:rPr>
          <w:rFonts w:ascii="Times New Roman" w:hAnsi="Times New Roman" w:cs="Times New Roman"/>
          <w:noProof/>
          <w:sz w:val="14"/>
          <w:szCs w:val="1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F’Settembru tal-2015, fl-Assemblea Ġenerali tan-Nazzjonijiet Uniti bosta pajjiżi madwar id-dinja kkommettew ruħhom favur l-Aġenda 2030 għall-Iżvilupp Sostenibbli (l-Aġenda 2030 tan-Nazzjonijiet Uniti) u s-17-il Għan ta’ Żvilupp Sostenibbli (SDGs), u qablu dwar “azzjoni konkreta għan-nies u għad-dinja”</w:t>
      </w:r>
      <w:r>
        <w:rPr>
          <w:rStyle w:val="FootnoteReference"/>
          <w:rFonts w:ascii="Times New Roman" w:hAnsi="Times New Roman"/>
          <w:noProof/>
          <w:sz w:val="24"/>
        </w:rPr>
        <w:footnoteReference w:id="1"/>
      </w:r>
      <w:r>
        <w:rPr>
          <w:rFonts w:ascii="Times New Roman" w:hAnsi="Times New Roman"/>
          <w:noProof/>
          <w:sz w:val="24"/>
        </w:rPr>
        <w:t xml:space="preserve">. Il-mexxejja tad-dinja kkommettew ruħhom li jtemmu l-faqar, iħarsu d-dinja u jiżguraw li l-popli kollha jgawdu l-paċi u l-prosperità. L-SDGs, flimkien mal-Ftehim ta’ Pariġi dwar il-Klima, huma l-pjan direzzjonali għal dinja aħjar u għall-qafas globali għal kooperazzjoni internazzjonali dwar l-iżvilupp sostenibbli u d-dimensjonijiet ekonomiċi, soċjali, ambjentali u ta’ governanza tiegħu. L-UE kienet minn ta’ quddiem nett fl-appoġġ tagħha għall-Aġenda 2030 tan-Nazzjonijiet Uniti u fl-aħħar ikkommettiet ruħha li timplimentahom.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L-iżvilupp sostenibbli </w:t>
      </w:r>
      <w:r>
        <w:rPr>
          <w:rFonts w:ascii="Times New Roman" w:hAnsi="Times New Roman"/>
          <w:noProof/>
          <w:color w:val="000000"/>
          <w:sz w:val="24"/>
        </w:rPr>
        <w:t>–</w:t>
      </w:r>
      <w:r>
        <w:rPr>
          <w:rFonts w:ascii="Times New Roman" w:hAnsi="Times New Roman"/>
          <w:noProof/>
          <w:sz w:val="24"/>
        </w:rPr>
        <w:t xml:space="preserve"> l-iżvilupp li jaqdi l-ħtiġijiet tal-ġenerazzjonijiet ta’ issa mingħajr ma jikkomprometti l-kapaċità tal-ġenerazzjonijiet ġejjiena li jaqdu ħtiġijiethom </w:t>
      </w:r>
      <w:r>
        <w:rPr>
          <w:rFonts w:ascii="Times New Roman" w:hAnsi="Times New Roman"/>
          <w:noProof/>
          <w:color w:val="000000"/>
          <w:sz w:val="24"/>
        </w:rPr>
        <w:t>–</w:t>
      </w:r>
      <w:r>
        <w:rPr>
          <w:rFonts w:ascii="Times New Roman" w:hAnsi="Times New Roman"/>
          <w:noProof/>
          <w:sz w:val="24"/>
        </w:rPr>
        <w:t xml:space="preserve"> jinsab fil-qalba tal-proġett Ewropew. L-integrazzjoni Ewropea u l-politiki tal-UE għenuna negħlbu l-faqar u l-ġuħ ta’ wara l-gwerra, u ħolqu spazju ta’ libertà u demokrazija fejn iċ-ċittadini Ewropej setgħu jilħqu livelli ta’ prosperità u benesseri mingħajr preċedent.</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L-UE ħabirket mingħajr heda għal soċjetajiet inklużivi mibnija fuq id-demokrazija u l-istat tad-dritt, kif inhu rifless fl-Artikolu 2 tat-Trattat dwar l-Unjoni Ewropea.</w:t>
      </w:r>
      <w:r>
        <w:rPr>
          <w:rStyle w:val="FootnoteReference"/>
          <w:rFonts w:ascii="Times New Roman" w:hAnsi="Times New Roman"/>
          <w:noProof/>
          <w:sz w:val="24"/>
        </w:rPr>
        <w:footnoteReference w:id="2"/>
      </w:r>
      <w:r>
        <w:rPr>
          <w:rFonts w:ascii="Times New Roman" w:hAnsi="Times New Roman"/>
          <w:noProof/>
          <w:sz w:val="24"/>
        </w:rPr>
        <w:t xml:space="preserve"> L-istandards soċjali u tas-saħħa tal-UE huma fost l-aktar ambizzjużi fid-dinja u l-Ewropa hija kontinent bl-itwal stennija tal-għomor. L-ekonomija soċjali tas-suq tagħna ġġenerat il-prosperità u pprovdiet is-sigurtà grazzi għal sistemi ta’ protezzjoni soċjali b’saħħithom. L-investimenti konsiderevoli li saru fir-riċerka u fl-innovazzjoni xprunaw teknoloġiji u mudelli tal-produzzjoni ġodda li ppermettew użu ta’ riżorsi aktar sostenibbli u l-adozzjoni ta’ soluzzjonijiet diġitali. Baġits b’saħħithom u ekonomiji moderni huma essenzjali; il-progress li sar għal politiki fiskali u riforma strutturali tajbin naqqsu l-livelli tad-dejn u stimulaw il-ħolqien tax-xogħol. Fit-tielet tliet xhur tal-2018 ir-rata ta’ impjieg tal-persuni bejn l-20 u l-64 sena telgħet għal 73.5 %, l-ogħla livell li qatt intlaħaq fl-UE. Dan ħalla impatt pożittiv fuq il-produttività u t-tkabbir fl-Ewropa. Għalkemm għad fadal diskrepanzi ekonomiċi, soċjali u territorjali bejn l-Istati Membri u bejn ir-reġjuni differenti,</w:t>
      </w:r>
      <w:r>
        <w:rPr>
          <w:rStyle w:val="FootnoteReference"/>
          <w:rFonts w:ascii="Times New Roman" w:hAnsi="Times New Roman"/>
          <w:noProof/>
          <w:sz w:val="24"/>
        </w:rPr>
        <w:footnoteReference w:id="3"/>
      </w:r>
      <w:r>
        <w:rPr>
          <w:rFonts w:ascii="Times New Roman" w:hAnsi="Times New Roman"/>
          <w:noProof/>
          <w:sz w:val="24"/>
        </w:rPr>
        <w:t xml:space="preserve"> il-politika ta’ koeżjoni tal-UE għenitna nikbru u nnaqqsu dawn id-diskrepanzi madwar il-kontinent (konverġenza ’l fuq). Barra minn hekk, l-UE stabbilixxiet uħud mill-ogħla standards soċjali u ambjentali, daħħlet fis-seħħ uħud mill-aktar politiki ambizzjużi għall-ħarsien tas-saħħa tal-bniedem u saret promotur tal-ġlieda kontra t-tibdil fil-klima. L-Istati Membri tal-UE kisbu progress notevoli f’bosta oqsma tal-Aġenda 2030 tan-Nazzjonijiet Uniti u b’riżultat ta’ dan l-UE hija waħda mill-aħjar postijiet fid-dinja biex tgħix fihom, jekk mhux l-aħjar.</w:t>
      </w:r>
    </w:p>
    <w:p w:rsidR="006A3383" w:rsidRDefault="006A3383">
      <w:pPr>
        <w:spacing w:line="240" w:lineRule="auto"/>
        <w:jc w:val="both"/>
        <w:rPr>
          <w:rFonts w:ascii="Times New Roman" w:hAnsi="Times New Roman" w:cs="Times New Roman"/>
          <w:noProof/>
          <w:sz w:val="24"/>
          <w:szCs w:val="24"/>
        </w:rPr>
      </w:pPr>
    </w:p>
    <w:p w:rsidR="006A3383" w:rsidRDefault="000262D4">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905200" cy="181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200" cy="1818000"/>
                    </a:xfrm>
                    <a:prstGeom prst="rect">
                      <a:avLst/>
                    </a:prstGeom>
                    <a:noFill/>
                    <a:ln>
                      <a:noFill/>
                    </a:ln>
                  </pic:spPr>
                </pic:pic>
              </a:graphicData>
            </a:graphic>
          </wp:inline>
        </w:drawing>
      </w:r>
    </w:p>
    <w:p w:rsidR="006A3383" w:rsidRDefault="006A3383">
      <w:pPr>
        <w:spacing w:line="240" w:lineRule="auto"/>
        <w:jc w:val="both"/>
        <w:rPr>
          <w:rFonts w:ascii="Times New Roman" w:hAnsi="Times New Roman" w:cs="Times New Roman"/>
          <w:i/>
          <w:noProof/>
          <w:sz w:val="24"/>
          <w:szCs w:val="24"/>
        </w:rPr>
      </w:pPr>
    </w:p>
    <w:p w:rsidR="006A3383" w:rsidRDefault="000262D4">
      <w:pPr>
        <w:pBdr>
          <w:top w:val="single" w:sz="4" w:space="5"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L-Unjoni Ewropea hija wieħed mill-aħjar postijiet biex tgħix fihom</w:t>
      </w:r>
    </w:p>
    <w:p w:rsidR="006A3383" w:rsidRDefault="000262D4">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Disa’ Stati Membri tal-EU-27 jikklassiffikaw fost l-aktar 20 pajjiż ferħan fid-dinja, bil-Finlandja fl-ewwel post.</w:t>
      </w:r>
      <w:r>
        <w:rPr>
          <w:rStyle w:val="FootnoteReference"/>
          <w:rFonts w:ascii="Times New Roman" w:hAnsi="Times New Roman"/>
          <w:noProof/>
          <w:sz w:val="24"/>
        </w:rPr>
        <w:footnoteReference w:id="4"/>
      </w:r>
      <w:r>
        <w:rPr>
          <w:rFonts w:ascii="Times New Roman" w:hAnsi="Times New Roman"/>
          <w:noProof/>
          <w:sz w:val="24"/>
        </w:rPr>
        <w:t xml:space="preserve">  </w:t>
      </w:r>
    </w:p>
    <w:p w:rsidR="006A3383" w:rsidRDefault="000262D4">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Is-sodisfazzjon ġenerali bil-ħajja fl-UE, li huwa kkalukulat fuq il-benesseri suġġettiv taċ-ċittadini Ewropej, laħaq is-70 %.</w:t>
      </w:r>
      <w:r>
        <w:rPr>
          <w:rStyle w:val="FootnoteReference"/>
          <w:rFonts w:ascii="Times New Roman" w:hAnsi="Times New Roman"/>
          <w:noProof/>
          <w:sz w:val="24"/>
        </w:rPr>
        <w:footnoteReference w:id="5"/>
      </w:r>
    </w:p>
    <w:p w:rsidR="006A3383" w:rsidRDefault="000262D4">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Ħdax il-Stat Membru tal-EU-27 jinsabu fl-ewwel 20 post tal-Indiċi dinji tal-Progress taż-Żgħażagħ</w:t>
      </w:r>
      <w:r>
        <w:rPr>
          <w:rStyle w:val="FootnoteReference"/>
          <w:rFonts w:ascii="Times New Roman" w:hAnsi="Times New Roman"/>
          <w:noProof/>
          <w:sz w:val="24"/>
        </w:rPr>
        <w:footnoteReference w:id="6"/>
      </w:r>
      <w:r>
        <w:rPr>
          <w:rFonts w:ascii="Times New Roman" w:hAnsi="Times New Roman"/>
          <w:noProof/>
          <w:sz w:val="24"/>
        </w:rPr>
        <w:t xml:space="preserve"> mill-Forum Ewropew taż-Żgħażagħ. L-Indiċi tal-Progress taż-Żgħażagħ huwa wieħed mill-ewwel strumenti li ġew żviluppati li jagħti stampa sħiħa dwar il-ħajja ta’ persuna żagħżugħa llum, indipendentement mill-indikaturi ekonomiċi. </w:t>
      </w:r>
    </w:p>
    <w:p w:rsidR="006A3383" w:rsidRDefault="006A3383">
      <w:pPr>
        <w:spacing w:line="240" w:lineRule="auto"/>
        <w:jc w:val="both"/>
        <w:rPr>
          <w:rFonts w:ascii="Times New Roman" w:hAnsi="Times New Roman" w:cs="Times New Roman"/>
          <w:noProof/>
          <w:sz w:val="24"/>
          <w:szCs w:val="24"/>
        </w:rPr>
      </w:pPr>
    </w:p>
    <w:p w:rsidR="006A3383" w:rsidRDefault="006A3383">
      <w:pPr>
        <w:spacing w:line="240" w:lineRule="auto"/>
        <w:jc w:val="both"/>
        <w:rPr>
          <w:rFonts w:ascii="Times New Roman" w:hAnsi="Times New Roman" w:cs="Times New Roman"/>
          <w:noProof/>
          <w:sz w:val="24"/>
          <w:szCs w:val="24"/>
        </w:rPr>
      </w:pPr>
    </w:p>
    <w:p w:rsidR="006A3383" w:rsidRDefault="000262D4">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801600" cy="1890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1600" cy="1890000"/>
                    </a:xfrm>
                    <a:prstGeom prst="rect">
                      <a:avLst/>
                    </a:prstGeom>
                    <a:noFill/>
                    <a:ln>
                      <a:noFill/>
                    </a:ln>
                  </pic:spPr>
                </pic:pic>
              </a:graphicData>
            </a:graphic>
          </wp:inline>
        </w:drawing>
      </w:r>
    </w:p>
    <w:p w:rsidR="006A3383" w:rsidRDefault="006A3383">
      <w:pPr>
        <w:spacing w:line="240" w:lineRule="auto"/>
        <w:jc w:val="center"/>
        <w:rPr>
          <w:rFonts w:ascii="Times New Roman" w:hAnsi="Times New Roman" w:cs="Times New Roman"/>
          <w:noProof/>
          <w:sz w:val="24"/>
          <w:szCs w:val="24"/>
        </w:rPr>
      </w:pPr>
    </w:p>
    <w:p w:rsidR="006A3383" w:rsidRDefault="000262D4">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632400" cy="789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2400" cy="7891200"/>
                    </a:xfrm>
                    <a:prstGeom prst="rect">
                      <a:avLst/>
                    </a:prstGeom>
                    <a:noFill/>
                    <a:ln>
                      <a:noFill/>
                    </a:ln>
                  </pic:spPr>
                </pic:pic>
              </a:graphicData>
            </a:graphic>
          </wp:inline>
        </w:drawing>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Madankollu, ix-xogħol qatt ma jintemm għalkollox u dejjem hemm titjib xi jsir. Id-demokrazija, l-ekonomija u l-ambjent naturali tagħna kollha jeħtieġu sforzi kontinwi sabiex nikkonsolidaw il-kisbiet tagħna, biex negħlbu għalkollox l-impatt negattiv tal-kriżi ekonomika u finanzjarja, biex it-titjib fuq saħħitna, il-benesseri u l-prosperità ma jwassalx għad-degradazzjoni ambjentali, biex negħlbu l-inugwaljanzi soċjali u nindirizzaw l-isfidi li jmorru lil hinn mill-fruntieri tagħna.</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Ninsabu qalb ir-raba’ rivoluzzjoni industrijali u t-tibdil se jolqot lil kulħadd. Il-kwistjoni hija dwar jekk hux se nkunu nistgħu immexxu dan it-tibdil u niggwidaw ir-rispons skont il-valuri u l-interessi tagħna. L-UE u l-Istati Membri tagħha għandhom vantaġġi kompetittivi sinifikanti li jippermettulna nkunu minn ta’ quddiem u nimmodernizzaw l-ekonomiji tagħna, inħarsu l-ambjent naturali u ntejbu s-saħħa u l-benesseri tal-Ewropej kollha. Biex nagħmlu dan jeħtiġilna nħaddnu l-SDGs filwaqt li ninvestu aktar fil-ħiliet, fl-innovazzjoni u fit-teknoloġiji emerġenti, li se jgħinuna nixprunaw it-tranżizzjoni tal-ekonomija u tas-soċjetà tagħna lejn mudell sostenibbli.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Irridu nqisu kif nistgħu nevolvu l-mudelli tal-produzzjoni u tal-konsum tagħna. Irridu naħdmu issa biex inwaqqfu t-tisħin globali u l-qerda tal-ekosistemi u l-bijodiversità, li jheddu l-benesseri, il-prospetti ta’ tkabbir sostenibbli, u l-ħajja nfisha fil-pjaneta. Filwaqt li għandna l-kapaċità li nagħmlu dan, ma għandniex il-lussu ta’ wisq żmien biex nagħmluh. L-inugwaljanzi u d-diskrepanzi territorjali għadhom mifruxin ħafna minkejja l-progress li nkiseb. L-indirizzar tagħhom huwa importanti għal soċjetà ekwa, izda wkoll għall-ħarsien u t-tisħiħ tal-koeżjoni soċjali u l-iżgurar tal-istabbiltà soċjali u politika fl-Istati Membri tal-UE u bejniethom.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Barra minn hekk, ordni dinji multilaterali rrispettat u msejjes fuq ir-regoli huwa l-aħjar mediċina għal-liġi tal-ġungla f’dinja anarkika miżgħuda b’armi nukleari, estremiżmu u riżorsi limitati. Bħalissa qiegħda tinbet tendenza perikoluża nazzjonalista ta’ “pajjiżi l-ewwel u qabel u kollox” li tista’ twassal għal ġlied u kunflitt. Diversi pajjiżi bdew jagħtu daharhom għall-impenji globali favur il-benesseri tal-bniedem, is-sigurtà, il-ħarsien tal-ambjent u l-azzjoni klimatika, u jaqilbu l-ordni msejjes fuq ir-regoli ta’ taħt fuq.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L-SDGs mhumiex għanijiet fihom infushom iżda jservu ta’ boxxla u mappa. Joffru l-perspettiva fit-tul li għandna bżonn, li tmur lil hinn mill-perjodi elettorali u kunsiderazzjonijiet fuq żmien qasir u ta’ gwadann rapidu. Jiggwidawna biex inkunu nistgħu inħarsu demokraziji sodi, nibnu ekonomiji moderni u dinamiċi, u nagħtu l-kontribut tagħna għal dinja bi standard tal-għajxien aħjar, innaqqsu l-inugwaljanzi u niżguraw li ħadd ma jibqa’ lura, filwaqt li tassew nirrispettaw il-limiti tal-pjaneta tagħna u niggarantuha għall-ġenerazzjonijiet li għadhom ġejjin. </w:t>
      </w: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noProof/>
          <w:lang w:val="en-GB" w:eastAsia="en-GB" w:bidi="ar-SA"/>
        </w:rPr>
        <w:drawing>
          <wp:inline distT="0" distB="0" distL="0" distR="0">
            <wp:extent cx="5839200" cy="259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9200" cy="25920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Il-Kummissjoni Juncker ilha mill-bidu tal-mandat tagħha taħdem biex tintegra l-iżvilupp sostenibbli fil-politiki tagħha</w:t>
      </w:r>
      <w:r>
        <w:rPr>
          <w:rStyle w:val="FootnoteReference"/>
          <w:rFonts w:ascii="Times New Roman" w:hAnsi="Times New Roman"/>
          <w:noProof/>
          <w:sz w:val="24"/>
        </w:rPr>
        <w:footnoteReference w:id="7"/>
      </w:r>
      <w:r>
        <w:rPr>
          <w:rFonts w:ascii="Times New Roman" w:hAnsi="Times New Roman"/>
          <w:noProof/>
          <w:sz w:val="24"/>
        </w:rPr>
        <w:t xml:space="preserve"> u diġà wittiet it-triq għall-ġenerazzjoni ta’ politiki sostenibbli li jmiss: mill-Pilastru Ewropew tad-Drittijiet Soċjali, il-Kunsens ġdid Ewropew dwar l-Iżvilupp għall-Istrateġija msejsa fuq il-valuri Kummerċ għal Kulħadd, l-Impenn Strateġiku għall-Ugwaljanza bejn il-Ġeneri u ż-Żona Ewropea tal-Edukazzjoni;</w:t>
      </w:r>
      <w:r>
        <w:rPr>
          <w:rFonts w:ascii="Times New Roman" w:hAnsi="Times New Roman"/>
          <w:noProof/>
          <w:color w:val="000000"/>
          <w:sz w:val="24"/>
        </w:rPr>
        <w:t xml:space="preserve"> mill-pakkett tal-Ekonomija Ċirkolari, il-Pakketti tal-“Ewropa Attiva” u l-Unjoni tal-Enerġija għall-Istrateġija ta’ Tkabbir Blu u l-Istrateġija dwar il-Bijoekonomija; mill-Pjan ta’ Investiment u l-Pjan ta’ Azzjoni dwar il-Finanzi Sostenibbli sal-Aġenda Urbana għall-UE u l-Pjan ta’ Azzjoni dwar in-Natura, fost l-oħrajn. </w:t>
      </w: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Il-Kummissjoni Juncker ipproponiet ukoll li l-finanzi tal-UE jsiru aktar sostenibbli billi tissaħħaħ ir-rabta bejn il-finanzjament mill-UE u l-istat tad-dritt, kif ukoll permezz ta’ mira aktar ambizzjuża ta’ 25 % għan-nefqa fuq il-klima fil-baġits ġejjiena tal-UE.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Dan l-aħħar il-Kummissjoni Juncker ippreżentat viżjoni fit-tul għal ekonomija tal-UE prosperuża, moderna, kompetittiva u newtrali għall-klima sal-2050.</w:t>
      </w:r>
      <w:r>
        <w:rPr>
          <w:rStyle w:val="FootnoteReference"/>
          <w:rFonts w:ascii="Times New Roman" w:hAnsi="Times New Roman"/>
          <w:noProof/>
          <w:sz w:val="24"/>
        </w:rPr>
        <w:footnoteReference w:id="8"/>
      </w:r>
      <w:r>
        <w:rPr>
          <w:rFonts w:ascii="Times New Roman" w:hAnsi="Times New Roman"/>
          <w:noProof/>
          <w:sz w:val="24"/>
        </w:rPr>
        <w:t xml:space="preserve"> Din il-viżjoni twitti t-triq għal qalba strutturali fl-ekonomija Ewropea u se tixpruna t-tkabbir sostenibbli u l-impjiegi.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Dawn il-politiki strateġiċi kollha jridu jiġu implimentati bis-sħiħ u mingħajr ebda ambigwità fil-prattika. Barra minn hekk ser ikollhom jiġu kkumplimentati b’aktar azzjoni, u rridu nagħrfu l-fatt li l-politiki kollha huma interdipendenti, filwaqt li jitqiesu l-isfidi l-ġodda, u l-fatti u l-evidenza ġodda hekk kif joħorġu fid-dieher. Id-djalogu soċjali u l-miżuri volontarji mis-settur privat għandhom rwol importanti f’dan ir-rigward.</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L-UE tinsab f’pożizzjoni eċċellenti biex tkun fuq quddiem. Qiegħed jinħoloq spazju politiku battal minħabba l-politiki tal-poteri dinjija oħrajn li qegħdin joqogħdu pass lura. Din hija opportunità importanti biex l-UE turi tmexxija u twitti u turi t-triq biex l-oħrajn isewgu.</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rPr>
        <w:t>F’Mejju ta’ din is-sena ċ-ċittadini tal-UE se jivvotaw għal Parlament Ewropew ġdid. Fil-ħarifa jibda l-mandat ta’ Kummissjoni ġdida. Id-data ta’ tmiem l-“Istrateġija Ewropa 2020” għal tkabbir intelliġenti, sostenibbli u inklużiv</w:t>
      </w:r>
      <w:r>
        <w:rPr>
          <w:rStyle w:val="FootnoteReference"/>
          <w:rFonts w:ascii="Times New Roman" w:hAnsi="Times New Roman"/>
          <w:noProof/>
          <w:sz w:val="24"/>
        </w:rPr>
        <w:footnoteReference w:id="9"/>
      </w:r>
      <w:r>
        <w:rPr>
          <w:rFonts w:ascii="Times New Roman" w:hAnsi="Times New Roman"/>
          <w:noProof/>
          <w:sz w:val="24"/>
        </w:rPr>
        <w:t xml:space="preserve"> dalwaqt magħna. Għaldaqstant irridu nħarsu ’l quddiem għall-ħames snin taċ-ċiklu politiku Ewropew li jmiss u l-Qafas Finanzjarju Pluriennali (QFP) l-ġdid ta’ bejn l-2021 u l-2027. Il-Kunsill Ewropew</w:t>
      </w:r>
      <w:r>
        <w:rPr>
          <w:rStyle w:val="FootnoteReference"/>
          <w:rFonts w:ascii="Times New Roman" w:hAnsi="Times New Roman"/>
          <w:noProof/>
          <w:sz w:val="24"/>
        </w:rPr>
        <w:footnoteReference w:id="10"/>
      </w:r>
      <w:r>
        <w:rPr>
          <w:rFonts w:ascii="Times New Roman" w:hAnsi="Times New Roman"/>
          <w:noProof/>
          <w:sz w:val="24"/>
        </w:rPr>
        <w:t xml:space="preserve"> kien sodisfatt bl-intenzjoni tal-Kummissjoni li tippubblika Dokument ta’ Riflessjoni li jwitti t-triq għal strateġija ta’ implimentazzjoni komprensiva fl-2019. Id-Dokument ta’ Riflessjoni jniedi dibattitu dwar l-iżvilupp ulterjuri tal-viżjoni tal-iżvilupp sostenibbli tal-UE u l-enfasi tal-politiki settorjali wara l-2020, filwaqt li jħejji għall-implimentazzjoni fit-tul tal-SDGs.</w:t>
      </w:r>
      <w:r>
        <w:rPr>
          <w:rStyle w:val="FootnoteReference"/>
          <w:rFonts w:ascii="Times New Roman" w:hAnsi="Times New Roman"/>
          <w:noProof/>
          <w:sz w:val="24"/>
        </w:rPr>
        <w:footnoteReference w:id="11"/>
      </w:r>
      <w:r>
        <w:rPr>
          <w:rFonts w:ascii="Times New Roman" w:hAnsi="Times New Roman"/>
          <w:noProof/>
          <w:sz w:val="24"/>
        </w:rPr>
        <w:t xml:space="preserve"> Il-Kummissjoni tixtieq tikkontribwixxi għal dibattitu tassew komprensiv u li jħares ’il quddiem dwar il-ġejjieni tal-Ewropa, u l-iżvilupp sostenibbli huwa parti essenzjali minn dak il-ġejjieni. </w:t>
      </w:r>
    </w:p>
    <w:p w:rsidR="006A3383" w:rsidRDefault="000262D4">
      <w:pPr>
        <w:pStyle w:val="Heading1"/>
        <w:rPr>
          <w:rFonts w:eastAsia="Times New Roman"/>
          <w:noProof/>
        </w:rPr>
      </w:pPr>
      <w:bookmarkStart w:id="6" w:name="_Toc532469537"/>
      <w:bookmarkStart w:id="7" w:name="_Toc536442038"/>
      <w:bookmarkStart w:id="8" w:name="_Toc536619982"/>
      <w:bookmarkEnd w:id="6"/>
      <w:r>
        <w:rPr>
          <w:noProof/>
        </w:rPr>
        <w:t>L-UE u l-isfidi globali li rridu nindirizzaw</w:t>
      </w:r>
      <w:bookmarkEnd w:id="7"/>
      <w:bookmarkEnd w:id="8"/>
    </w:p>
    <w:p w:rsidR="006A3383" w:rsidRDefault="006A3383">
      <w:pPr>
        <w:rPr>
          <w:noProof/>
          <w:sz w:val="4"/>
          <w:szCs w:val="4"/>
        </w:rPr>
      </w:pP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Wara l-isforzi ta’ riforma li saru fil-livelli kollha, l-elementi ekonomiċi fundamentali tal-UE stejqru wara l-kriżi ekonomika u finanzjarja.</w:t>
      </w:r>
      <w:r>
        <w:rPr>
          <w:rStyle w:val="FootnoteReference"/>
          <w:rFonts w:ascii="Times New Roman" w:hAnsi="Times New Roman"/>
          <w:noProof/>
          <w:sz w:val="24"/>
        </w:rPr>
        <w:footnoteReference w:id="12"/>
      </w:r>
      <w:r>
        <w:rPr>
          <w:rFonts w:ascii="Times New Roman" w:hAnsi="Times New Roman"/>
          <w:noProof/>
          <w:sz w:val="24"/>
        </w:rPr>
        <w:t xml:space="preserve"> </w:t>
      </w:r>
      <w:r>
        <w:rPr>
          <w:rFonts w:ascii="Times New Roman" w:hAnsi="Times New Roman"/>
          <w:noProof/>
          <w:color w:val="000000"/>
          <w:sz w:val="24"/>
        </w:rPr>
        <w:t>Madankollu, previżjonijiet riċenti</w:t>
      </w:r>
      <w:r>
        <w:rPr>
          <w:rStyle w:val="FootnoteReference"/>
          <w:rFonts w:ascii="Times New Roman" w:hAnsi="Times New Roman"/>
          <w:noProof/>
          <w:color w:val="000000"/>
          <w:sz w:val="24"/>
        </w:rPr>
        <w:footnoteReference w:id="13"/>
      </w:r>
      <w:r>
        <w:rPr>
          <w:rFonts w:ascii="Times New Roman" w:hAnsi="Times New Roman"/>
          <w:noProof/>
          <w:color w:val="000000"/>
          <w:sz w:val="24"/>
        </w:rPr>
        <w:t xml:space="preserve"> juru l-ħtieġa li jiżdiedu r-rati ta’ tkabbir, jitnaqqsu r-rati tad-dejn u tinżamm id-dixxiplina fiskali sabiex jiġi pprovdut il-qafas ta’ ekonomija b’saħħitha. Sakemm ma niħdux passi biex inżidu r-reżiljenza ekonomika u l-koeżjoni u nindirizzaw il-vulnerabbiltajiet strutturali, is-snin li ġejjin jistgħu jwasslu għal nuqqas ta’ momentum fost riskji kbar ta’ tnaqqis fir-ritmu ekonomiku. Min-naħa l-oħra, jekk nagħmlu r-riformi strutturali meħtieġa nkunu nistgħu nżidu l-benesseri u nsaħħu l-ġejjieni, fosthom permezz tal-investiment fir-riċerka u l-innovazzjoni, fis-servizzi pubbliċi, fis-sistemi ta’ protezzjoni soċjali u fil-ħarsien tal-ambjent. Hemm bżonn li jittieħdu passi kemm fil-livell tal-UE kif ukoll fil-livell tal-Istati Membri biex niżguraw sistemi fiskali u tal-pensjoni li jifilħu għal dak kollu li jista’ jiġri fil-ġejjieni, inkluż dħul stabbli mit-taxxa fis-Suq Uniku.</w:t>
      </w: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Mhux hekk biss, hemm bosta sfidi li qegħdin isiru aktar urġenti, u jheddu l-benesseri u l-prosperità ekonomika tagħna. Dawn l-isfidi kollha huma kumplessi u marbutin sew, li jfisser li jekk nindirizzaw sfida waħda nistgħu nħallu effetti pożittivi fuq l-oħrajn. </w:t>
      </w: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Id-defiċit ekonomiku huwa l-aktar defiċit serju fis-sostenibbiltà </w:t>
      </w:r>
      <w:r>
        <w:rPr>
          <w:rFonts w:ascii="Times New Roman" w:hAnsi="Times New Roman"/>
          <w:noProof/>
          <w:sz w:val="24"/>
        </w:rPr>
        <w:t>u l-akbar sfida tagħna - dejn li qed inżidu minħabba l-użu żejjed u l-ħela tar-riżorsi naturali tagħna u li b’hekk qiegħed jhedded il-kapaċità tagħna li nipprovdu għall-ħtiġijiet tal-ġenerazzjonijiet tal-ġejjieni fil-limiti ta’ dak li tista’ tagħtina d-dinja.</w:t>
      </w:r>
      <w:r>
        <w:rPr>
          <w:rFonts w:ascii="Times New Roman" w:hAnsi="Times New Roman"/>
          <w:noProof/>
          <w:color w:val="000000"/>
          <w:sz w:val="24"/>
        </w:rPr>
        <w:t xml:space="preserve"> Madwar id-dinja l-pressjoni fuq riżorsi ewlenin, mill-ilma frisk sal-art fertili, qiegħda tipperikola l-eżistenza tal-bniedem. </w:t>
      </w:r>
      <w:r>
        <w:rPr>
          <w:rFonts w:ascii="Times New Roman" w:hAnsi="Times New Roman"/>
          <w:noProof/>
          <w:sz w:val="24"/>
        </w:rPr>
        <w:t>Illum l-umanità qiegħda tuża ekwivalenti ta’ 1.7 Dinjiet.</w:t>
      </w:r>
      <w:r>
        <w:rPr>
          <w:rStyle w:val="FootnoteReference"/>
          <w:rFonts w:ascii="Times New Roman" w:hAnsi="Times New Roman"/>
          <w:noProof/>
          <w:color w:val="000000"/>
          <w:sz w:val="24"/>
        </w:rPr>
        <w:footnoteReference w:id="14"/>
      </w:r>
      <w:r>
        <w:rPr>
          <w:rFonts w:ascii="Times New Roman" w:hAnsi="Times New Roman"/>
          <w:noProof/>
          <w:color w:val="000000"/>
          <w:sz w:val="24"/>
        </w:rPr>
        <w:t xml:space="preserve"> Hekk kif bejn l-1900 u l-2015 il-konsum globali tar-riżorsi materjali żdied b’erbatax-il darba, u bejn l-2015 u l-2050 mistenni li aktar minn jirdopjja</w:t>
      </w:r>
      <w:r>
        <w:rPr>
          <w:rStyle w:val="FootnoteReference"/>
          <w:rFonts w:ascii="Times New Roman" w:hAnsi="Times New Roman"/>
          <w:noProof/>
          <w:color w:val="000000"/>
          <w:sz w:val="24"/>
        </w:rPr>
        <w:footnoteReference w:id="15"/>
      </w:r>
      <w:r>
        <w:rPr>
          <w:rFonts w:ascii="Times New Roman" w:hAnsi="Times New Roman"/>
          <w:noProof/>
          <w:color w:val="000000"/>
          <w:sz w:val="24"/>
        </w:rPr>
        <w:t xml:space="preserve">, id-dinja miexja lejn diversi punti kritiċi. Minbarra l-ħsara ambjentali, din hija sfida kbira tal-ekonomija tal-UE, li hija dipendenti fuq materjali minn swieq internazzjonali.  </w:t>
      </w:r>
    </w:p>
    <w:p w:rsidR="006A3383" w:rsidRDefault="006A3383">
      <w:pPr>
        <w:jc w:val="both"/>
        <w:rPr>
          <w:rFonts w:ascii="Times New Roman" w:hAnsi="Times New Roman" w:cs="Times New Roman"/>
          <w:i/>
          <w:noProof/>
          <w:sz w:val="24"/>
          <w:szCs w:val="24"/>
        </w:rPr>
      </w:pPr>
    </w:p>
    <w:p w:rsidR="006A3383" w:rsidRDefault="000262D4">
      <w:pPr>
        <w:jc w:val="center"/>
        <w:rPr>
          <w:rFonts w:ascii="Times New Roman" w:hAnsi="Times New Roman" w:cs="Times New Roman"/>
          <w:i/>
          <w:noProof/>
          <w:sz w:val="24"/>
          <w:szCs w:val="24"/>
        </w:rPr>
      </w:pPr>
      <w:r>
        <w:rPr>
          <w:noProof/>
          <w:lang w:val="en-GB" w:eastAsia="en-GB" w:bidi="ar-SA"/>
        </w:rPr>
        <w:drawing>
          <wp:inline distT="0" distB="0" distL="0" distR="0">
            <wp:extent cx="4140000" cy="421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0000" cy="4212000"/>
                    </a:xfrm>
                    <a:prstGeom prst="rect">
                      <a:avLst/>
                    </a:prstGeom>
                    <a:noFill/>
                    <a:ln>
                      <a:noFill/>
                    </a:ln>
                  </pic:spPr>
                </pic:pic>
              </a:graphicData>
            </a:graphic>
          </wp:inline>
        </w:drawing>
      </w:r>
    </w:p>
    <w:p w:rsidR="006A3383" w:rsidRDefault="006A3383">
      <w:pPr>
        <w:jc w:val="both"/>
        <w:rPr>
          <w:rFonts w:ascii="Times New Roman" w:hAnsi="Times New Roman" w:cs="Times New Roman"/>
          <w:i/>
          <w:noProof/>
          <w:sz w:val="24"/>
          <w:szCs w:val="24"/>
        </w:rPr>
      </w:pPr>
    </w:p>
    <w:p w:rsidR="006A3383" w:rsidRDefault="006A3383">
      <w:pPr>
        <w:spacing w:line="240" w:lineRule="auto"/>
        <w:jc w:val="both"/>
        <w:rPr>
          <w:rFonts w:ascii="Times New Roman" w:hAnsi="Times New Roman" w:cs="Times New Roman"/>
          <w:noProof/>
          <w:sz w:val="24"/>
          <w:szCs w:val="24"/>
        </w:rPr>
      </w:pPr>
    </w:p>
    <w:p w:rsidR="006A3383" w:rsidRDefault="000262D4">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740400" cy="306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0400" cy="3067200"/>
                    </a:xfrm>
                    <a:prstGeom prst="rect">
                      <a:avLst/>
                    </a:prstGeom>
                    <a:noFill/>
                    <a:ln>
                      <a:noFill/>
                    </a:ln>
                  </pic:spPr>
                </pic:pic>
              </a:graphicData>
            </a:graphic>
          </wp:inline>
        </w:drawing>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Kulma jmur il-bijodiversità u l-ekosistemi qegġdin jiġu mhedda aktar mill-azzjoni tal-bniedem; f’40 sena biss il-popolazzjonijiet tal-ispeċi vertebrati fid-dinja naqsu b’medja ta’ 60 %.</w:t>
      </w:r>
      <w:r>
        <w:rPr>
          <w:rStyle w:val="FootnoteReference"/>
          <w:rFonts w:ascii="Times New Roman" w:hAnsi="Times New Roman"/>
          <w:noProof/>
          <w:sz w:val="24"/>
        </w:rPr>
        <w:footnoteReference w:id="16"/>
      </w:r>
      <w:r>
        <w:rPr>
          <w:rFonts w:ascii="Times New Roman" w:hAnsi="Times New Roman"/>
          <w:noProof/>
          <w:sz w:val="24"/>
        </w:rPr>
        <w:t xml:space="preserve"> Il-foresti tropikali qegħdin jinqerdu b’rati mgħaġġla, u kull sena tintilef żona bejn wieħed u ieħor id-daqs tal-Greċja.</w:t>
      </w:r>
      <w:r>
        <w:rPr>
          <w:rFonts w:ascii="Times New Roman" w:hAnsi="Times New Roman"/>
          <w:b/>
          <w:noProof/>
          <w:sz w:val="24"/>
        </w:rPr>
        <w:t xml:space="preserve"> </w:t>
      </w:r>
      <w:r>
        <w:rPr>
          <w:rFonts w:ascii="Times New Roman" w:hAnsi="Times New Roman"/>
          <w:noProof/>
          <w:sz w:val="24"/>
        </w:rPr>
        <w:t>Din mhijiex “problema ta’ ħaddieħor”. Fl-UE huma biss 23 % tal-ispeċi u 16 % tal-ħabitats li huma b’saħħithom. L-ikel ibbażat fuq l-annimali iħalli impatt qawwi fuq il-ħafna art meħtieġa għall-produzzjoni tiegħu</w:t>
      </w:r>
      <w:r>
        <w:rPr>
          <w:rStyle w:val="FootnoteReference"/>
          <w:rFonts w:ascii="Times New Roman" w:hAnsi="Times New Roman"/>
          <w:noProof/>
          <w:sz w:val="24"/>
        </w:rPr>
        <w:footnoteReference w:id="17"/>
      </w:r>
      <w:r>
        <w:rPr>
          <w:rFonts w:ascii="Times New Roman" w:hAnsi="Times New Roman"/>
          <w:noProof/>
          <w:sz w:val="24"/>
        </w:rPr>
        <w:t xml:space="preserve"> u d-domanda dejjem tikber għall-frott tal-baħar tpoġġi pressjoni sinifikanti fuq l-ekosistemi tal-baħar.</w:t>
      </w:r>
      <w:r>
        <w:rPr>
          <w:rStyle w:val="FootnoteReference"/>
          <w:rFonts w:ascii="Times New Roman" w:hAnsi="Times New Roman"/>
          <w:noProof/>
          <w:sz w:val="24"/>
        </w:rPr>
        <w:footnoteReference w:id="18"/>
      </w: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Il-livell globali ta’ emissjonijiet ta’ gassijiet b’effett serra għadu jiżdied b’rata allarmanti prinċipalment minħabba l-użu tal-enerġija iżda wkoll b’kawża tal-konsum eċċessiv ta’ riżorsi u l-qerda tal-ekosistemi.</w:t>
      </w:r>
      <w:r>
        <w:rPr>
          <w:rFonts w:ascii="Times New Roman" w:hAnsi="Times New Roman"/>
          <w:noProof/>
          <w:sz w:val="24"/>
        </w:rPr>
        <w:t xml:space="preserve"> It-trasport huwa responsabbli għal 27 % tal-emissjonijiet tal-gassijiet serra, u bosta żoni urbani qegħdin jiksru l-limiti tat-tniġġis tal-arja miftehmin fil-livell tal-UE. Il-produzzjoni tal-ikel għadha tikkonsma livelli sinifikanti ta’ ilma u ta’ enerġija u hija emittent ta’ inkwinanti responsabbli għal madwar 11.3 % tal-emissjonijiet tal-gassijiet serra fl-UE. Fl-UE l-fjuwils fossili għandhom igawdu minn sussidji pubbliċi li jammontaw għal EUR 55 biljun kull sena, jiġifieri madwar 20 % tal-kont tal-importazzjoni tal-fjuwil tal-UE, minkejja l-miżuri ambizzjużi ta’ dekarbonizzazzjoni tal-UE u l-impenji favur it-tneħħija gradwali tas-sussidji fil-G7 u l-G20.</w:t>
      </w:r>
      <w:r>
        <w:rPr>
          <w:rStyle w:val="FootnoteReference"/>
          <w:rFonts w:ascii="Times New Roman" w:hAnsi="Times New Roman"/>
          <w:noProof/>
          <w:sz w:val="24"/>
        </w:rPr>
        <w:footnoteReference w:id="19"/>
      </w:r>
      <w:r>
        <w:rPr>
          <w:rFonts w:ascii="Times New Roman" w:hAnsi="Times New Roman"/>
          <w:noProof/>
          <w:sz w:val="24"/>
        </w:rPr>
        <w:t xml:space="preserve">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Kumplessivament, l-UE rnexxielha tnaqqas l-emissjonijiet tagħha, u tiddiżakkoppjahom minn mat-tkabbir ekonomiku biex b’hekk tagħti kontribut qawwi għall-isforzi globali, b’kunsiderazzjoni wkoll għall-emissjonijiet inkorporati fl-importazzjonijiet u l-esportazzjonijiet tal-UE.</w:t>
      </w:r>
      <w:r>
        <w:rPr>
          <w:rStyle w:val="FootnoteReference"/>
          <w:rFonts w:ascii="Times New Roman" w:hAnsi="Times New Roman"/>
          <w:noProof/>
          <w:sz w:val="24"/>
        </w:rPr>
        <w:footnoteReference w:id="20"/>
      </w:r>
      <w:r>
        <w:rPr>
          <w:rFonts w:ascii="Times New Roman" w:hAnsi="Times New Roman"/>
          <w:noProof/>
          <w:sz w:val="24"/>
        </w:rPr>
        <w:t xml:space="preserve"> Madankollu huma meħtieġa aktar sforzi fuq il-livell tal-UE u fuq dak globali.</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color w:val="000000"/>
          <w:sz w:val="24"/>
        </w:rPr>
        <w:t xml:space="preserve">Jekk l-impatt qerriedi tat-tibdil fil-klima u d-degradazzjoni tal-kapital naturali jibqgħu ma jiġux indirizzati dawn ser ikollhom impatt serju fuq l-ekonomija, inaqqsu l-kwalità tal-ħajja madwar il-pjaneta kollha u jżidu l-intensità u l-frekwenza ta’ diżastri naturali, li jpoġġu aktar ħajjiet fil-periklu. </w:t>
      </w:r>
      <w:r>
        <w:rPr>
          <w:rFonts w:ascii="Times New Roman" w:hAnsi="Times New Roman"/>
          <w:noProof/>
          <w:sz w:val="24"/>
        </w:rPr>
        <w:t>Filwaqt li biex nibdlu x-xejriet negattivi f’oħrajn pożittivi se jiswiena mhux ftit u jitlob sforz kollettiv b’saħħtu, il-kost li ma nagħmlu xejn u l-konsegwenzi marbuta ma’ dan jiswiena ħafna iżjed.</w:t>
      </w:r>
      <w:r>
        <w:rPr>
          <w:rStyle w:val="FootnoteReference"/>
          <w:rFonts w:ascii="Times New Roman" w:hAnsi="Times New Roman"/>
          <w:noProof/>
          <w:sz w:val="24"/>
        </w:rPr>
        <w:footnoteReference w:id="21"/>
      </w:r>
      <w:r>
        <w:rPr>
          <w:rFonts w:ascii="Times New Roman" w:hAnsi="Times New Roman"/>
          <w:noProof/>
          <w:sz w:val="24"/>
        </w:rPr>
        <w:t xml:space="preserve"> </w:t>
      </w: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Minbarra l-isfida tal-pjaneta, il-mudell tal-protezzjoni soċjali tal-UE - il-pedament tal-proġett Ewropew - jinsab f’dinja li qiegħda tinbidel. It-tibdil teknoloġiku, strutturali u demografiku f’dinja globalizzata qiegħed jittrasforma n-natura tax-xogħol u qiegħed jitfa’ dubji fuq is-solidarjetà tagħna, imermer il wegħda li kull ġenerazzjoni tista’ tittama li tiret dinja aħjar minn ta’ qabilha. Dan jista’ jżid it-theddida għall-valuri fundamentali li tħaddan l-UE - id-demokrazija, l-istat tad-dritt u d-drittijiet fundamentali. </w:t>
      </w: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0262D4">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4114800" cy="457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45792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Bħalissa madwar 22.5 % tal-popolazzjoni tal-UE għadha fir-riskju tal-faqar jew tal-esklużjoni soċjali u 6.9 % tal-Ewropej għadhom jesperenzaw deprivazzjoni materjali. Fl-2017, l-inugwaljanza fl-introjtu fl-Istati Membri tal-UE naqset għall-ewwel darba mill-kriżi finanzjarja ’l hawn. Madankollu, l-inugwaljanzi fil-qligħ għadhom kbar wisq u l-ġid għadu kkonċentrat wisq fil-quċċata. Dan iħalli għadd ta’ konsegwenzi soċjali li jwasslu għall differenzi bejn il-benesseri u l-kwalità tal-ħajja.</w:t>
      </w:r>
      <w:r>
        <w:rPr>
          <w:rFonts w:ascii="Times New Roman" w:hAnsi="Times New Roman"/>
          <w:noProof/>
          <w:color w:val="000000"/>
          <w:sz w:val="24"/>
        </w:rPr>
        <w:t xml:space="preserve"> </w:t>
      </w:r>
      <w:r>
        <w:rPr>
          <w:rFonts w:ascii="Times New Roman" w:hAnsi="Times New Roman"/>
          <w:noProof/>
          <w:sz w:val="24"/>
        </w:rPr>
        <w:t>L-Istati Membri tal-UE qegħdin jiffaċċjaw ukoll għadd ta’ sfidi biex jiggarantixxu enerġija affordabbli għall-Ewropej kollha hekk kif miljuni qegħdin isibuha diffiċli li jsaħħnu djarhom.</w:t>
      </w:r>
      <w:r>
        <w:rPr>
          <w:rStyle w:val="FootnoteReference"/>
          <w:rFonts w:ascii="Times New Roman" w:hAnsi="Times New Roman"/>
          <w:noProof/>
          <w:sz w:val="24"/>
        </w:rPr>
        <w:footnoteReference w:id="22"/>
      </w:r>
      <w:r>
        <w:rPr>
          <w:rFonts w:ascii="Times New Roman" w:hAnsi="Times New Roman"/>
          <w:noProof/>
          <w:sz w:val="24"/>
        </w:rPr>
        <w:t xml:space="preserve"> Filwaqt li 43 miljun ruħ fl-UE ma jaffordjawx ikla regolari ta’ kwalità kull jumejn</w:t>
      </w:r>
      <w:r>
        <w:rPr>
          <w:rStyle w:val="FootnoteReference"/>
          <w:rFonts w:ascii="Times New Roman" w:hAnsi="Times New Roman"/>
          <w:noProof/>
          <w:sz w:val="24"/>
        </w:rPr>
        <w:footnoteReference w:id="23"/>
      </w:r>
      <w:r>
        <w:rPr>
          <w:rFonts w:ascii="Times New Roman" w:hAnsi="Times New Roman"/>
          <w:noProof/>
          <w:sz w:val="24"/>
        </w:rPr>
        <w:t>, qegħdin naħlu madwar 20 % tal-produzzjoni tal-ikel tagħna</w:t>
      </w:r>
      <w:r>
        <w:rPr>
          <w:rStyle w:val="FootnoteReference"/>
          <w:rFonts w:ascii="Times New Roman" w:hAnsi="Times New Roman"/>
          <w:noProof/>
          <w:sz w:val="24"/>
        </w:rPr>
        <w:footnoteReference w:id="24"/>
      </w:r>
      <w:r>
        <w:rPr>
          <w:rFonts w:ascii="Times New Roman" w:hAnsi="Times New Roman"/>
          <w:noProof/>
          <w:sz w:val="24"/>
        </w:rPr>
        <w:t xml:space="preserve"> u aktar min-nofs il-popolazzjoni tal-UE tbati minn piż żejjed</w:t>
      </w:r>
      <w:r>
        <w:rPr>
          <w:rStyle w:val="FootnoteReference"/>
          <w:rFonts w:ascii="Times New Roman" w:hAnsi="Times New Roman"/>
          <w:noProof/>
          <w:sz w:val="24"/>
        </w:rPr>
        <w:footnoteReference w:id="25"/>
      </w:r>
      <w:r>
        <w:rPr>
          <w:rFonts w:ascii="Times New Roman" w:hAnsi="Times New Roman"/>
          <w:noProof/>
          <w:sz w:val="24"/>
        </w:rPr>
        <w:t>, li jżid ir-rskji serji għas-saħħa. Riskju għas-saħħa ieħor huwa r-reżistenza għall-antimikrobiċi, li tista’ tikkawża aktar minn 10 miljun mewt fis-sena fid-deċennji li ġejjin.</w:t>
      </w:r>
      <w:r>
        <w:rPr>
          <w:rStyle w:val="FootnoteReference"/>
          <w:rFonts w:ascii="Times New Roman" w:hAnsi="Times New Roman"/>
          <w:noProof/>
          <w:sz w:val="24"/>
        </w:rPr>
        <w:footnoteReference w:id="26"/>
      </w:r>
      <w:r>
        <w:rPr>
          <w:rFonts w:ascii="Times New Roman" w:hAnsi="Times New Roman"/>
          <w:noProof/>
          <w:sz w:val="24"/>
        </w:rPr>
        <w:t xml:space="preserve"> </w:t>
      </w:r>
    </w:p>
    <w:p w:rsidR="006A3383" w:rsidRDefault="000262D4">
      <w:pPr>
        <w:autoSpaceDE w:val="0"/>
        <w:autoSpaceDN w:val="0"/>
        <w:adjustRightInd w:val="0"/>
        <w:spacing w:after="0" w:line="240" w:lineRule="auto"/>
        <w:jc w:val="both"/>
        <w:rPr>
          <w:rFonts w:ascii="Times New Roman" w:hAnsi="Times New Roman" w:cs="Times New Roman"/>
          <w:i/>
          <w:noProof/>
          <w:sz w:val="24"/>
          <w:szCs w:val="24"/>
        </w:rPr>
      </w:pPr>
      <w:r>
        <w:rPr>
          <w:noProof/>
        </w:rPr>
        <w:tab/>
      </w:r>
    </w:p>
    <w:p w:rsidR="006A3383" w:rsidRDefault="006A3383">
      <w:pPr>
        <w:autoSpaceDE w:val="0"/>
        <w:autoSpaceDN w:val="0"/>
        <w:adjustRightInd w:val="0"/>
        <w:spacing w:after="0" w:line="240" w:lineRule="auto"/>
        <w:jc w:val="both"/>
        <w:rPr>
          <w:rFonts w:ascii="Times New Roman" w:hAnsi="Times New Roman" w:cs="Times New Roman"/>
          <w:i/>
          <w:noProof/>
          <w:sz w:val="24"/>
          <w:szCs w:val="24"/>
        </w:rPr>
      </w:pPr>
    </w:p>
    <w:p w:rsidR="006A3383" w:rsidRDefault="000262D4">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070800" cy="225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800" cy="22500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i/>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Illum għadna ma lħaqniex ugwaljanza sħiħa bejn il-ġeneri. Minkejja l-fatt li r-rati ta’ impjieg fost in-nisa jinsabu fl-ogħla livelli li qatt intlaħqu u aktar u aktar nisa jinsabu f’pożizzjonijiet ta’ poter aktar minn qatt qabel, f’oqsma oħra l-progress qiegħed jistaġna jekk mhux imur lura.</w:t>
      </w:r>
      <w:r>
        <w:rPr>
          <w:rStyle w:val="FootnoteReference"/>
          <w:rFonts w:ascii="Times New Roman" w:hAnsi="Times New Roman"/>
          <w:noProof/>
          <w:sz w:val="24"/>
        </w:rPr>
        <w:footnoteReference w:id="27"/>
      </w:r>
      <w:r>
        <w:rPr>
          <w:rFonts w:ascii="Times New Roman" w:hAnsi="Times New Roman"/>
          <w:noProof/>
          <w:sz w:val="24"/>
        </w:rPr>
        <w:t xml:space="preserve"> Fl-aħħar għaxar snin tnax-il Stat Membru tal-UE marru għall-agħar fir-rigward tal-ħin iddedikat min-nisa u mill-irġiel għall-kura, ix-xogħol domestiku u l-attivitajiet soċjali. Il-lakuni fl-impjiegi u fis-salarji għadhom hemm.</w:t>
      </w:r>
      <w:r>
        <w:rPr>
          <w:rStyle w:val="FootnoteReference"/>
          <w:rFonts w:ascii="Times New Roman" w:hAnsi="Times New Roman"/>
          <w:noProof/>
          <w:sz w:val="24"/>
        </w:rPr>
        <w:footnoteReference w:id="28"/>
      </w:r>
      <w:r>
        <w:rPr>
          <w:rFonts w:ascii="Times New Roman" w:hAnsi="Times New Roman"/>
          <w:noProof/>
          <w:sz w:val="24"/>
        </w:rPr>
        <w:t xml:space="preserve"> </w:t>
      </w:r>
    </w:p>
    <w:p w:rsidR="006A3383" w:rsidRDefault="006A3383">
      <w:pPr>
        <w:autoSpaceDE w:val="0"/>
        <w:autoSpaceDN w:val="0"/>
        <w:adjustRightInd w:val="0"/>
        <w:spacing w:after="0" w:line="240" w:lineRule="auto"/>
        <w:jc w:val="both"/>
        <w:rPr>
          <w:rFonts w:ascii="Times New Roman" w:hAnsi="Times New Roman" w:cs="Times New Roman"/>
          <w:i/>
          <w:noProof/>
          <w:sz w:val="24"/>
          <w:szCs w:val="24"/>
        </w:rPr>
      </w:pPr>
    </w:p>
    <w:p w:rsidR="006A3383" w:rsidRDefault="000262D4">
      <w:pPr>
        <w:autoSpaceDE w:val="0"/>
        <w:autoSpaceDN w:val="0"/>
        <w:adjustRightInd w:val="0"/>
        <w:spacing w:after="0" w:line="240" w:lineRule="auto"/>
        <w:jc w:val="center"/>
        <w:rPr>
          <w:rFonts w:ascii="Times New Roman" w:hAnsi="Times New Roman" w:cs="Times New Roman"/>
          <w:bCs/>
          <w:noProof/>
          <w:color w:val="000000"/>
          <w:sz w:val="24"/>
          <w:szCs w:val="24"/>
        </w:rPr>
      </w:pPr>
      <w:r>
        <w:rPr>
          <w:noProof/>
          <w:lang w:val="en-GB" w:eastAsia="en-GB" w:bidi="ar-SA"/>
        </w:rPr>
        <w:drawing>
          <wp:inline distT="0" distB="0" distL="0" distR="0">
            <wp:extent cx="4305600" cy="20520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5600" cy="2052000"/>
                    </a:xfrm>
                    <a:prstGeom prst="rect">
                      <a:avLst/>
                    </a:prstGeom>
                    <a:noFill/>
                    <a:ln>
                      <a:noFill/>
                    </a:ln>
                  </pic:spPr>
                </pic:pic>
              </a:graphicData>
            </a:graphic>
          </wp:inline>
        </w:drawing>
      </w: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Kisba kbira hija li l-Ewropa għandha l-ogħla stennija tal-għomor fid-dinja. Iżda minnhom infushom, għadd dejjem jikber ta’ anzjani u popolazzjoni fl-età tax-xogħol li qed tonqos huma ta’ sfida għall-mudell soċjoekonomiku tagħna. </w:t>
      </w:r>
      <w:r>
        <w:rPr>
          <w:rFonts w:ascii="Times New Roman" w:hAnsi="Times New Roman"/>
          <w:noProof/>
          <w:sz w:val="24"/>
        </w:rPr>
        <w:t>Flimkien mal-lonġevità, it-tixjiħ u l-probabbiltà ta’ mard kroniku jistgħu jħallu impatt profond fuq il-finanzi pubbliċi, fosthom is-sistemi tas-saħħa.</w:t>
      </w:r>
      <w:r>
        <w:rPr>
          <w:rFonts w:ascii="Times New Roman" w:hAnsi="Times New Roman"/>
          <w:noProof/>
          <w:color w:val="000000"/>
          <w:sz w:val="24"/>
        </w:rPr>
        <w:t xml:space="preserve"> Dawn ukoll se jżidu r-riskju tal-inugwaljanzi bejn il-ġenerazzjonijiet. </w:t>
      </w:r>
    </w:p>
    <w:p w:rsidR="006A3383" w:rsidRDefault="006A3383">
      <w:pPr>
        <w:autoSpaceDE w:val="0"/>
        <w:autoSpaceDN w:val="0"/>
        <w:adjustRightInd w:val="0"/>
        <w:spacing w:after="0" w:line="240" w:lineRule="auto"/>
        <w:jc w:val="both"/>
        <w:rPr>
          <w:rFonts w:ascii="Times New Roman" w:hAnsi="Times New Roman" w:cs="Times New Roman"/>
          <w:i/>
          <w:noProof/>
          <w:color w:val="000000"/>
          <w:sz w:val="24"/>
          <w:szCs w:val="24"/>
        </w:rPr>
      </w:pPr>
    </w:p>
    <w:p w:rsidR="006A3383" w:rsidRDefault="006A3383">
      <w:pPr>
        <w:autoSpaceDE w:val="0"/>
        <w:autoSpaceDN w:val="0"/>
        <w:adjustRightInd w:val="0"/>
        <w:spacing w:after="0" w:line="240" w:lineRule="auto"/>
        <w:jc w:val="both"/>
        <w:rPr>
          <w:rFonts w:ascii="Times New Roman" w:hAnsi="Times New Roman" w:cs="Times New Roman"/>
          <w:bCs/>
          <w:i/>
          <w:noProof/>
          <w:color w:val="000000"/>
          <w:sz w:val="24"/>
          <w:szCs w:val="24"/>
        </w:rPr>
      </w:pPr>
    </w:p>
    <w:p w:rsidR="006A3383" w:rsidRDefault="006A3383">
      <w:pPr>
        <w:autoSpaceDE w:val="0"/>
        <w:autoSpaceDN w:val="0"/>
        <w:adjustRightInd w:val="0"/>
        <w:spacing w:after="0" w:line="240" w:lineRule="auto"/>
        <w:jc w:val="both"/>
        <w:rPr>
          <w:rFonts w:ascii="Times New Roman" w:hAnsi="Times New Roman" w:cs="Times New Roman"/>
          <w:bCs/>
          <w:i/>
          <w:noProof/>
          <w:color w:val="000000"/>
          <w:sz w:val="24"/>
          <w:szCs w:val="24"/>
        </w:rPr>
      </w:pPr>
    </w:p>
    <w:p w:rsidR="006A3383" w:rsidRDefault="006A3383">
      <w:pPr>
        <w:autoSpaceDE w:val="0"/>
        <w:autoSpaceDN w:val="0"/>
        <w:adjustRightInd w:val="0"/>
        <w:spacing w:after="0" w:line="240" w:lineRule="auto"/>
        <w:jc w:val="both"/>
        <w:rPr>
          <w:rFonts w:ascii="Times New Roman" w:hAnsi="Times New Roman" w:cs="Times New Roman"/>
          <w:bCs/>
          <w:i/>
          <w:noProof/>
          <w:color w:val="000000"/>
          <w:sz w:val="24"/>
          <w:szCs w:val="24"/>
        </w:rPr>
      </w:pPr>
    </w:p>
    <w:p w:rsidR="006A3383" w:rsidRDefault="000262D4">
      <w:pPr>
        <w:autoSpaceDE w:val="0"/>
        <w:autoSpaceDN w:val="0"/>
        <w:adjustRightInd w:val="0"/>
        <w:spacing w:after="0" w:line="240" w:lineRule="auto"/>
        <w:jc w:val="center"/>
        <w:rPr>
          <w:rFonts w:ascii="Times New Roman" w:hAnsi="Times New Roman" w:cs="Times New Roman"/>
          <w:bCs/>
          <w:i/>
          <w:noProof/>
          <w:color w:val="000000"/>
          <w:sz w:val="24"/>
          <w:szCs w:val="24"/>
        </w:rPr>
      </w:pPr>
      <w:r>
        <w:rPr>
          <w:noProof/>
          <w:lang w:val="en-GB" w:eastAsia="en-GB" w:bidi="ar-SA"/>
        </w:rPr>
        <w:drawing>
          <wp:inline distT="0" distB="0" distL="0" distR="0">
            <wp:extent cx="3110400" cy="260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0400" cy="26028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bCs/>
          <w:i/>
          <w:noProof/>
          <w:color w:val="000000"/>
          <w:sz w:val="24"/>
          <w:szCs w:val="24"/>
        </w:rPr>
      </w:pP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noProof/>
          <w:sz w:val="24"/>
        </w:rPr>
        <w:t>L-inugwaljanzi u t-tnaqqis tal-mobbiltà soċjali huma riskji għall-iżvilupp ekonomiku ġenerali</w:t>
      </w:r>
      <w:r>
        <w:rPr>
          <w:rStyle w:val="FootnoteReference"/>
          <w:rFonts w:ascii="Times New Roman" w:hAnsi="Times New Roman"/>
          <w:noProof/>
          <w:sz w:val="24"/>
        </w:rPr>
        <w:footnoteReference w:id="29"/>
      </w:r>
      <w:r>
        <w:rPr>
          <w:rFonts w:ascii="Times New Roman" w:hAnsi="Times New Roman"/>
          <w:noProof/>
          <w:sz w:val="24"/>
        </w:rPr>
        <w:t xml:space="preserve"> u għall-koeżjoni soċjali. Ġeneralment l-UE għandha riżultati relattivament pożittivi fir-rigward tal-inugwaljanza fl-introjtu, iżda mhux daqstant b’rabta mal-opportunitajiet indaqs. In-nuqqas ta’ opportunitajiet indaqs jista’ jostakola partijiet mill-popolazzjoni milli jintegraw fis-soċjetà u fis-suq tax-xogħol, u b’hekk ifixklu l-prospetti ta’ tkabbir tagħhom.</w:t>
      </w:r>
      <w:r>
        <w:rPr>
          <w:b/>
          <w:noProof/>
          <w:sz w:val="24"/>
        </w:rPr>
        <w:t xml:space="preserve"> </w:t>
      </w:r>
      <w:r>
        <w:rPr>
          <w:rFonts w:ascii="Times New Roman" w:hAnsi="Times New Roman"/>
          <w:noProof/>
          <w:sz w:val="24"/>
        </w:rPr>
        <w:t>L-indirizzar tal-inugwaljanzi huwa kruċjali biex il-pubbliku jappoġġa t-tranżizzjoni lejn is-sostenibbiltà. It-tentazzjonijiet li qegħdin jeskalaw favur l-iżolazzjoniżmu u n-nazzjonaliżmu jistgħu jkunu sinjali li għadd kbir wisq ta’ Ewoprej mhumiex iħossuhom protetti f’dinja li tidher qed issir dejjem aktar inġusta. Madankollu, huwa ċar li l-ebda Stat Membru mhuwa kbir jew b’saħħtu biżżejjed biex jindirizza l-isfidi transnazzjonali, iżda magħqudin fl-UE nistgħu noffru l-protezzjoni.</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L-inugwaljanzi fi skala globali wkoll joħolqu tħassib serju. </w:t>
      </w:r>
      <w:r>
        <w:rPr>
          <w:rFonts w:ascii="Times New Roman" w:hAnsi="Times New Roman"/>
          <w:noProof/>
          <w:color w:val="000000"/>
          <w:sz w:val="24"/>
        </w:rPr>
        <w:t>Hekk kif hemm differenzi kbar fit-tkabbir tal-popolazzjoni u fl-istandards tal-għajxien madwar id-dinja, flimkien maż-żieda tat-temperaturi globali u l-għejbien tal-ekosistemi, ma hemmx dubju li se naraw żieda fl-ispustament sfurzat u fil-migrazzjoni madwar il-globu. Pereżempju, huwa stmat li sal-2050 mijiet ta’ miljuni ta’ persuni se jaħarbu djarhom b’riżultat tat-tibdil fil-klima u d-degradazzjoni ambjentali.</w:t>
      </w:r>
      <w:r>
        <w:rPr>
          <w:rStyle w:val="FootnoteReference"/>
          <w:rFonts w:ascii="Times New Roman" w:hAnsi="Times New Roman"/>
          <w:noProof/>
          <w:color w:val="000000"/>
          <w:sz w:val="24"/>
        </w:rPr>
        <w:footnoteReference w:id="30"/>
      </w:r>
      <w:r>
        <w:rPr>
          <w:rFonts w:ascii="Times New Roman" w:hAnsi="Times New Roman"/>
          <w:noProof/>
          <w:color w:val="000000"/>
          <w:sz w:val="24"/>
        </w:rPr>
        <w:t xml:space="preserve"> Dan huwa eżempju ċar dwar kif il-kwistjonijiet kumplessi differenti huma interkonnessi u interdipendenti, u għaliex jirrikjedu rispons komprensiv. Ma hemmx soluzzjoni waħda jew ħafifa għal għall-isfidi kbar u diffiċli li qed niffaċċjaw. </w:t>
      </w:r>
    </w:p>
    <w:p w:rsidR="006A3383" w:rsidRDefault="000262D4">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noProof/>
          <w:color w:val="000000"/>
          <w:sz w:val="24"/>
        </w:rPr>
        <w:t>Il-modernizzazzjoni tal-mudell ekonomiku tagħna hija kompitu diffiċli, li nindirizzaw il-kwistjonijiet soċjali li qed inħabbtu wiċċna magħhom u nissuktaw l-indukrar ta’ kooperazzjoni mutlilaterali b’saħħitha u msejsa fuq ir-regoli huma sfidi kbar. Madankollu, dawn huma l-ingredjenti meħtieġa biex niggarantixxu l-istabbiltà soċjali, biex l-ekonomiji tagħna jirnexxu u biex intejbu saħħitna. Is-soċjetajiet ħielsa tagħna għandhom bżonn dinamiżmu ekonomiku, investimenti kontinwi f’teknoloġiji abilitanti essenzjali u fl-edukazzjoni. Biex kulħadd ikollu ġejjieni aħjar għandna bżonn sura ta’ tkabbir sostenibbli ivvintat mill-ġdid, ibbażat fuq il-fehim li l-kundizzjonijiet tal-fruntieri naturali tas-seklu 21 huma differenti ferm minn dawk tas-seklu l-ieħor. Aħna nilqgħu din l-isfida.</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3052800" cy="170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2800" cy="17064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 xml:space="preserve">Skont id-definizzjoni tagħhom stess l-SDGs huma għanijiet globali, applikabbli għall-partijiet kollha tad-dinja, u jeħtiġilna nindirizzawhom b’dan il-mod. Irridu naħdmu b’perspettiva internazzjonali f’moħħna, immexxu bl-eżempju, nistabbilixxu standards globali, u nħajru lill-pajjiżi, lill-industriji u lin-nies jingħaqdu magħna f’din il-missjoni. Bħala l-akbar suq uniku fid-dinja, l-akbar negozjant u investitur u l-akbar donatur ta’ assistenza għall-iżvilupp, l-UE jista’ jkollha influwenza sinifikanti fis-suċċess tal-Aġenda 2030 tan-Nazzjonijiet Uniti. L-UE diġà daħħlet fis-seħħ bosta mill-aktar politiki moderni fid-dinja biex trawwem is-sostenibbiltà. Irridu nkomplu f’din it-triq, iżda rridu nżidu r-ritmu sabiex niżguraw Ewropa sostenibbli sal-2030. Ma nistgħux ngħaddu din ir-responsabbiltà lill-ġenerazzjonijiet li jmiss, u ż-żmien li fadlilna qiegħed jaħrabilna. Id-deċiżjonijiet li nieħdu jew li ma niħdux fis-snin li ġejjin se jiddeterminaw jekk jirnexxilniex indawru r-rotta jew le. </w:t>
      </w:r>
    </w:p>
    <w:p w:rsidR="006A3383" w:rsidRDefault="000262D4">
      <w:pPr>
        <w:pStyle w:val="Heading1"/>
        <w:rPr>
          <w:rFonts w:eastAsia="Times New Roman"/>
          <w:noProof/>
        </w:rPr>
      </w:pPr>
      <w:bookmarkStart w:id="9" w:name="_Toc536442039"/>
      <w:bookmarkStart w:id="10" w:name="_Toc536619983"/>
      <w:r>
        <w:rPr>
          <w:noProof/>
        </w:rPr>
        <w:t>Lejn Ewropa sostenibbli sal-2030</w:t>
      </w:r>
      <w:bookmarkEnd w:id="9"/>
      <w:bookmarkEnd w:id="10"/>
    </w:p>
    <w:p w:rsidR="006A3383" w:rsidRDefault="006A3383">
      <w:pPr>
        <w:rPr>
          <w:noProof/>
          <w:sz w:val="4"/>
          <w:szCs w:val="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L-iżvilupp sostenibbli jikkonċerna t-titjib tal-istandards tal-għajxien billi n-nies jingħataw għażliet reali, jinħoloq ambjent abilitanti u jixxerred l-għarfien u informazzjoni aħjar. B’hekk tinħoloq sitwazzjoni fejn aħna “ngħixu tajjeb, fil-limiti tal-pjaneta tagħna”</w:t>
      </w:r>
      <w:r>
        <w:rPr>
          <w:rStyle w:val="FootnoteReference"/>
          <w:rFonts w:ascii="Times New Roman" w:hAnsi="Times New Roman"/>
          <w:noProof/>
          <w:sz w:val="24"/>
        </w:rPr>
        <w:footnoteReference w:id="31"/>
      </w:r>
      <w:r>
        <w:rPr>
          <w:rFonts w:ascii="Times New Roman" w:hAnsi="Times New Roman"/>
          <w:noProof/>
          <w:sz w:val="24"/>
        </w:rPr>
        <w:t xml:space="preserve"> permezz ta’ użu aktar intelliġenti tar-riżorsi u ekonomija moderna li taqdi s-saħħa u l-benesseri tagħna.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Għaldaqstant jeħtiġilna nibqgħu għaddejjin fit-triq li stabilxxejna għalina: tat-tranżizzjoni lejn ekonomija b’użu baxx ta’ karbonju, newtrali għall-klima u bijodiversa b’konformità sħiħa mal-Aġenda 2030 tan-Nazzjonijiet Uniti u s-17-il SDG. Din it-tranżizzjoni trid tkun għall-benefiċċju ta’ kulħadd, fejn ħadd ma jibqa’ lura u tiggarantixxi l-ugwaljanza u l-inklużività. It-tkabbir ekonomiku tagħna irid inaqqas id-dipendenza fuq riżorsi mhux rinnovabbli biex inkunu nistgħu nagħmlu l-aħjar użu mir-riżorsi rinnovabbli ġestiti b’mod sostenibbli u mis-servizzi tal-ekosistema.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L-UE diġà bdiet din it-tranżizzjoni. Bejn l-2000 u l-2015 l-impjiegi fis-settur ambjentali żdiedu b’rata aktar mgħaġġla minn dawk tal-ekonomija inġenerali.</w:t>
      </w:r>
      <w:r>
        <w:rPr>
          <w:rStyle w:val="FootnoteReference"/>
          <w:rFonts w:ascii="Times New Roman" w:hAnsi="Times New Roman"/>
          <w:noProof/>
          <w:sz w:val="24"/>
        </w:rPr>
        <w:footnoteReference w:id="32"/>
      </w:r>
      <w:r>
        <w:rPr>
          <w:rFonts w:ascii="Times New Roman" w:hAnsi="Times New Roman"/>
          <w:noProof/>
          <w:sz w:val="24"/>
        </w:rPr>
        <w:t xml:space="preserve"> It-teknoloġiji b’livell baxx ta’ emissjonijiet tal-karbonju qegħdin isiru komodità nnegozjata maġġuri u l-UE qiegħda tgwadi minn bilanċi kummerċjali pożittivi sinifikanti. Bejn l-2012 u l-2015 l-esportazzjoni ta’ teknoloġiji ta’ enerġija nadifa mill-UE laħqu l-EUR 71 biljun, u qabżu l-importazzjonijiet bi EUR 11-il biljun. L-UE diġà qiegħda turi li huwa possibbli li l-ekonomija tikber u fl-istess ħin jitnaqqsu l-emissjonijiet tal-karbonju. </w:t>
      </w:r>
    </w:p>
    <w:p w:rsidR="006A3383" w:rsidRDefault="006A3383">
      <w:pPr>
        <w:autoSpaceDE w:val="0"/>
        <w:autoSpaceDN w:val="0"/>
        <w:adjustRightInd w:val="0"/>
        <w:spacing w:after="0" w:line="240" w:lineRule="auto"/>
        <w:jc w:val="both"/>
        <w:rPr>
          <w:rFonts w:ascii="Times New Roman" w:hAnsi="Times New Roman" w:cs="Times New Roman"/>
          <w:i/>
          <w:noProof/>
          <w:sz w:val="24"/>
          <w:szCs w:val="24"/>
        </w:rPr>
      </w:pPr>
    </w:p>
    <w:p w:rsidR="006A3383" w:rsidRDefault="000262D4">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926800" cy="227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800" cy="22752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i/>
          <w:noProof/>
          <w:sz w:val="24"/>
          <w:szCs w:val="24"/>
        </w:rPr>
      </w:pPr>
    </w:p>
    <w:p w:rsidR="006A3383" w:rsidRDefault="006A3383">
      <w:pPr>
        <w:autoSpaceDE w:val="0"/>
        <w:autoSpaceDN w:val="0"/>
        <w:adjustRightInd w:val="0"/>
        <w:spacing w:after="0" w:line="240" w:lineRule="auto"/>
        <w:jc w:val="both"/>
        <w:rPr>
          <w:rFonts w:ascii="Times New Roman" w:hAnsi="Times New Roman" w:cs="Times New Roman"/>
          <w:i/>
          <w:noProof/>
          <w:sz w:val="24"/>
          <w:szCs w:val="24"/>
        </w:rPr>
      </w:pPr>
    </w:p>
    <w:p w:rsidR="006A3383" w:rsidRDefault="000262D4">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092400" cy="249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2400" cy="24912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i/>
          <w:noProof/>
          <w:sz w:val="24"/>
          <w:szCs w:val="24"/>
        </w:rPr>
      </w:pP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Jekk tkun minn ta’ quddiem fl-implimentazzjoni tal-SDGs u fit-tranżizzjoni lejn ekonomija sostenibbli l-UE tkun tista’ tistabbilixxi l-istandards għall-bqija tad-dinja, fosthom permezz ta’ investimenti intelliġenti fl-innovazzjoni u f’teknoloġiji abilitanti essenzjali. Imbagħad l-UE tkun tista’ taħsad il-frott tat-tranżizzjoni. Ikollha wkoll l-akbar vantaġġ kompetittiv fis-suq globali t’għada. Dan jikkontribwixxi għal Stati Membri aktar b’saħħithom f’Unjoni Ewropea aktar b’saħħitha, u n-nies ikunu jistgħu jilħqu l-għanijiet tagħhom fil-libertà u l-benesseri - li hija r-realizzazzjoni tal-viżjoni Ewropea.</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color w:val="000000"/>
          <w:sz w:val="24"/>
          <w:szCs w:val="24"/>
        </w:rPr>
      </w:pPr>
      <w:r>
        <w:rPr>
          <w:rFonts w:ascii="Times New Roman" w:hAnsi="Times New Roman"/>
          <w:noProof/>
          <w:sz w:val="24"/>
        </w:rPr>
        <w:t>“It-tkabbir ekonomiku jgawdi minnu kulħadd”,</w:t>
      </w:r>
      <w:r>
        <w:rPr>
          <w:rStyle w:val="FootnoteReference"/>
          <w:rFonts w:ascii="Times New Roman" w:hAnsi="Times New Roman"/>
          <w:noProof/>
          <w:sz w:val="24"/>
        </w:rPr>
        <w:footnoteReference w:id="33"/>
      </w:r>
      <w:r>
        <w:rPr>
          <w:rFonts w:ascii="Times New Roman" w:hAnsi="Times New Roman"/>
          <w:noProof/>
          <w:sz w:val="24"/>
        </w:rPr>
        <w:t xml:space="preserve"> jibbenefika lill-produtturi daqs kemm igawdu minnu l-konsumaturi. Huwa stmat li l-ksib tal-SDGs fl-oqsma tal-ikel, l-agrikoltura, l-enerġija, il-materjali, il-bliet u s-saħħa u l-benesseri jista’ jwassal għal aktar minn EUR 10 triljuni f’opportunitajiet fis-suq.</w:t>
      </w:r>
      <w:r>
        <w:rPr>
          <w:rStyle w:val="FootnoteReference"/>
          <w:rFonts w:ascii="Times New Roman" w:hAnsi="Times New Roman"/>
          <w:noProof/>
          <w:sz w:val="24"/>
        </w:rPr>
        <w:footnoteReference w:id="34"/>
      </w:r>
      <w:r>
        <w:rPr>
          <w:rFonts w:ascii="Times New Roman" w:hAnsi="Times New Roman"/>
          <w:noProof/>
          <w:sz w:val="24"/>
        </w:rPr>
        <w:t xml:space="preserve"> L-ambizzjoni tal-UE għall-ksib ta’ ekonomija effiċjenti fir-riżorsi u newtrali għall-klima se turi li t-tranżizzjoni ekoloġika tista’ timxi id f’id mat-tisħiħ tal-prosperità. Biex jirnexxu l-UE u l-Istati Membri tagħha jridu jkunu minn ta’ quddiem fix-xjenza, fit-teknoloġija u fl-infrastruttura moderna. Irridu wkoll ninkoraġġixxu l-emerġenza ta’ mudell kummerċjali ġodda, negħlbu l-ostakli għas-Suq Uniku u nieħdu vantaġġ minn teknoloġiji ġodda bħall-intelliġenza artifiċjali. Ir-riċerka u l-innovazzjoni, il-finanzi, l-ipprezzar u t-tassazzjoni, l-imġiba kummerċjali responsabbli, u l-mudelli kummerċjali ġodda u l-edukazzjoni huma fatturi orizzontali importanti li jwasslu għall-ħolqien ta’ kundizzjonijiet tajbin għal bidla fis-sostenibbiltà - dejjem jekk ikunu mmirati lejn tranżizzjoni ekonomika innovattiva, ekoloġoka, inklużiva u soċjalment ġusta.</w:t>
      </w:r>
      <w:r>
        <w:rPr>
          <w:rFonts w:ascii="Times New Roman" w:hAnsi="Times New Roman"/>
          <w:noProof/>
          <w:color w:val="000000"/>
          <w:sz w:val="24"/>
        </w:rPr>
        <w:t xml:space="preserve"> </w:t>
      </w: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Biex naslu fid-destinazzjoni tagħna jeħtiġilna ninvestu fin-nies u fis-sistemi differenti li jirfdu s-soċjetà tagħna. </w:t>
      </w:r>
      <w:r>
        <w:rPr>
          <w:rFonts w:ascii="Times New Roman" w:hAnsi="Times New Roman"/>
          <w:noProof/>
          <w:color w:val="000000"/>
          <w:sz w:val="24"/>
        </w:rPr>
        <w:t>Approċċi iżolati u frammentati wrew li ma humiex effettivi. Jeħtieġ li nifformulaw strateġiji komprensivi u integrati. Pereżempju, il-kwistjonijiet ambjentali ma jistgħux jiġu solvuti permezz tal-politiki ambjentali biss jekk il-politiki ekonomiċi jibqgħu jippromwovu l-fjuwils fossili, l-ineffiċjenza tar-riżorsi jew produzzjoni u konsum insostenibbli. Bl-istess mod, il-politiki soċjali mhumiex biżżejjed biex jakkumpanjaw ir-raba’ rivoluzzjoni industrijali u biex jappoġġaw il-forza tax-xogħol milquta mit-tranżizzjoni mill-karbonju; politiki b’saħħithom fl-oqsma tal-edukazzjoni u t-taħriġ kif ukoll fir-riċerka u l-iżvilupp wkoll se jkunu kruċjali biex nibnu r-reżiljenza meħtieġa fis-soċjetajiet tagħna.</w:t>
      </w:r>
      <w:r>
        <w:rPr>
          <w:rFonts w:ascii="Times New Roman" w:hAnsi="Times New Roman"/>
          <w:noProof/>
          <w:sz w:val="24"/>
        </w:rPr>
        <w:t xml:space="preserve">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 xml:space="preserve">Hija meħtieġa azzjoni fil-livelli kollha. </w:t>
      </w:r>
      <w:r>
        <w:rPr>
          <w:rFonts w:ascii="Times New Roman" w:hAnsi="Times New Roman"/>
          <w:noProof/>
          <w:sz w:val="24"/>
        </w:rPr>
        <w:t xml:space="preserve">L-istituzzjonijiet tal-UE, l-Istati Membri u r-reġjuni jridu jagħtu l-kontribut tagħhom. Il-bliet, il-muniċipalitajiet u ż-żoni rurali jenħtieġ li jixprunaw il-bidla. Iċ-ċittadini, in-negozji, is-sħab soċjali u l-komunità tar-riċerka u l-għarfien se jkollhom jaħdmu id f’id. L-UE u l-Istati Membri tagħha se jkollhom jaħdmu ma’ sħab internazzjonali. Biex nirnexxu, il-livelli kollha jridu jiġbdu l-istess ħabel. </w:t>
      </w:r>
      <w:bookmarkStart w:id="11" w:name="_Toc529710464"/>
      <w:bookmarkStart w:id="12" w:name="_Toc529711035"/>
      <w:bookmarkStart w:id="13" w:name="_Toc529741350"/>
      <w:bookmarkStart w:id="14" w:name="_Toc529879840"/>
    </w:p>
    <w:p w:rsidR="006A3383" w:rsidRDefault="000262D4">
      <w:pPr>
        <w:pStyle w:val="Heading2"/>
        <w:rPr>
          <w:noProof/>
        </w:rPr>
      </w:pPr>
      <w:bookmarkStart w:id="15" w:name="_Toc536442040"/>
      <w:bookmarkStart w:id="16" w:name="_Toc536619984"/>
      <w:r>
        <w:rPr>
          <w:noProof/>
        </w:rPr>
        <w:t>Fondazzjonijiet politiċi għal futur sostenibbli</w:t>
      </w:r>
      <w:bookmarkEnd w:id="15"/>
      <w:bookmarkEnd w:id="16"/>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Huwa għalhekk ta’ importanza kruċjali li l-atturi kollha tal-UE jipprijoritizzaw it-tranżizzjoni lejn is-sostenibbiltà. Dawn iridu jkomplu jiżviluppaw l-aġendi politiċi trasversali li ġew adottati fil-livell tal-UE f’dawn l-aħħar snin. Partijiet sinifikanti tal-linji politiċi tal-UE huma diġà mmirati lejn il-kisba tal-SDGs, iżda għad għandhom bżonn li jitwettqu fil-prattika b’mod integrat mill-Istati Membri. Pereżempju, l-ispejjeż f'każ li l-leġiżlazzjoni ambjentali eżistenti tal-UE ma tiġix implimentata, huma stmati li jlaħħqu madwar EUR 50 biljun fis-sena fi spejjeż marbuta mas-saħħa u spejjeż diretti għall-ambjent. Jekk ikun hemm konformità sħiħa mar-regoli ambjentali tal-UE mhux biss jinkisbu benefiċċji kbar għall-ambjent, u għas-saħħa tagħna imma wkoll jinħolqu l-impjiegi</w:t>
      </w:r>
      <w:r>
        <w:rPr>
          <w:rStyle w:val="FootnoteReference"/>
          <w:rFonts w:ascii="Times New Roman" w:hAnsi="Times New Roman"/>
          <w:noProof/>
          <w:sz w:val="24"/>
        </w:rPr>
        <w:footnoteReference w:id="35"/>
      </w:r>
      <w:r>
        <w:rPr>
          <w:rFonts w:ascii="Times New Roman" w:hAnsi="Times New Roman"/>
          <w:noProof/>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Bl-istess mod, dan ma jinvolvix biss li jitħaffu u jiżdiedu s-soluzzjonijiet sostennibbli, iżda wkoll li jinbnew pontijiet bejn l-aġendi differenti fil-livelli kollha u tiżdied il-koerenza bejniethom. Il-koerenza politika hija kondizzjoni kritika biex jiġi żgurat li niksbu riżultati fuq l-SDGs u niżguraw tkabbir inklużiv u ekoloġiku fit-tul għall-UE.</w:t>
      </w:r>
    </w:p>
    <w:p w:rsidR="006A3383" w:rsidRDefault="000262D4">
      <w:pPr>
        <w:spacing w:line="240" w:lineRule="auto"/>
        <w:jc w:val="both"/>
        <w:rPr>
          <w:rFonts w:ascii="Times New Roman" w:hAnsi="Times New Roman" w:cs="Times New Roman"/>
          <w:b/>
          <w:noProof/>
          <w:color w:val="4F81BD" w:themeColor="accent1"/>
          <w:sz w:val="24"/>
          <w:szCs w:val="24"/>
        </w:rPr>
      </w:pPr>
      <w:r>
        <w:rPr>
          <w:rFonts w:ascii="Times New Roman" w:hAnsi="Times New Roman"/>
          <w:noProof/>
          <w:sz w:val="24"/>
        </w:rPr>
        <w:t>F’konformità mal-bażi soda ta’ evidenza tal-isfidi ewlenin għas-sostennibilità u l-opportunitajiet għall-UE, huwa importanti li wieħed jiffoka fuq il-produzzjoni u l-konsum fl-oqsma tal-materjal u l-prodotti, l-ikel, l-enerġija, il-mobilità u l-ambjent mibni</w:t>
      </w:r>
      <w:r>
        <w:rPr>
          <w:rStyle w:val="FootnoteReference"/>
          <w:rFonts w:ascii="Times New Roman" w:hAnsi="Times New Roman"/>
          <w:noProof/>
          <w:sz w:val="24"/>
        </w:rPr>
        <w:footnoteReference w:id="36"/>
      </w:r>
      <w:r>
        <w:rPr>
          <w:rFonts w:ascii="Times New Roman" w:hAnsi="Times New Roman"/>
          <w:noProof/>
          <w:sz w:val="24"/>
        </w:rPr>
        <w:t>, filwaqt li jitqiesu l-implikazzjonijiet soċjali tat-tibdil f’dawn l-oqsma. Dan huwa fejn il-bidliet fis-sostenibbiltà huma l-aktar meħtieġa u huma potenzjalment l-aktar ta’ benefiċċju għall-ekonomija tal-UE, għas-soċjetà u għall-ambjent naturali, b’effetti konsegwenzjali globali pożittivi u qawwija. Dawn l-oqsma ma joperawx b’mod iżolat iżda huma marbutin mill-qrib u jsaħħu lil xulxin</w:t>
      </w:r>
      <w:bookmarkEnd w:id="11"/>
      <w:bookmarkEnd w:id="12"/>
      <w:bookmarkEnd w:id="13"/>
      <w:r>
        <w:rPr>
          <w:rFonts w:ascii="Times New Roman" w:hAnsi="Times New Roman"/>
          <w:noProof/>
          <w:sz w:val="24"/>
        </w:rPr>
        <w:t>.</w:t>
      </w:r>
      <w:bookmarkEnd w:id="14"/>
      <w:r>
        <w:rPr>
          <w:rFonts w:ascii="Times New Roman" w:hAnsi="Times New Roman"/>
          <w:noProof/>
          <w:sz w:val="24"/>
        </w:rPr>
        <w:t xml:space="preserve"> </w:t>
      </w:r>
    </w:p>
    <w:p w:rsidR="006A3383" w:rsidRDefault="000262D4">
      <w:pPr>
        <w:pStyle w:val="Heading3"/>
        <w:rPr>
          <w:noProof/>
        </w:rPr>
      </w:pPr>
      <w:bookmarkStart w:id="17" w:name="_Toc536442041"/>
      <w:bookmarkStart w:id="18" w:name="_Toc536619985"/>
      <w:r>
        <w:rPr>
          <w:noProof/>
        </w:rPr>
        <w:t>Minn ekonomija lineari għal ekonomija ċirkolari</w:t>
      </w:r>
      <w:bookmarkEnd w:id="17"/>
      <w:bookmarkEnd w:id="18"/>
      <w:r>
        <w:rPr>
          <w:noProof/>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color w:val="000000"/>
          <w:sz w:val="24"/>
        </w:rPr>
        <w:t>Iż-żieda fid-disponibilità u l-affordabilità ta’ materjal u prodotti differenti ssimplifikatilna ħajjitna u kkontribwixxiet biex tgħolli l-istandards tal-għajxien u l-kwalità tal-ħajja fl-UE.</w:t>
      </w:r>
      <w:r>
        <w:rPr>
          <w:rFonts w:ascii="Times New Roman" w:hAnsi="Times New Roman"/>
          <w:noProof/>
          <w:sz w:val="24"/>
        </w:rPr>
        <w:t xml:space="preserve"> Madankollu, il-kultura tagħna tal-konsum irriżultat f’estrazzjoni eċċessiva tar-riżorsi u pressjonijiet dejjem jikbru fuq il-kapital naturali u fuq l-klima</w:t>
      </w:r>
      <w:r>
        <w:rPr>
          <w:rStyle w:val="FootnoteReference"/>
          <w:rFonts w:ascii="Times New Roman" w:hAnsi="Times New Roman"/>
          <w:noProof/>
          <w:sz w:val="24"/>
        </w:rPr>
        <w:footnoteReference w:id="37"/>
      </w:r>
      <w:r>
        <w:rPr>
          <w:rFonts w:ascii="Times New Roman" w:hAnsi="Times New Roman"/>
          <w:noProof/>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Jeħtiġilna niżguraw li jkunu nistgħu nkomplu nkabbru l-ekonomija tagħna b’mod sostenibbli u ntejbu l-istandards tal-għajxien li n-nies qed jitolbu. Dan se jirrikjedi disinji ġodda ta’ materjal u prodotti biex b’hekk inkunu mgħammra sew għall-użu mill-ġdid, it-tiswija u r-riċiklaġġ dejjem aktar u aktar. Dan imbagħad se jwassal mhux biss biex jitnaqqas l-iskart, iżda se jnaqqas ukoll il-ħtieġa li jiġu estratti riżorsi ġodda bi spejjeż finanzjarji u ambjentali kbar. Meta prodott jasal fl-aħħar ta’ ħajtu, kemm jekk ikun par jeans, smartphone, kontenitur tal-ikel jew biċċa għamara, ekonomija ċirkulari ta’ vera tiżgura li l-parti l-kbira tal-valur tal-materjal tiegħu tiġi ppreservata, ħalli dak li qabel kien meqjus skart ikun jista’ jerġa’ jintuża biex isiru prodotti ġodda.</w:t>
      </w:r>
    </w:p>
    <w:p w:rsidR="006A3383" w:rsidRDefault="000262D4">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401200" cy="273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200" cy="2732400"/>
                    </a:xfrm>
                    <a:prstGeom prst="rect">
                      <a:avLst/>
                    </a:prstGeom>
                    <a:noFill/>
                    <a:ln>
                      <a:noFill/>
                    </a:ln>
                  </pic:spPr>
                </pic:pic>
              </a:graphicData>
            </a:graphic>
          </wp:inline>
        </w:drawing>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It-tranżizzjoni lejn l-ekonomija ċirkolari, inkluż bijoekonomija ċirkolari, hija opportunità enormi biex jinħolqu vantaġġi kompetittivi fuq bażi tas-sostennibbli.</w:t>
      </w:r>
      <w:r>
        <w:rPr>
          <w:rFonts w:ascii="Times New Roman" w:hAnsi="Times New Roman"/>
          <w:b/>
          <w:noProof/>
          <w:sz w:val="24"/>
        </w:rPr>
        <w:t xml:space="preserve"> </w:t>
      </w:r>
      <w:r>
        <w:rPr>
          <w:rFonts w:ascii="Times New Roman" w:hAnsi="Times New Roman"/>
          <w:noProof/>
          <w:sz w:val="24"/>
        </w:rPr>
        <w:t>L-applikazzjoni tal-prinċipji tal-ekonomija ċirkolari fis-setturi u fl-industriji kollha se tibbenefika lill-Ewropa ambjentalment u soċjalment u barra minn hekk għandha l-potenzjal li tiġġenera benefiċċju ekonomiku nett ta’ EUR 1.8 triljun sal-2030</w:t>
      </w:r>
      <w:r>
        <w:rPr>
          <w:rStyle w:val="FootnoteReference"/>
          <w:rFonts w:ascii="Times New Roman" w:hAnsi="Times New Roman"/>
          <w:noProof/>
          <w:sz w:val="24"/>
        </w:rPr>
        <w:footnoteReference w:id="38"/>
      </w:r>
      <w:r>
        <w:rPr>
          <w:rFonts w:ascii="Times New Roman" w:hAnsi="Times New Roman"/>
          <w:noProof/>
          <w:sz w:val="24"/>
        </w:rPr>
        <w:t>, toħloq aktar minn 1 miljun impjieg ġdid fl-UE sal-2030</w:t>
      </w:r>
      <w:r>
        <w:rPr>
          <w:rStyle w:val="FootnoteReference"/>
          <w:rFonts w:ascii="Times New Roman" w:hAnsi="Times New Roman"/>
          <w:noProof/>
          <w:sz w:val="24"/>
        </w:rPr>
        <w:footnoteReference w:id="39"/>
      </w:r>
      <w:r>
        <w:rPr>
          <w:rFonts w:ascii="Times New Roman" w:hAnsi="Times New Roman"/>
          <w:noProof/>
          <w:sz w:val="24"/>
        </w:rPr>
        <w:t>, u tkun ċentrali biex jitnaqqsu l-emissjonijiet tal-gassijiet serra.</w:t>
      </w:r>
      <w:r>
        <w:rPr>
          <w:rStyle w:val="FootnoteReference"/>
          <w:rFonts w:ascii="Times New Roman" w:hAnsi="Times New Roman"/>
          <w:noProof/>
          <w:sz w:val="24"/>
        </w:rPr>
        <w:footnoteReference w:id="40"/>
      </w:r>
      <w:r>
        <w:rPr>
          <w:rFonts w:ascii="Times New Roman" w:hAnsi="Times New Roman"/>
          <w:noProof/>
          <w:sz w:val="24"/>
        </w:rPr>
        <w:t xml:space="preserve"> Minħabba d-dipendenza qawwija tal-prodotti tal-UE fuq riżorsi minn partijiet oħra tad-dinja, it-tranżizzjoni lejn l-ekonomija ċirkolari tgħin ukoll biex l-UE tnaqqas il-pressjonijiet ambjentali, soċjali u ekonomiċi globalment u żżid l-awtonomija strateġika tal-UE. </w:t>
      </w:r>
    </w:p>
    <w:p w:rsidR="006A3383" w:rsidRDefault="000262D4">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693600" cy="2934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3600" cy="2934000"/>
                    </a:xfrm>
                    <a:prstGeom prst="rect">
                      <a:avLst/>
                    </a:prstGeom>
                    <a:noFill/>
                    <a:ln>
                      <a:noFill/>
                    </a:ln>
                  </pic:spPr>
                </pic:pic>
              </a:graphicData>
            </a:graphic>
          </wp:inline>
        </w:drawing>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L-UE hija l-ekonomija fl-aħjar pożizzjoni biex tibbenefika mill-ekonomija ċirkolari billi tpoġġi l-prodotti ċirkolari bħala waħda mill-marki ewlenin tagħha u b’hekk tiġġenera vantaġġi kompetittivi. Madankollu, biex jinżamm dan il-vantaġġ se jkollna bżonn inżidu l-isforzi tagħna. Il-Pjan ta’ Azzjoni tal-Ekonomija Ċirkolari adottat mill-Kummissjoni Juncker fl-2015 jistabbilixxi miżuri biex jiggwidaw lill-UE lejn l-ekonomija ċirkolari u biex jgħinu lill-UE ssir mexxejja dinjija f’din it-tranżizzjoni. Il-pjan jinkludi passi biex jinbidlu x-xejriet tal-konsum u tal-produzzjoni, billi jiffoka fuq id-disinn tal-prodotti (id-durabilità, ir-riparabilità, l-użu mill-ġdid u r-riċiklabbiltà), il-ġestjoni tal-iskart (l-evitar, ir-riċiklaġġ ta’ materjal, l-irkupru tal-enerġija u l-evitar tar-rimi f’miżbliet) u ż-żieda fis-sensibilizzazzjoni tal-konsumaturi. Kważi l-elementi kollha tal-Pjan ta’ Azzjoni diġà twettqu iżda jridu jittieħdu aktar passi biex tinbena ekonomija Ewropea ċirkolari bis-sħiħ. </w:t>
      </w:r>
    </w:p>
    <w:p w:rsidR="006A3383" w:rsidRDefault="000262D4">
      <w:pPr>
        <w:spacing w:line="240" w:lineRule="auto"/>
        <w:jc w:val="both"/>
        <w:rPr>
          <w:rFonts w:ascii="Times New Roman" w:hAnsi="Times New Roman" w:cs="Times New Roman"/>
          <w:strike/>
          <w:noProof/>
          <w:sz w:val="24"/>
          <w:szCs w:val="24"/>
        </w:rPr>
      </w:pPr>
      <w:r>
        <w:rPr>
          <w:rFonts w:ascii="Times New Roman" w:hAnsi="Times New Roman"/>
          <w:noProof/>
          <w:sz w:val="24"/>
        </w:rPr>
        <w:t xml:space="preserve">L-Istrateġija tal-UE dwar il-bijoekonomija mġedda ppreżentata fl-2018 tikkumplimenta l-Pjan ta’ Azzjoni tal-Ekonomija Ċirkolari, ittejjeb u tespandi l-użu sostenibbli ta’ riżorsi rinnovabbli u tippermetti li materja prima rinnovabbli u prodotti sekondarji industrijali jiġu ttrasformati fi prodotti b’bażi bijoloġika, bħal fjuwils, sustanzi kimiċi, kompożiti, għamara u fertilizzanti.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Issa huwa essenzjali li dawk il-politiki li huma fis-seħħ jitwettqu fir-realtà fuq il-post, u li nkomplu nipprijoritizzaw azzjonijiet ġodda fil-livelli kollha tal-iggvernar fl-UE. Pereżempju, modernizzazzjoni ambizzjuża tar-regoli tal-UE dwar l-iskart se jkollhom jitpoġġew fil-prattika mill-Istati Membri. L-evalwazzjonijiet taċ-ċikli tal-ħajja tal-prodotti għandhom isiru norma u l-qafas tal-ekodisinn — li nħoloq biex tiżdied </w:t>
      </w:r>
      <w:r>
        <w:rPr>
          <w:rStyle w:val="ilfuvd"/>
          <w:rFonts w:ascii="Times New Roman" w:hAnsi="Times New Roman"/>
          <w:noProof/>
          <w:sz w:val="24"/>
        </w:rPr>
        <w:t>l-effiċjenza tal-prodotti ħalli jitnaqqas il-konsum tal-enerġija u tar-riżorsi</w:t>
      </w:r>
      <w:r>
        <w:rPr>
          <w:rFonts w:ascii="Times New Roman" w:hAnsi="Times New Roman"/>
          <w:noProof/>
          <w:sz w:val="24"/>
        </w:rPr>
        <w:t xml:space="preserve"> għandu jiġi estiż kemm jista’ jkun. Bdiet il-ħidma dwar is-sustanzi kimiċi, l-ambjent mhux tossiku, it-tikkettar ekoloġiku u l-ekoinnovazzjoni, il-materja prima kritika u l-fertilizzanti, hemm bżonn li titħaffef. L-ixprunar tas-suq għal materja prima sekondarja għandu jibqa’ prijorità ewlenija. Il-ħidma b’suċċess fuq ekonomija ċirkolari tal-plastik se jkollha tibqa’ qasam ewlieni enfasizzat, u r-riżorsi addizzjonali u l-industriji li jniġġsu b’mod intensiv pereżempju tal-ikel, it-tessili, u l-elettronika wkoll se jkollhom jiġu appoġġati u stimulati biex isiru ċirkulari. Is-setturi b’bażi bijoloġika se jkollhom jiżdiedu u jissaħħu filwaqt li jiġu protetti l-ekosistemi tagħna u jiġi evitat l-isfruttament żejjed tar-riżorsi naturali. Filwaqt li nimxu ‘l quddiem, għandna nagħmlu l-ekonomija ċirkolari s-sinsla tal-istrateġija industrijali tal-UE, b’mod li nippermettu ċ-ċirkolarità f’oqsma u setturi ġodda, nagħtu s-setgħa lill-konsumaturi biex jagħmlu għażliet infurmati u biex intejbu l-isforzi mis-settur pubbliku permezz ta’ akkwist pubbliku sostenibbli. Il-mument huwa propizju, u x-xejra tal-opinjoni pubblika li tappoġġja l-Istrateġija tal-UE dwar il-Plastik turi li hemm fehim dejjem jikber biex jitkompla dan il-proċess.</w:t>
      </w:r>
    </w:p>
    <w:p w:rsidR="006A3383" w:rsidRDefault="000262D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sz w:val="24"/>
          <w:szCs w:val="24"/>
        </w:rPr>
      </w:pPr>
      <w:r>
        <w:rPr>
          <w:rFonts w:ascii="Times New Roman" w:hAnsi="Times New Roman"/>
          <w:b/>
          <w:noProof/>
          <w:sz w:val="24"/>
        </w:rPr>
        <w:t xml:space="preserve">L-ekonomija ċirkolari fl-azzjoni: L-UE qed toħloq l-ewwel Strateġija komprensiva fid-dinja dwar il-Plastik </w:t>
      </w:r>
    </w:p>
    <w:p w:rsidR="006A3383" w:rsidRDefault="000262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L-Istrateġija tal-UE dwar il-Plastik</w:t>
      </w:r>
      <w:r>
        <w:rPr>
          <w:rStyle w:val="FootnoteReference"/>
          <w:rFonts w:ascii="Times New Roman" w:hAnsi="Times New Roman"/>
          <w:noProof/>
          <w:sz w:val="24"/>
        </w:rPr>
        <w:footnoteReference w:id="41"/>
      </w:r>
      <w:r>
        <w:rPr>
          <w:rFonts w:ascii="Times New Roman" w:hAnsi="Times New Roman"/>
          <w:noProof/>
          <w:sz w:val="24"/>
        </w:rPr>
        <w:t xml:space="preserve"> u l-leġiżlazzjoni dwar il-plastik b’użu ta’ darba</w:t>
      </w:r>
      <w:r>
        <w:rPr>
          <w:rStyle w:val="FootnoteReference"/>
          <w:rFonts w:ascii="Times New Roman" w:hAnsi="Times New Roman"/>
          <w:noProof/>
          <w:sz w:val="24"/>
        </w:rPr>
        <w:footnoteReference w:id="42"/>
      </w:r>
      <w:r>
        <w:rPr>
          <w:rFonts w:ascii="Times New Roman" w:hAnsi="Times New Roman"/>
          <w:noProof/>
          <w:sz w:val="24"/>
        </w:rPr>
        <w:t xml:space="preserve"> se jipproteġġu l-ambjent mit-tniġġis tal-plastik filwaqt li jħeġġu t-tkabbir u l-innovazzjoni. L-imballaġġ tal-plastik kollu mqiegħed fis-suq tal-UE hemm bżonn li jkun riċiklabbli sal-2030 b’mod ekonomikament vijabbli, fejn iż-żieda intenzjonali ta’ mikroplastiks u l-oġġetti tal-plastik li jintużaw darba li l-aktar jagħmlu ħsara u li għalihom jeżistu alternattivi se jiġu pprojbiti, u l-plastik riċiklat se jintuża dejjem aktar biex isiru prodotti ġodda.</w:t>
      </w:r>
    </w:p>
    <w:p w:rsidR="006A3383" w:rsidRDefault="000262D4">
      <w:pPr>
        <w:pStyle w:val="Heading3"/>
        <w:rPr>
          <w:noProof/>
        </w:rPr>
      </w:pPr>
      <w:bookmarkStart w:id="19" w:name="_Toc532469542"/>
      <w:bookmarkStart w:id="20" w:name="_Toc536442042"/>
      <w:bookmarkStart w:id="21" w:name="_Toc536619986"/>
      <w:bookmarkEnd w:id="19"/>
      <w:r>
        <w:rPr>
          <w:noProof/>
        </w:rPr>
        <w:t>Is-sostenibbiltà mill-għalqa sal-platt</w:t>
      </w:r>
      <w:bookmarkEnd w:id="20"/>
      <w:bookmarkEnd w:id="21"/>
      <w:r>
        <w:rPr>
          <w:noProof/>
        </w:rPr>
        <w:t xml:space="preserve"> </w:t>
      </w: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Is-settur tal-biedja u ż-żoni rurali tal-UE huma kruċjali għall-benesseri tal-Ewropej. L-agrikoltura u l-industrija tal-ikel tagħna jagħmlu lill-UE waħda mill-produtturi ewlenin tal-ikel fid-dinja, garanti tas-sigurtà tal-ikel u fornitur ta’ miljuni ta’ impjiegi għall-Ewropej. Il-bdiewa tal-UE huma wkoll l-ewwel protetturi tal-ambjent naturali għax huma jieħdu ħsieb ir-riżorsi naturali fi 48 % tal-art tal-UE, filwaqt li dawk li jieħdu ħsieb il-foresti jirrappreżentaw 40 % oħra. Iż-żoni rurali tal-UE jospitaw setturi innovattivi bħall-bijoekonomija. Barra minn hekk, iż-żoni rurali tagħna jservu bħala bażijiet kbar għar-rikreazzjoni u għat-turiżmu. Madankollu, hekk kif it-temperaturi medji qed ikomplu jogħlew u l-ambjent naturali qed jiġi ddegradat, il-bdiewa u dawk li jieħdu ħsieb il-foresti huma dawk l-aktar affettwati direttament.</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L-agrikoltura tal-UE għamlet progress reali fejn jidħlu l-klima u l-ambjent, billi naqqset l-emissjonijiet tal-gassijiet serra b’20 % u l-livelli tan-nitrati fix-xmajjar b’17.7 % mill-1990 ‘l hawn. Madankollu, dawn l-isfidi għadhom jeżistu. Jekk irridu nimmodernizzaw l-ekonomija tagħna, nipproteġu l-ambjent u ntejbu l-kwalità tal-ikel tagħna, l-iżbilanċi fil-katina tal-ikel tagħna jeħtieġ li jiġu kkoreġuti, mill-agrikoltura sas-sajd, mill-industrija tal-ikel u tax-xorb sat-trasport u d-distribuzzjoni u l-konsum.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L-SDGs joffru t-triq ’il quddiem. Huwa stmat li sistema globali tal-ikel u tal-agrikoltura konformi mal-SDGs tista’ toħloq valur ekonomiku ġdid ta’ iktar minn EUR 1.8 triljun sal-2030.</w:t>
      </w:r>
      <w:r>
        <w:rPr>
          <w:rStyle w:val="FootnoteReference"/>
          <w:rFonts w:ascii="Times New Roman" w:hAnsi="Times New Roman"/>
          <w:noProof/>
          <w:sz w:val="24"/>
        </w:rPr>
        <w:footnoteReference w:id="43"/>
      </w:r>
      <w:r>
        <w:rPr>
          <w:rFonts w:ascii="Times New Roman" w:hAnsi="Times New Roman"/>
          <w:noProof/>
          <w:sz w:val="24"/>
        </w:rPr>
        <w:t xml:space="preserve"> Dan jista’ jwassal għal ikel nutrittiv, bi prezz raġonevoli għal popolazzjoni dinjija li qed tikber, jiġġenera dħul ogħla, jgħin biex jiġu restawrati l-foresti, ir-riżorsi u l-ekosistemi tal-ilma ħelu u biex inkunu ħafna aktar reżiljenti għar-riskju tal-klima.</w:t>
      </w:r>
      <w:r>
        <w:rPr>
          <w:rStyle w:val="FootnoteReference"/>
          <w:rFonts w:ascii="Times New Roman" w:hAnsi="Times New Roman"/>
          <w:noProof/>
          <w:sz w:val="24"/>
        </w:rPr>
        <w:footnoteReference w:id="44"/>
      </w:r>
      <w:r>
        <w:rPr>
          <w:rFonts w:ascii="Times New Roman" w:hAnsi="Times New Roman"/>
          <w:noProof/>
          <w:sz w:val="24"/>
        </w:rPr>
        <w:t xml:space="preserve"> L-agrikoltura u l-prattiki tal-produzzjoni tal-ikel sostenibbli huma mistennija joħolqu aktar minn 200 miljun impjieg full-time globalment sal-2050.</w:t>
      </w:r>
      <w:r>
        <w:rPr>
          <w:rStyle w:val="FootnoteReference"/>
          <w:rFonts w:ascii="Times New Roman" w:hAnsi="Times New Roman"/>
          <w:noProof/>
          <w:sz w:val="24"/>
        </w:rPr>
        <w:footnoteReference w:id="45"/>
      </w:r>
      <w:r>
        <w:rPr>
          <w:rFonts w:ascii="Times New Roman" w:hAnsi="Times New Roman"/>
          <w:noProof/>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Hawnhekk ukoll, id-domanda pubblika qed tevolvi. Iċ-ċittadini qegħdin dejjem aktar japprezzaw ikel prodott b’benefiċċji usa’ għas-soċjetà, bħall-prodotti organiċi, prodotti b’indikazzjonijiet ġeografiċi, sistemi tal-produzzjoni tal-ikel lokalizzati b’anqas marki tal-karbonju, u soluzzjonijiet innovattivi tal-ikel b’livelli baxxi ta’ emissjonijiet. Il-biedja organika, b’enfasi fuq il-protezzjoni ambjentali u l-benessri tal-annimali, ilha tiżdied b’mod kostanti fl-Istati Membri kollha tal-UE sa mill-2005 u hija mistennija tkompli tikber.</w:t>
      </w:r>
      <w:r>
        <w:rPr>
          <w:rStyle w:val="FootnoteReference"/>
          <w:rFonts w:ascii="Times New Roman" w:hAnsi="Times New Roman"/>
          <w:noProof/>
          <w:sz w:val="24"/>
        </w:rPr>
        <w:footnoteReference w:id="46"/>
      </w:r>
      <w:r>
        <w:rPr>
          <w:rFonts w:ascii="Times New Roman" w:hAnsi="Times New Roman"/>
          <w:noProof/>
          <w:sz w:val="24"/>
        </w:rPr>
        <w:t xml:space="preserve">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3114000" cy="245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000" cy="24552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Bħala l-akbar esportatur u importatur ta’ prodotti agroalimentari fid-dinja</w:t>
      </w:r>
      <w:r>
        <w:rPr>
          <w:rStyle w:val="FootnoteReference"/>
          <w:rFonts w:ascii="Times New Roman" w:hAnsi="Times New Roman"/>
          <w:noProof/>
          <w:sz w:val="24"/>
        </w:rPr>
        <w:footnoteReference w:id="47"/>
      </w:r>
      <w:r>
        <w:rPr>
          <w:rFonts w:ascii="Times New Roman" w:hAnsi="Times New Roman"/>
          <w:noProof/>
          <w:sz w:val="24"/>
        </w:rPr>
        <w:t xml:space="preserve">, l-UE tinsab f’qagħda tajba biex taħsad il-benefiċċji ekonomiċi ta’ din l-opportunità u ssir sostenitur dinji tal-ikel sostennibbli. Dan jista’ jintlaħaq. Jeħtieġ li jkun hemm approċċ komprensiv li jinvolvi bidla ġenwina, bidla fil-mod kif nipproduċu, nittrasformaw, nikkunsmaw u nqassmu l-ikel billi nħaffu t-tranżizzjoni lejn </w:t>
      </w:r>
      <w:r>
        <w:rPr>
          <w:rFonts w:ascii="Times New Roman" w:hAnsi="Times New Roman"/>
          <w:b/>
          <w:noProof/>
          <w:sz w:val="24"/>
        </w:rPr>
        <w:t>sistema tal-ikel sostenibbli</w:t>
      </w:r>
      <w:r>
        <w:rPr>
          <w:rFonts w:ascii="Times New Roman" w:hAnsi="Times New Roman"/>
          <w:noProof/>
          <w:sz w:val="24"/>
        </w:rPr>
        <w:t xml:space="preserve"> bbażata fuq il-prinċipji tal-ekonomija ċirkolari u billi l-produzzjoni tal-ikel innovattiva, bnina, li tħares l-ambjent u l-benessri tal-annimali, sikura u nutrittiva ssir waħda mill-marki ewlenin tagħna bħala Ewropej.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Il-Kummissjoni pproponiet politika Agrikola Komuni modernizzata (PAK), fejn il-pjani nazzjonali tal-Istati Membri se jkollhom jirriflettu l-prinċipji tas-sostenibbiltà qawwija li huma fil-qalba tal-objettivi tal-PAK. Il-Politika Komuni tas-Sajd wasslet għal progress sinifikanti fit-titjib tas-sostenibbiltà tas-sajd Ewropew. Madankollu, l-implimentazzjoni korretta tal-Politika Komuni tas-Sajd, inkluża l-ġestjoni sostennibbli tal-istokk kollu tal-ħut u l-iżvilupp ta’ akkwakultura sostenibbli jibqgħu essenzjali.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4"/>
          <w:szCs w:val="24"/>
        </w:rPr>
      </w:pPr>
      <w:r>
        <w:rPr>
          <w:rFonts w:ascii="Times New Roman" w:hAnsi="Times New Roman"/>
          <w:b/>
          <w:noProof/>
          <w:sz w:val="24"/>
        </w:rPr>
        <w:t xml:space="preserve">Kaxxa: Appoġġ għat-tranżizzjoni lejn agrikoltura sostenibbli permezz ta’ PAK modernizzata </w:t>
      </w: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Il-PAK futur (2021 sal-2027)</w:t>
      </w:r>
      <w:r>
        <w:rPr>
          <w:rStyle w:val="FootnoteReference"/>
          <w:rFonts w:ascii="Times New Roman" w:hAnsi="Times New Roman"/>
          <w:noProof/>
          <w:sz w:val="24"/>
        </w:rPr>
        <w:footnoteReference w:id="48"/>
      </w:r>
      <w:r>
        <w:rPr>
          <w:rFonts w:ascii="Times New Roman" w:hAnsi="Times New Roman"/>
          <w:noProof/>
          <w:sz w:val="24"/>
        </w:rPr>
        <w:t xml:space="preserve"> se jkompli jiżgura aċċess għal ikel ta’ kwalità għolja u appoġġ qawwi għall-mudell uniku agrikolu Ewropew b’fokus akbar fuq l-ambjent u l-klima, favur it-tkomplija tat-tranżizzjoni lejn settur agrikolu iżjed sostennibbli u l-iżvilupp ta’ żoni rurali vibranti. </w:t>
      </w: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Style w:val="A2"/>
          <w:rFonts w:ascii="Times New Roman" w:hAnsi="Times New Roman" w:cs="Times New Roman"/>
          <w:noProof/>
          <w:sz w:val="24"/>
          <w:szCs w:val="24"/>
        </w:rPr>
      </w:pPr>
      <w:r>
        <w:rPr>
          <w:rStyle w:val="A2"/>
          <w:rFonts w:ascii="Times New Roman" w:hAnsi="Times New Roman"/>
          <w:noProof/>
          <w:sz w:val="24"/>
        </w:rPr>
        <w:t xml:space="preserve">L-obbligi l-ġodda jinkludu l-ippreservar tal-ħamrija b’livell għoli ta’ karbonju permezz tal-protezzjoni tal-artijiet mistagħdra u torbiera; għodda obbligatorja tal-ġestjoni tan-nutrijenti biex ittejjeb il-kwalità tal-ilma u tnaqqas il-livelli tal-ammonijaka u tal-ossidu nitruż; in-newba tal-għelejjel minflok id-diversifikazzjoni tal-għelejjel. Il-bdiewa kollha li jibbenefikaw minn appoġġ tal-PAK se jkollhom jirrispettaw dawn l-istandards bażiċi. </w:t>
      </w: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color w:val="000000"/>
          <w:sz w:val="24"/>
          <w:szCs w:val="24"/>
        </w:rPr>
      </w:pPr>
      <w:r>
        <w:rPr>
          <w:rStyle w:val="A2"/>
          <w:rFonts w:ascii="Times New Roman" w:hAnsi="Times New Roman"/>
          <w:noProof/>
          <w:sz w:val="24"/>
        </w:rPr>
        <w:t>Kull Stat Membru se jkollu jiżviluppa ekoskemi biex jappoġġjaw u/jew ikunu ta’ inċentiv għall-bdiewa biex dawn jippreferu prattiki agrikulturali li jkunu ta’ benefiċċju għall-klima u għall-ambjent, lil hinn mir-rekwiżiti obbligatorji tagħhom. Barra minn hekk, il-bdiewa se jkollhom il-possibbiltà li jikkontribwixxu aktar lejn sostenibbiltà akbar billi jirċievu appoġġ addizzjonali permezz ta’ diversi skemi volontarji.</w:t>
      </w: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F’dan il-kuntest, huwa importanti li jiġi infurzat mod aktar prudenti tal-użu tal-antimikrobiċi biex jitnaqqas ir-riskju ta’ aktar reżistenza antimikrobika fl-annimali u fil-bnedmin</w:t>
      </w:r>
      <w:r>
        <w:rPr>
          <w:rStyle w:val="FootnoteReference"/>
          <w:rFonts w:ascii="Times New Roman" w:hAnsi="Times New Roman"/>
          <w:noProof/>
          <w:sz w:val="24"/>
        </w:rPr>
        <w:footnoteReference w:id="49"/>
      </w:r>
      <w:r>
        <w:rPr>
          <w:rFonts w:ascii="Times New Roman" w:hAnsi="Times New Roman"/>
          <w:noProof/>
          <w:sz w:val="24"/>
        </w:rPr>
        <w:t>, jiġi segwit il-Pjan ta’ Azzjoni tal-UE għall-ġlieda kontra l-ħela tal-ikel, fokus akbar fuq l-istandards tal-benessri tal-annimali, jiġi żgurat l-użu sostenibbli tal-pestiċidi u l-bijoskart, ir-residwi u l-iskart jiġu ttrasformati f’riżorsi ta’ valur. Il-ħolqien tat-trasparenza fil-ktajjen tal-valur u l-inċentivi għall-produtturi u għas-supermarkets biex joffru, u għall-konsumaturi biex jagħżlu ikel u dieti sostenibbli u bnini jistgħu jiġu mħeġġa permezz ta’ miżuri adattati u innovattivi inkluż edukazzjoni aħjar u informazzjoni għall-konsumaturi biex jiġu offruti għażliet reali, tajbin għas-saħħa u affordabbli. Bidla lejn ekonomija aktar sostenibbli tal-konsum ta’ prodotti bbażati fuq l-annimali barra minn hekk iġib magħha benefiċċji sinifikanti tas-saħħa għall-konsumaturi u taffettwa b’mod pożittiv l-ambjent naturali.</w:t>
      </w:r>
      <w:r>
        <w:rPr>
          <w:rStyle w:val="FootnoteReference"/>
          <w:rFonts w:ascii="Times New Roman" w:hAnsi="Times New Roman"/>
          <w:noProof/>
          <w:sz w:val="24"/>
        </w:rPr>
        <w:footnoteReference w:id="50"/>
      </w:r>
      <w:r>
        <w:rPr>
          <w:rFonts w:ascii="Times New Roman" w:hAnsi="Times New Roman"/>
          <w:noProof/>
          <w:sz w:val="24"/>
        </w:rPr>
        <w:t xml:space="preserve">  </w:t>
      </w:r>
    </w:p>
    <w:p w:rsidR="006A3383" w:rsidRDefault="000262D4">
      <w:pPr>
        <w:pStyle w:val="Heading3"/>
        <w:rPr>
          <w:noProof/>
        </w:rPr>
      </w:pPr>
      <w:bookmarkStart w:id="22" w:name="_Toc536442043"/>
      <w:bookmarkStart w:id="23" w:name="_Toc536619987"/>
      <w:r>
        <w:rPr>
          <w:noProof/>
        </w:rPr>
        <w:t>Enerġija, bini u mobilità għall-futur</w:t>
      </w:r>
      <w:bookmarkEnd w:id="22"/>
      <w:bookmarkEnd w:id="23"/>
    </w:p>
    <w:p w:rsidR="006A3383" w:rsidRDefault="000262D4">
      <w:pPr>
        <w:spacing w:line="240" w:lineRule="auto"/>
        <w:jc w:val="both"/>
        <w:rPr>
          <w:rFonts w:ascii="Times New Roman" w:hAnsi="Times New Roman" w:cs="Times New Roman"/>
          <w:noProof/>
          <w:sz w:val="24"/>
          <w:szCs w:val="24"/>
        </w:rPr>
      </w:pPr>
      <w:r>
        <w:rPr>
          <w:rFonts w:ascii="Times New Roman" w:hAnsi="Times New Roman"/>
          <w:b/>
          <w:noProof/>
          <w:color w:val="000000"/>
          <w:sz w:val="24"/>
        </w:rPr>
        <w:t>Enerġija nadifa</w:t>
      </w:r>
      <w:r>
        <w:rPr>
          <w:rFonts w:ascii="Times New Roman" w:hAnsi="Times New Roman"/>
          <w:noProof/>
          <w:color w:val="000000"/>
          <w:sz w:val="24"/>
        </w:rPr>
        <w:t xml:space="preserve"> hija fattur essenzjali għal ġejjieni sostenibbli. </w:t>
      </w:r>
      <w:r>
        <w:rPr>
          <w:rFonts w:ascii="Times New Roman" w:hAnsi="Times New Roman"/>
          <w:noProof/>
          <w:sz w:val="24"/>
        </w:rPr>
        <w:t xml:space="preserve">Għandna bżonn nipproduċu, naħżnu u nikkunsmaw l-enerġija b’mod sostenibbli sabiex jitnaqqas l-impatt ambjentali tagħna u nipproteġu s-saħħa tal-Ewropej.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L-UE diġà hija waħda mill-aktar ekonomiji effiċjenti fl-użu tal-karbonju fid-dinja.</w:t>
      </w:r>
      <w:r>
        <w:rPr>
          <w:rFonts w:ascii="Times New Roman" w:hAnsi="Times New Roman"/>
          <w:noProof/>
          <w:color w:val="000000"/>
          <w:sz w:val="24"/>
        </w:rPr>
        <w:t xml:space="preserve"> L-enerġija rinnovabbli hija parti integrali mit-taħlita tal-enerġija tal-Ewropa u aktar minn nofs</w:t>
      </w:r>
      <w:r>
        <w:rPr>
          <w:rFonts w:ascii="Times New Roman" w:hAnsi="Times New Roman"/>
          <w:noProof/>
          <w:sz w:val="24"/>
        </w:rPr>
        <w:t xml:space="preserve"> tal-provvista tal-elettriku fl-UE hija newtrali mil-lat ta’ klima. </w:t>
      </w:r>
      <w:r>
        <w:rPr>
          <w:rFonts w:ascii="Times New Roman" w:hAnsi="Times New Roman"/>
          <w:noProof/>
          <w:color w:val="000000"/>
          <w:sz w:val="24"/>
        </w:rPr>
        <w:t>F'dawn l-aħħar snin il-miżuri tal-effiċjenza enerġetika, fosthom it-tikkettar tal-enerġija, naqqasu l-konsum tal-enerġija.</w:t>
      </w:r>
      <w:r>
        <w:rPr>
          <w:rStyle w:val="FootnoteReference"/>
          <w:rFonts w:ascii="Times New Roman" w:hAnsi="Times New Roman"/>
          <w:noProof/>
          <w:color w:val="000000"/>
          <w:sz w:val="24"/>
        </w:rPr>
        <w:footnoteReference w:id="51"/>
      </w:r>
      <w:r>
        <w:rPr>
          <w:rFonts w:ascii="Times New Roman" w:hAnsi="Times New Roman"/>
          <w:noProof/>
          <w:color w:val="000000"/>
          <w:sz w:val="24"/>
        </w:rPr>
        <w:t xml:space="preserve"> Aktar u aktar nies qegħdin jagħżlu li jixtru apparat b’effiċjenza enerġetika. Hemm kważi 1.5 miljun impjieg fl-enerġija rinnovabbli u fl-effiċjenza tal-enerġija fl-Ewropa. </w:t>
      </w:r>
    </w:p>
    <w:p w:rsidR="006A3383" w:rsidRDefault="006A3383">
      <w:pPr>
        <w:spacing w:after="120" w:line="240" w:lineRule="auto"/>
        <w:jc w:val="both"/>
        <w:rPr>
          <w:rFonts w:ascii="Times New Roman" w:hAnsi="Times New Roman" w:cs="Times New Roman"/>
          <w:noProof/>
          <w:color w:val="000000"/>
          <w:sz w:val="24"/>
          <w:szCs w:val="24"/>
        </w:rPr>
      </w:pPr>
    </w:p>
    <w:p w:rsidR="006A3383" w:rsidRDefault="006A3383">
      <w:pPr>
        <w:spacing w:after="120" w:line="240" w:lineRule="auto"/>
        <w:jc w:val="both"/>
        <w:rPr>
          <w:rFonts w:ascii="Times New Roman" w:hAnsi="Times New Roman" w:cs="Times New Roman"/>
          <w:noProof/>
          <w:color w:val="000000"/>
          <w:sz w:val="24"/>
          <w:szCs w:val="24"/>
        </w:rPr>
      </w:pPr>
    </w:p>
    <w:p w:rsidR="006A3383" w:rsidRDefault="006A3383">
      <w:pPr>
        <w:spacing w:after="120" w:line="240" w:lineRule="auto"/>
        <w:jc w:val="both"/>
        <w:rPr>
          <w:rFonts w:ascii="Times New Roman" w:hAnsi="Times New Roman" w:cs="Times New Roman"/>
          <w:noProof/>
          <w:color w:val="000000"/>
          <w:sz w:val="24"/>
          <w:szCs w:val="24"/>
        </w:rPr>
      </w:pPr>
    </w:p>
    <w:p w:rsidR="006A3383" w:rsidRDefault="000262D4">
      <w:pPr>
        <w:spacing w:after="12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3376800" cy="375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6800" cy="3754800"/>
                    </a:xfrm>
                    <a:prstGeom prst="rect">
                      <a:avLst/>
                    </a:prstGeom>
                    <a:noFill/>
                    <a:ln>
                      <a:noFill/>
                    </a:ln>
                  </pic:spPr>
                </pic:pic>
              </a:graphicData>
            </a:graphic>
          </wp:inline>
        </w:drawing>
      </w:r>
    </w:p>
    <w:p w:rsidR="006A3383" w:rsidRDefault="000262D4">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 xml:space="preserve">Bl-Unjoni tal-Enerġija, il-Kummissjoni Ewropea stabbiliet wieħed mill-aktar oqfsa globali komprensivi ta’ politika għat-tranżizzjoni tal-enerġija u għall-modernizzazzjoni ekonomika, li jlaqqa’ flimkien il-klima, l-enerġija, it-trasport, ir-riċerka u politiki oħra. </w:t>
      </w:r>
      <w:r>
        <w:rPr>
          <w:rFonts w:ascii="Times New Roman" w:hAnsi="Times New Roman"/>
          <w:noProof/>
          <w:sz w:val="24"/>
        </w:rPr>
        <w:t>Bħala parti mir-regolament dwar l-Unjoni tal-Enerġija, il-livelli fil-miri tal-UE li jintlaħqu ta’ mill-inqas 32 % ta’ enerġija rinnovabbli fil-konsum totali tal-enerġija u effiċjenza enerġetika ta’ mill-inqas 32.5 % fl-2030 se jippermettulna li jmorru lil hinn l-impenn tagħna skont il-Ftehim ta’ Pariġi dwar il-Klima li nnaqqsu l-emissjonijiet tal-gassijiet serra b’mill-inqas 40 % sal-2030, meta mqabbel mal-livelli tal-1990.</w:t>
      </w:r>
    </w:p>
    <w:p w:rsidR="006A3383" w:rsidRDefault="000262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Kaxxa: L-Enerġija Nadifa hija opportunità għat-tkabbir u l-impjiegi</w:t>
      </w:r>
    </w:p>
    <w:p w:rsidR="006A3383" w:rsidRDefault="000262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Bejn l-2008 u l-2014, l-għadd ta’ impjiegi fit-teknoloġiji tal-enerġija rinnovabbli żdied b’70 %. Hemm il-potenzjal li jinħolqu 900 000 impjieg addizzjonali sal-2030, dment li jiġi mobilizzat l-investiment pubbliku u privat. Sa 400 000 impjieg lokali ieħor jistgħu jinħolqu mis-settur tal-effiċjenza fl-enerġija.</w:t>
      </w:r>
    </w:p>
    <w:p w:rsidR="006A3383" w:rsidRDefault="006A3383">
      <w:pPr>
        <w:spacing w:after="0" w:line="240" w:lineRule="auto"/>
        <w:jc w:val="both"/>
        <w:rPr>
          <w:rFonts w:ascii="Times New Roman" w:hAnsi="Times New Roman" w:cs="Times New Roman"/>
          <w:noProof/>
          <w:sz w:val="24"/>
          <w:szCs w:val="24"/>
        </w:rPr>
      </w:pPr>
    </w:p>
    <w:p w:rsidR="006A3383" w:rsidRDefault="000262D4">
      <w:pPr>
        <w:pStyle w:val="Body"/>
        <w:rPr>
          <w:rFonts w:ascii="Times New Roman" w:hAnsi="Times New Roman" w:cs="Times New Roman"/>
          <w:noProof/>
        </w:rPr>
      </w:pPr>
      <w:r>
        <w:rPr>
          <w:rFonts w:ascii="Times New Roman" w:hAnsi="Times New Roman"/>
          <w:noProof/>
        </w:rPr>
        <w:t>Lil hinn mill-2030 huwa meħtieġ li jsir aktar biex jiġi onorat kif imiss il-Ftehim ta’ Pariġi dwar il-Klima, kif ukoll l-ispirtu tiegħu, u jiġi sfruttat il-potenzjal ekonomiku sħiħ tat-tranżizzjoni tal-enerġija. L-UE tista’ tnaqqas b’mod sinifikanti d-dipendenza għalja fuq il-fjuwils fossili, tnaqqas il-kont tal-importazzjoni tal-fjuwil fossili ta’ madwar EUR 260 biljun, iżżid l-awtonomija enerġetika tagħha, u tikkontribwixxi għal suq tal-enerġija aktar ġust.</w:t>
      </w:r>
      <w:r>
        <w:rPr>
          <w:rFonts w:ascii="Times New Roman" w:hAnsi="Times New Roman"/>
          <w:b/>
          <w:noProof/>
        </w:rPr>
        <w:t xml:space="preserve"> </w:t>
      </w:r>
      <w:r>
        <w:rPr>
          <w:rFonts w:ascii="Times New Roman" w:hAnsi="Times New Roman"/>
          <w:noProof/>
        </w:rPr>
        <w:t xml:space="preserve">Huwa essenzjali li nkomplu l-integrazzjoni tas-suq tal-enerġija billi nibnu l-interkonnessjonijiet nieqsa u niffaċilitaw il-kummerċ transfruntier tal-enerġija. It-tranżizzjoni lejn enerġija nadifa tista’ wkoll tkun appoġġjata mill-enerġija mill-oċeani u mill-enerġija mir-riħ lil hinn mill-kosta. Bħala mexxejja f’dan il-qasam, l-UE għandha tkompli tgawdi mill-vantaġġ tagħha bħala innovatur. </w:t>
      </w:r>
    </w:p>
    <w:p w:rsidR="006A3383" w:rsidRDefault="000262D4">
      <w:pPr>
        <w:pStyle w:val="Body"/>
        <w:rPr>
          <w:rFonts w:ascii="Times New Roman" w:hAnsi="Times New Roman" w:cs="Times New Roman"/>
          <w:noProof/>
        </w:rPr>
      </w:pPr>
      <w:r>
        <w:rPr>
          <w:rFonts w:ascii="Times New Roman" w:hAnsi="Times New Roman"/>
          <w:noProof/>
        </w:rPr>
        <w:t>Billi llum il-</w:t>
      </w:r>
      <w:r>
        <w:rPr>
          <w:rFonts w:ascii="Times New Roman" w:hAnsi="Times New Roman"/>
          <w:b/>
          <w:noProof/>
        </w:rPr>
        <w:t>binjiet</w:t>
      </w:r>
      <w:r>
        <w:rPr>
          <w:rFonts w:ascii="Times New Roman" w:hAnsi="Times New Roman"/>
          <w:noProof/>
        </w:rPr>
        <w:t xml:space="preserve"> huma responsabbli għal madwar 40 % tal-konsum tal-enerġija, hemm bżonn li jiġu promossi l-effiċjenza mtejba tal-enerġija permezz tar-rinnovazzjoni u tal-modernizzazzjoni. Dan diġà beda. Pereżempju, l-ekoindustriji marbuta b’mod partikolari mar-rinnovazzjoni tal-bini jirrappreżentaw aktar minn 3.4 miljun impjieg fl-Ewropa. It-tnaqqis tad-domanda għall-enerġija fil-bini jirrikjedi aktar użu effiċjenti u nadif mat-tisħin bl-elettriku, iżda wkoll binjiet u apparat domestiku aktar intelliġenti u materjal aħjar għall-iżolazzjoni, f’konformità sħiħa mal-prinċipji tal-ekonomija ċirkolari. Id-Direttiva dwar ir-Rendiment tal-Bini fl-Użu tal-Enerġija timmira li ttejjeb il-kwalità tal-ħajja, billi d-djar tagħna jsiru insulati u vventilati aħjar u għalhekk postijiet aħjar fejn wieħed jgħix, filwaqt li jiddekarbonizzaw l-istokk tal-bini sal-2050. Dawn l-azzjonijiet se jwasslu għal spejjeż irħas għall-għajxien u b’hekk iħallu aktar flus fi bwiet in-nies. Madankollu, iridu jinstabu modi u mezzi biex jgħinu lin-nies jagħmlu t-tranżizzjoni qabel kollox.</w:t>
      </w:r>
    </w:p>
    <w:p w:rsidR="006A3383" w:rsidRDefault="000262D4">
      <w:pPr>
        <w:spacing w:line="240" w:lineRule="auto"/>
        <w:jc w:val="both"/>
        <w:rPr>
          <w:rFonts w:ascii="Times New Roman" w:hAnsi="Times New Roman" w:cs="Times New Roman"/>
          <w:noProof/>
        </w:rPr>
      </w:pPr>
      <w:r>
        <w:rPr>
          <w:rFonts w:ascii="Times New Roman" w:hAnsi="Times New Roman"/>
          <w:noProof/>
          <w:sz w:val="24"/>
        </w:rPr>
        <w:t>Mutur prinċipali ieħor għat-tranżizzjoni lejn futur nadif, effiċjenti fl-użu tar-riżorsi u newtru fejn jidħlu l-emissjonijiet tal-karbonju huwa s-settur tal-</w:t>
      </w:r>
      <w:r>
        <w:rPr>
          <w:rFonts w:ascii="Times New Roman" w:hAnsi="Times New Roman"/>
          <w:b/>
          <w:noProof/>
          <w:sz w:val="24"/>
        </w:rPr>
        <w:t>mobilità</w:t>
      </w:r>
      <w:r>
        <w:rPr>
          <w:rFonts w:ascii="Times New Roman" w:hAnsi="Times New Roman"/>
          <w:noProof/>
          <w:sz w:val="24"/>
        </w:rPr>
        <w:t>, mill-mobilità urbana san-netwerks trans-Ewropej, it-trasport bit-triq kif ukoll it-tbaħħir u l-avjazzjoni. Is-servizzi tat-trasport u tal-mobilità jimpjegaw madwar 11-il miljun ruħ, u d-domanda għall-mobilità llum hija kbira. Madankollu, it-trasport illum jiġġenera tniġġis tal-arja, storbju, konġestjoni u inċidenti fit-toroq. Is-settur diġà jirrappreżenta kważi kwart tal-emissjonijiet tal-gassijiet serra tal-Ewropa u l-marka tal-emissjonijiet tiegħu qegħda tiżdied. Il-Pjan ta’ Azzjoni għal Mobilità b’Emissjonijiet Baxxi, ippreżentat mill-Kummissjoni fl-2016, u l-proposti “L-Ewropa Attiva” li segwew, jipprevedu għadd ta’ miżuri biex tiżdied is-sostenibbiltà tas-sistema tat-trasport tagħna. Dawn l-azzjonijiet huma mmirati lejn it-tnaqqis tal-emissjonijiet tal-gassijiet serra u jagħtu sinjal lill-kumpaniji tal-UE biex jinvestu fi trasport nadif. Dan ukoll se jikkontribwixxi għall-impjiegi u għat-tkabbir. Irridu nipprijoritizzaw alternattivi nodfa u affordabbli, bl-objettiv li jkollna biss vetturi b’emissjonijiet żero fit-toroq tal-UE u jagħmlu l-aħjar użu tat-teknoloġiji diġitali li jistgħu jgħinu fit-tnaqqis tal-konsum tal-fjuwil. Bl-istess mod, is-sistemi ta’ navigazzjoni bis-satellita tal-UE jikkontribwixxu għat-tnaqqis tal-emissjonijiet, pereżempju fl-avjazzjoni u fit-trasport bit-triq.</w:t>
      </w:r>
    </w:p>
    <w:p w:rsidR="006A3383" w:rsidRDefault="006A3383">
      <w:pPr>
        <w:pStyle w:val="Body"/>
        <w:rPr>
          <w:rFonts w:ascii="Times New Roman" w:hAnsi="Times New Roman" w:cs="Times New Roman"/>
          <w:i/>
          <w:noProof/>
        </w:rPr>
      </w:pPr>
    </w:p>
    <w:p w:rsidR="006A3383" w:rsidRDefault="000262D4">
      <w:pPr>
        <w:pStyle w:val="Body"/>
        <w:jc w:val="center"/>
        <w:rPr>
          <w:rFonts w:ascii="Times New Roman" w:hAnsi="Times New Roman" w:cs="Times New Roman"/>
          <w:i/>
          <w:noProof/>
        </w:rPr>
      </w:pPr>
      <w:r>
        <w:rPr>
          <w:rFonts w:ascii="Times New Roman" w:hAnsi="Times New Roman" w:cs="Times New Roman"/>
          <w:i/>
          <w:noProof/>
          <w:lang w:val="en-GB" w:eastAsia="en-GB" w:bidi="ar-SA"/>
        </w:rPr>
        <w:drawing>
          <wp:inline distT="0" distB="0" distL="0" distR="0">
            <wp:extent cx="3132000" cy="156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2000" cy="1569600"/>
                    </a:xfrm>
                    <a:prstGeom prst="rect">
                      <a:avLst/>
                    </a:prstGeom>
                    <a:noFill/>
                  </pic:spPr>
                </pic:pic>
              </a:graphicData>
            </a:graphic>
          </wp:inline>
        </w:drawing>
      </w:r>
    </w:p>
    <w:p w:rsidR="006A3383" w:rsidRDefault="000262D4">
      <w:pPr>
        <w:pStyle w:val="Body"/>
        <w:rPr>
          <w:rFonts w:ascii="Times New Roman" w:hAnsi="Times New Roman" w:cs="Times New Roman"/>
          <w:noProof/>
        </w:rPr>
      </w:pPr>
      <w:r>
        <w:rPr>
          <w:rFonts w:ascii="Times New Roman" w:hAnsi="Times New Roman"/>
          <w:noProof/>
        </w:rPr>
        <w:t xml:space="preserve">Il-bliet huma fuq quddiem nett tat-tranżizzjoni lejn mobilità sostenibbli. Permezz tal-ippjanar urban sostenibbli, l-integrazzjoni tal-ippjanar spazjali u l-indirizzar tad-domanda għall-mobbiltà u għall-infrastruttura, l-ibliet għandhom rwol importanti x’jaqdu. Iż-żoni urbani għandhom wkoll jiġu megħjuna fid-diġitalizzazzjoni, fl-awtomatizzazzjoni u soluzzjonijiet innovattivi oħra u għandhom jimmiraw lejn trasport attiv u kondiviż, minn aktar mixi u ċikliżmu għal servizzi ta’ kondiviżjoni ta’ karozzi u ppuljar ta’ karozzi. </w:t>
      </w:r>
    </w:p>
    <w:p w:rsidR="006A3383" w:rsidRDefault="000262D4">
      <w:pPr>
        <w:pStyle w:val="Body"/>
        <w:rPr>
          <w:rFonts w:ascii="Times New Roman" w:hAnsi="Times New Roman" w:cs="Times New Roman"/>
          <w:noProof/>
        </w:rPr>
      </w:pPr>
      <w:r>
        <w:rPr>
          <w:rFonts w:ascii="Times New Roman" w:hAnsi="Times New Roman"/>
          <w:noProof/>
        </w:rPr>
        <w:t xml:space="preserve">Barra minn hekk, huwa importanti li nħarsu lejn it-tfassil u tmiem il-ħajja tal-vetturi, u lejn l-infrastruttura tat-trasport biex niżguraw li l-opportunitajiet tat-tranżizzjoni lejn l-ekonomija ċirkolari jintużaw sal-massimu possibbli. Il-vetturi li jkunu waslu fi tmiem ħajjithom ikun għad fihom bosta materjal ta’ valur. Il-qafas leġiżlattiv tal-vetturi li jkunu waslu fl-aħħar ta’ ħajjithom jeżiġi li l-produtturi jiddisinnjaw u jimmanifatturaw vetturi ġodda mingħajr sustanzi perikolużi u b’tali mod li jagħmilha faċli li l-materjali ta’ vettura antika jintużaw mill-ġdid u jiġu riċiklati ħalli jsiru prodotti ġodda. </w:t>
      </w:r>
    </w:p>
    <w:p w:rsidR="006A3383" w:rsidRDefault="000262D4">
      <w:pPr>
        <w:pStyle w:val="Body"/>
        <w:rPr>
          <w:rFonts w:ascii="Times New Roman" w:hAnsi="Times New Roman" w:cs="Times New Roman"/>
          <w:noProof/>
        </w:rPr>
      </w:pPr>
      <w:r>
        <w:rPr>
          <w:rFonts w:ascii="Times New Roman" w:hAnsi="Times New Roman"/>
          <w:noProof/>
        </w:rPr>
        <w:t xml:space="preserve">Jista’ jsir iktar u għandu jsir aktar fejn jidħol l-użu ta’ kontenut riċiklat fil-vetturi u fl-infrastruttura tat-trasport ħalli jkun hemm riċiklaġġ aktar effiċjenti. </w:t>
      </w:r>
      <w:r>
        <w:rPr>
          <w:rStyle w:val="Strong"/>
          <w:rFonts w:ascii="Times New Roman" w:hAnsi="Times New Roman"/>
          <w:b w:val="0"/>
          <w:noProof/>
        </w:rPr>
        <w:t>Pereżempju, jekk jiżdied il-ġbir u r-rati ta’ riċiklaġġ tal-batteriji tal-karozzi elettriċi fl-UE tkun tista’ titnaqqas id-dipendenza fuq il-materjal impurtat u jkun ta’ għajnuna biex jinżamm il-valur tal-materjal irkuprat fl-ekonomija tal-UE.</w:t>
      </w:r>
      <w:r>
        <w:rPr>
          <w:rFonts w:ascii="Times New Roman" w:hAnsi="Times New Roman"/>
          <w:noProof/>
        </w:rPr>
        <w:t xml:space="preserve"> Inċentivi addizzjonali, kemm regolatorji kif ukoll finanzjarji, se jkunu importanti biex il-potenzjal tal-ekonomija ċirkolari jiġi sfruttat bl-aħjar mod fis-settur tat-trasport.</w:t>
      </w:r>
    </w:p>
    <w:p w:rsidR="006A3383" w:rsidRDefault="000262D4">
      <w:pPr>
        <w:pStyle w:val="Heading3"/>
        <w:rPr>
          <w:noProof/>
        </w:rPr>
      </w:pPr>
      <w:bookmarkStart w:id="24" w:name="_Toc536442044"/>
      <w:bookmarkStart w:id="25" w:name="_Toc536619988"/>
      <w:r>
        <w:rPr>
          <w:noProof/>
        </w:rPr>
        <w:t>Tiġi żgurata tranżizzjoni soċjalment ġusta</w:t>
      </w:r>
      <w:bookmarkEnd w:id="24"/>
      <w:bookmarkEnd w:id="25"/>
      <w:r>
        <w:rPr>
          <w:noProof/>
        </w:rPr>
        <w:t xml:space="preserve">   </w:t>
      </w: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Is-solidarjetà u l-prosperità huma virtujiet fihom infushom u jiffurmaw il-fibra nnifisha tas-soċjetajiet ħielsa u demokratiċi tagħna. It-tranżizzjoni lejn tkabbir u kompetittività ekonomika li tkun ekoloġikament sostenibbli tista' tkun ta’ suċċess biss jekk tkun ukoll inklużiva. Il-bidla lejn is-sostenibbiltà hija għalhekk wkoll dwar il-promozzjoni tad-drittijiet soċjali u tal-benessri għal kulħadd, u għalhekk tikkontribwixxi għall-koeżjoni soċjali fl-Istati Membri u madwar l-UE.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It-tranżizzjoni lejn is-sostenibbiltà jista’ jkollha effetti pożittivi qawwija fuq il-benesseri soċjali. Minnbarra li tipprovdi l-pedament għal impjiegi deċenti, jista’ jkollha benefiċċji tas-saħħa notevoli wkoll. Huwa rikonoxxut b’mod wiesa’ li s-saħħa tajba hija marbuta mill-qrib mal-istat tal-ambjent naturali tagħna. L-effetti negattivi tat-tniġġis tal-arja u tal-ilma huma eżempju ċar ta’ dan. Sistemi alimentari sostenibbli jistgħu jipprovdu ikel nutrittiv u ta’ kwalità għolja għaċ-ċittadini kollha.</w:t>
      </w: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sz w:val="24"/>
        </w:rPr>
        <w:t>Kaxxa:</w:t>
      </w:r>
      <w:r>
        <w:rPr>
          <w:rFonts w:ascii="Times New Roman" w:hAnsi="Times New Roman"/>
          <w:noProof/>
          <w:sz w:val="24"/>
        </w:rPr>
        <w:t xml:space="preserve"> Il-leġiżlazzjoni tal-UE dwar is-sustanzi kimiċi kkontribwixxiet b’mod sinifikanti sabiex jiġi żgurat livell għoli ta’ protezzjoni tas-saħħa tal-bniedem. Matul dawn l-aħħar erba’ deċennji, l-esponimenti tal-bniedem u tal-ambjent għal sustanzi perikolużi naqsu b’mod drammatiku. Il-leġiżlazzjoni tal-UE għenet ukoll biex jitnaqqas l-esponiment għal ċerti karċinoġeni fuq il-post tax-xogħol u wasslet għal stima ta’ prevenzjoni ta’ miljun każ ġdid tal-kanċer fl-UE matul l-aħħar 20 sena.</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Il-ħolqien ta’ sinerġiji u l-immodernizzar tal-ekonomija tagħna xi kultant jinvolvi wkoll kompromessi diffiċli. Minkejja li f’din it-tranżizzjoni lejn is-sostenibbiltà se jinħolqu impjiegi ġodda, impjiegi tradizzjonali jistgħu jgħibu jew jiġu ttrasformati fost l-oħrajn permezz tad-diġitizzazzjoni u l-awtomatizzazzjoni, u dan joħloq inkwiet temporanju fis-suq tax-xogħol. Fir-rigward tas-suq tax-xogħol pereżempju fil-preżent mhuwiex ċar x'se jkun l-impatt eżatt tal-intelliġenza artifiċjali.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Minkejja l-fatt li ħafna unitajiet domestiċi qed ibatu biex ilaħħqu mal-ħajja, il-pubbliku qed jifhem aktar li għandna bżonn nibdlu l-mod kif nipproduċu u nikkunsmaw. Madankollu, mhux talli dawn l-isfidi jolqtu lill-klassi bi dħul medju u baxx relattivament aktar bil-qawwa iżda l-ispejjeż biex jirrenovaw djarhom, il-karozzi tagħhom jew il-ħilithom, pereżempju, jistgħu wkoll ipoġġu piż ogħla fuqhom.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Din it-tranżizzjoni għandha konsegwenzi għal dawk impjegati f’negozji milquta u xi kultant għal reġjuni sħaħ. Prinċipju fundamentali biex isseħħ it-tranżizzjoni huwa li ħadd ma jibqa' lura. Sempliċiment ma nistgħux naslu għat-tranżizzjoni lejn is-sostenibbiltà għad-detriment ta’ xi gruppi ta’ nies, komunitajiet, setturi jew reġjuni. Il-membri kollha tas-soċjetà tagħna jridu jingħataw opportunitajiet indaqs biex jikkontribwixxu għal ġejjieni Ewropew sostenibbli u jibbenefikaw mit-tranżizzjoni. B’mod partikolari rridu nagħtu s-setgħa lin-nisa biex jidħlu fis-suq tax-xogħol u jiksbu l-indipendenza ekonomika.</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Biex jirnexxilna jpoġġu lis-soċjetà tagħna fuq triq tas-sostenibbiltà, irridu niżguraw li l-politiki tagħna jgħinu lill-Ewropej kollha jagħmlu din il-bidla, inkluż billi ngħammruhom bil-ħiliet li hemm bżonn. Il-Kummissjoni nediet, pereżempju, l-inizjattiva għar-Reġjuni tal-Faħam fi Tranżizzjoni, li tgħin biex jiġu żviluppati strateġiji u proġetti għal trasformazzjoni soċjali, ekonomika u teknoloġika vijabbli f’ċerti reġjuni fl-UE, u li se tiġi estiża għar-reġjuni b’użu intensiv tal-karbonju. Tali inizjattivi bikrija li jantiċipaw l-isfidi tat-tranżizzjoni għandhom jissaħħu u jiġu multiplikati għal setturi oħra fejn hija meħtieġa trasformazzjoni. Is-settur awtomobilistiku u ċerti setturi tal-ikel jistgħu jkunu eżempju. </w:t>
      </w:r>
    </w:p>
    <w:p w:rsidR="006A3383" w:rsidRDefault="000262D4">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4539600" cy="591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9600" cy="5911200"/>
                    </a:xfrm>
                    <a:prstGeom prst="rect">
                      <a:avLst/>
                    </a:prstGeom>
                    <a:noFill/>
                    <a:ln>
                      <a:noFill/>
                    </a:ln>
                  </pic:spPr>
                </pic:pic>
              </a:graphicData>
            </a:graphic>
          </wp:inline>
        </w:drawing>
      </w:r>
    </w:p>
    <w:p w:rsidR="006A3383" w:rsidRDefault="006A3383">
      <w:pPr>
        <w:spacing w:line="240" w:lineRule="auto"/>
        <w:jc w:val="center"/>
        <w:rPr>
          <w:rFonts w:ascii="Times New Roman" w:hAnsi="Times New Roman" w:cs="Times New Roman"/>
          <w:i/>
          <w:noProof/>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Se jkun ukoll kruċjali li t-tranżizzjoni tkun soċjalment inklużiva u ġusta biex il-pubbliku jaċċetta l-passi meħtieġa u biex it-tranżizzjoni tiddawwar f’suċċess għal kulħadd. Dan jimplika parteċipazzjoni ogħla u aktar ġusta fis-suq tax-xogħol, filwaqt li tingħata importanza lill-kwalità tal-impjiegi u lill-kundizzjonijiet tax-xogħol. Dan jimplika wkoll ir-rispett tad-drittijiet tal-minoranzi.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F’dan il-kuntest, migrazzjoni bl-ordni, legali u ġestita tajjeb tista’ toħloq opportunitajiet għall-ekonomija Ewropea, billi tindirizza t-tibdil demografiku, kemm fil-pajjiżi tal-oriġini kif ukoll fil-pajjiżi tad-destinazzjoni tal-migranti. L-integrazzjoni u l-parteċipazzjoni sħiħa fis-soċjetajiet – kemm kulturali, soċjali jew ekonomiċi – tal-migranti kollha li bi dritt u b’mod leġittimu jkunu residenti fl-UE hija responsabbiltà komuni u hija kruċjali biex tiġi żgurata l-koeżjoni soċjali.</w:t>
      </w:r>
      <w:r>
        <w:rPr>
          <w:rStyle w:val="FootnoteReference"/>
          <w:rFonts w:ascii="Times New Roman" w:hAnsi="Times New Roman"/>
          <w:noProof/>
          <w:sz w:val="24"/>
        </w:rPr>
        <w:footnoteReference w:id="52"/>
      </w:r>
      <w:r>
        <w:rPr>
          <w:rFonts w:ascii="Times New Roman" w:hAnsi="Times New Roman"/>
          <w:noProof/>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It-tranżizzjoni lejn is-sostenibbiltà tirrikjedi wkoll investiment f’sistemi ta’ protezzjoni soċjali effettivi u integrati, inklużi servizzi ta’ kwalità bħalma huma l-edukazzjoni, it-taħriġ, it-tagħlim tul il-ħajja, il-kura tat-tfal, il-kura mhux fl-iskola, il-kura tas-saħħa u fit-tul. Dan huwa essenzjali biex jiġu żgurati opportunitajiet indaqs għal kulħadd u biex jippromwovi l-konverġenza ekonomika u soċjali. Is-sistemi tas-saħħa, b’mod partikolari, jeħtieġ li jevolvu biex ikunu faċilment aċċessibbli u affordabbli għal kulħadd, inkluż aċċess aħjar għall-mediċini, ikunu ffokati aktar madwar il-pazjenti, u ffukati bil-qawwa fuq il-promozzjoni tas-saħħa u l-prevenzjoni tal-mard. Dawn għandhom jikollhom ukoll aktar ippjanar u tbassir, li jkunu aħjar, dwar il-forza tax-xogħol fil-qasam tas-saħħa u użu usa’ ta’ teknoloġiji diġitali kosteffettivi.</w:t>
      </w:r>
      <w:r>
        <w:rPr>
          <w:rStyle w:val="FootnoteReference"/>
          <w:rFonts w:ascii="Times New Roman" w:hAnsi="Times New Roman"/>
          <w:noProof/>
          <w:sz w:val="24"/>
        </w:rPr>
        <w:footnoteReference w:id="53"/>
      </w:r>
      <w:r>
        <w:rPr>
          <w:rFonts w:ascii="Times New Roman" w:hAnsi="Times New Roman"/>
          <w:noProof/>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Għalhekk l-investiment soċjali jrid jibqa’ fost l-ogħla prijoritajiet tal-UE u tal-Istati Membri tagħha. Id-Dokument ta’ Riflessjoni dwar l-Ewropa Soċjali</w:t>
      </w:r>
      <w:r>
        <w:rPr>
          <w:rStyle w:val="FootnoteReference"/>
          <w:rFonts w:ascii="Times New Roman" w:hAnsi="Times New Roman"/>
          <w:noProof/>
          <w:sz w:val="24"/>
        </w:rPr>
        <w:footnoteReference w:id="54"/>
      </w:r>
      <w:r>
        <w:rPr>
          <w:rFonts w:ascii="Times New Roman" w:hAnsi="Times New Roman"/>
          <w:noProof/>
          <w:sz w:val="24"/>
        </w:rPr>
        <w:t xml:space="preserve"> huwa punt ta’ referenza importanti, u jesplora fid-dettall l-għażliet biex nadattaw il-mudelli soċjali tagħna għall-isfidi li qed inħabbtu wiċċna magħhom. Il-qafas ewlieni biex l-UE timxi ‘l quddiem huwa l-Pilastru Ewropew tad-Drittijiet Soċjali pproklamat mill-istituzzjonijiet tal-UE f’Novembru 2017. L-għan tal-Pilastru huwa li jiggwida proċess imġedded ta’ titjib fil-kundizzjonijiet tax-xogħol u tal-għajxien. Dan jistabbilixxi l-prinċipji u d-drittijiet ewlenin fil-qasam tal-impjiegi u soċjali. L-attenzjoni tagħna issa trid tkun fuq it-twettiq tal-Pilastru. Fil-mixja ‘l quddiem għandna niżguraw ukoll li l-implimentazzjoni tal-Pilastru tgħin biex tgħammar lin-nies bil-ħiliet meħtieġa għall-impjiegi addattati li huma mmirati lejn tranżizzjoni ekonomika ekoloġika.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It-tranżizzjoni lejn is-sostenibbiltà trid ukoll tkompli tgħin lill-Istati Membri u lir-reġjuni jikbru ‘l fuq u lejn xulxin, filwaqt li jevitaw inġustizzji u inugwaljanzi reġjonali usa’ fl-UE fi ħdan iż-żoni urbani u dawk rurali u bejniethom. </w:t>
      </w:r>
    </w:p>
    <w:p w:rsidR="006A3383" w:rsidRDefault="000262D4">
      <w:pPr>
        <w:spacing w:line="240" w:lineRule="auto"/>
        <w:jc w:val="both"/>
        <w:rPr>
          <w:rFonts w:ascii="Times New Roman" w:hAnsi="Times New Roman" w:cs="Times New Roman"/>
          <w:b/>
          <w:i/>
          <w:noProof/>
          <w:sz w:val="24"/>
          <w:szCs w:val="24"/>
          <w:u w:val="single"/>
        </w:rPr>
      </w:pPr>
      <w:r>
        <w:rPr>
          <w:rFonts w:ascii="Times New Roman" w:hAnsi="Times New Roman"/>
          <w:noProof/>
          <w:color w:val="000000"/>
          <w:sz w:val="24"/>
        </w:rPr>
        <w:t>Filwaqt li 75 % tat-territorju tal-UE huwa rurali, iż-żoni urbani huma d-dar ta’ aktar minn żewġ terzi tal-popolazzjoni tal-UE.</w:t>
      </w:r>
      <w:r>
        <w:rPr>
          <w:rFonts w:ascii="Times New Roman" w:hAnsi="Times New Roman"/>
          <w:noProof/>
          <w:sz w:val="24"/>
        </w:rPr>
        <w:t xml:space="preserve"> Dawn jiġġeneraw sa 85 % tal-PDG tal-UE, li jgħoddu għal madwar 60-80 % tal-użu tal-enerġija, u spiss jiffaċċjaw sfidi bħalma huma l-konġestjoni, nuqqas ta’ akkomodazzjoni adegwata, tniġġis tal-arja, u infrastruttura sejra lura.</w:t>
      </w:r>
      <w:r>
        <w:rPr>
          <w:rStyle w:val="FootnoteReference"/>
          <w:rFonts w:ascii="Times New Roman" w:hAnsi="Times New Roman"/>
          <w:noProof/>
          <w:sz w:val="24"/>
        </w:rPr>
        <w:footnoteReference w:id="55"/>
      </w:r>
      <w:r>
        <w:rPr>
          <w:rFonts w:ascii="Times New Roman" w:hAnsi="Times New Roman"/>
          <w:noProof/>
          <w:sz w:val="24"/>
        </w:rPr>
        <w:t xml:space="preserve"> L-implimentazzjoni u l-iżvilupp tal-Aġenda Urbana tal-UE għandha tibqa’ prijorità u s-sinerġiji ma’ politiki differenti tas-sostenibbiltà u ma’ strumenti oħra għandhom jiġu intensifikati.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Iż-żoni rurali huma wkoll il-fornituri prinċipali tal-ikel, tal-enerġija u tal-materjal li nikkonsmaw u huma għalhekk ta’ importanza kritika għat-tranżizzjoni lejn is-sostenibbiltà. Il-bijoekonomija hija eżempju wieħed fejn tista’ ssir kontribuzzjoni importanti lejn id-dekarbonizzazzjoni tal-ekonomija tagħna filwaqt li jinħolqu impjiegi rurali. It-turiżmu u s-sistemi tal-ikel sostenibbli ukoll huma eżempji tajbin ta’ opportunitajiet ekonomiċi fiż-żoni rurali, li jinvolvu l-protezzjoni u t-tisħiħ tal-wirt kulturali u naturali. </w:t>
      </w:r>
    </w:p>
    <w:p w:rsidR="006A3383" w:rsidRDefault="000262D4">
      <w:pPr>
        <w:pStyle w:val="CommentText"/>
        <w:jc w:val="both"/>
        <w:rPr>
          <w:rFonts w:ascii="Times New Roman" w:hAnsi="Times New Roman" w:cs="Times New Roman"/>
          <w:noProof/>
          <w:sz w:val="24"/>
          <w:szCs w:val="24"/>
        </w:rPr>
      </w:pPr>
      <w:r>
        <w:rPr>
          <w:rFonts w:ascii="Times New Roman" w:hAnsi="Times New Roman"/>
          <w:noProof/>
          <w:sz w:val="24"/>
        </w:rPr>
        <w:t xml:space="preserve">Miżuri tal-UE weħidhom, bħall-politika ta’ koeżjoni u l-politiki tal-iżvilupp rurali, inkluża l-Azzjoni tal-UE għal Irħula Intelliġenti, mhux se jkunu biżżejjed, u l-atturi kollha, inklużi dawk nazzjonali u reġjonali se jkollhom jagħmlu l-parti tagħhom biex jaċċelleraw it-tranżizzjoni lejn is-sostenibbiltà u japplikaw approċċi regolatorji u oħrajn xierqa li jsaħħu ż-żoni rurali u jissalvagwardjaw kundizzjonijiet tal-għajxien ugwali. </w:t>
      </w:r>
    </w:p>
    <w:p w:rsidR="006A3383" w:rsidRDefault="000262D4">
      <w:pPr>
        <w:pStyle w:val="Heading2"/>
        <w:rPr>
          <w:noProof/>
        </w:rPr>
      </w:pPr>
      <w:bookmarkStart w:id="26" w:name="_Toc532469546"/>
      <w:bookmarkStart w:id="27" w:name="_Toc532469547"/>
      <w:bookmarkStart w:id="28" w:name="_Toc536442045"/>
      <w:bookmarkStart w:id="29" w:name="_Toc536619989"/>
      <w:bookmarkEnd w:id="26"/>
      <w:bookmarkEnd w:id="27"/>
      <w:r>
        <w:rPr>
          <w:noProof/>
        </w:rPr>
        <w:t>Faċilitaturi orizzontali għat-tranżizzjoni lejn is-sostenibbiltà</w:t>
      </w:r>
      <w:bookmarkEnd w:id="28"/>
      <w:bookmarkEnd w:id="29"/>
    </w:p>
    <w:p w:rsidR="006A3383" w:rsidRDefault="000262D4">
      <w:pPr>
        <w:pStyle w:val="Heading3"/>
        <w:rPr>
          <w:noProof/>
        </w:rPr>
      </w:pPr>
      <w:bookmarkStart w:id="30" w:name="_Toc536442046"/>
      <w:bookmarkStart w:id="31" w:name="_Toc536619990"/>
      <w:r>
        <w:rPr>
          <w:noProof/>
        </w:rPr>
        <w:t>L-edukazzjoni, ix-xjenza, it-teknoloġija, ir-riċerka, l-innovazzjoni u d-diġitalizzazzjoni</w:t>
      </w:r>
      <w:bookmarkEnd w:id="30"/>
      <w:bookmarkEnd w:id="31"/>
      <w:r>
        <w:rPr>
          <w:noProof/>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L-edukazzjoni, ix-xjenza, it-teknoloġija, ir-riċerka u l-innovazzjoni huma prerekwiżit biex tinkiseb ekonomija tal-UE sostenibbli li tilħaq l-SDGs.</w:t>
      </w:r>
      <w:r>
        <w:rPr>
          <w:rStyle w:val="FootnoteReference"/>
          <w:rFonts w:ascii="Times New Roman" w:hAnsi="Times New Roman"/>
          <w:noProof/>
          <w:sz w:val="24"/>
        </w:rPr>
        <w:footnoteReference w:id="56"/>
      </w:r>
      <w:r>
        <w:rPr>
          <w:rFonts w:ascii="Times New Roman" w:hAnsi="Times New Roman"/>
          <w:noProof/>
          <w:sz w:val="24"/>
        </w:rPr>
        <w:t xml:space="preserve"> Għandna bżonn inkomplu nżidu s-sensibilizzazzjoni, inwessgħu l-għarfien u ntejbu l-ħiliet tagħna. Għandha ninvestu aktar f’dawn l-oqsma, u nidderiġuhom lejn l-SDGs.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L-edukazzjoni, it-taħriġ u t-tagħlim tul il-ħajja huma indispensabbli biex tinħoloq kultura ta’ sostenibbiltà. Il-mexxejja tal-UE qablu li jaħdmu lejn Żona Ewropea tal-Edukazzjoni sal-2025 biex jiġi sfruttat il-potenzjal </w:t>
      </w:r>
      <w:r>
        <w:rPr>
          <w:rStyle w:val="Strong"/>
          <w:rFonts w:ascii="Times New Roman" w:hAnsi="Times New Roman"/>
          <w:b w:val="0"/>
          <w:noProof/>
          <w:sz w:val="24"/>
        </w:rPr>
        <w:t>sħiħ tal-edukazzjoni, tat-taħriġ u tal-kultura bħala xpruni għall-ħolqien tal-impjiegi, għat-tkabbir ekonomiku u għall-ġustizzja soċjali</w:t>
      </w:r>
      <w:r>
        <w:rPr>
          <w:rFonts w:ascii="Times New Roman" w:hAnsi="Times New Roman"/>
          <w:noProof/>
          <w:sz w:val="24"/>
        </w:rPr>
        <w:t xml:space="preserve">. L-edukazzjoni hija kemm virtù, fiha nnifsha, u mezz imprezzabbli biex jinkiseb l-iżvilupp sostenibbli. It-tijib tal-aċċess ugwali għal edukazzjoni u għal taħriġ inklużivi ta’ kwalità għolja fl-istadji kollha tal-ħajja, mill-edukazzjoni bikrija fit-tfulija sal-edukazzjoni ogħla u l-edukazzjoni għall-adulti, iridu għaldaqstant ikunu mira prinċipali. L-istituzzjonijiet edukattivi fil-livelli kollha għandhom jiġu mħeġġa jħaddnu l-SDGs bħala gwida għall-attivitajiet tagħhom u jiġu sostnuti biex isiru postijiet fejn il-ħiliet għas-sostenibbiltà mhumiex biss jiġu mgħallma iżda wkoll prattikati b’mod attiv. Ir-riforma u l-modernizzazzjoni tas-sistemi tal-edukazzjoni, mill-bini ta’ skejjel u kampusijiet ekoloġiċi sal-iżvilupp tal-ħiliet ġodda għall-ekonomija diġitali għandhom jiġu indirizzati wkoll.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It-tisħiħ tal-ħiliet fl-ICT u l-kompetenzi diġitali ewlenin, f’konformità mal-Pjan ta’ Azzjoni għall-Edukazzjoni Diġitali tal-UE</w:t>
      </w:r>
      <w:r>
        <w:rPr>
          <w:rStyle w:val="FootnoteReference"/>
          <w:rFonts w:ascii="Times New Roman" w:hAnsi="Times New Roman"/>
          <w:noProof/>
          <w:sz w:val="24"/>
        </w:rPr>
        <w:footnoteReference w:id="57"/>
      </w:r>
      <w:r>
        <w:rPr>
          <w:rFonts w:ascii="Times New Roman" w:hAnsi="Times New Roman"/>
          <w:noProof/>
          <w:sz w:val="24"/>
        </w:rPr>
        <w:t>, u l-fokus fuq l-intelliġenza artifiċjali</w:t>
      </w:r>
      <w:r>
        <w:rPr>
          <w:rStyle w:val="FootnoteReference"/>
          <w:rFonts w:ascii="Times New Roman" w:hAnsi="Times New Roman"/>
          <w:noProof/>
          <w:sz w:val="24"/>
        </w:rPr>
        <w:footnoteReference w:id="58"/>
      </w:r>
      <w:r>
        <w:rPr>
          <w:rFonts w:ascii="Times New Roman" w:hAnsi="Times New Roman"/>
          <w:noProof/>
          <w:sz w:val="24"/>
        </w:rPr>
        <w:t xml:space="preserve"> għandhom ikunu fost il-prijoritajiet meta nħarsu ‘l quddiem. Hija prijorità ċara li l-qawwa tat-trasformazzjoni diġitali trid tiġi kkontrollata u sfruttata sabiex jintlaħqu l-SDGs. L-UE hija impenjata bis-sħiħ biex tiżviluppa l-kapaċità u l-għarfien espert fit-teknoloġiji diġitali ewlenin bħall-konnettività, l-internet tal-oġġetti, iċ-ċibersigurtà, il-blockchain jew l-informatika ta’ prestazzjoni għolja, filwaqt li fl-istess ħin tagħti attenzjoni lill-esternalitajiet negattivi potenzjali tal-infrastrutturi diġitali.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L-intelliġenza artifiċjali hija qasam fejn l-UE għadha lura, wara ċ-Ċina u l-Istati Uniti.</w:t>
      </w:r>
      <w:r>
        <w:rPr>
          <w:rStyle w:val="FootnoteReference"/>
          <w:rFonts w:ascii="Times New Roman" w:hAnsi="Times New Roman"/>
          <w:noProof/>
          <w:sz w:val="24"/>
        </w:rPr>
        <w:footnoteReference w:id="59"/>
      </w:r>
      <w:r>
        <w:rPr>
          <w:rFonts w:ascii="Times New Roman" w:hAnsi="Times New Roman"/>
          <w:noProof/>
          <w:sz w:val="24"/>
        </w:rPr>
        <w:t xml:space="preserve"> L-UE jenħtieġ li tlaħħaq malajr biex taħsad il-benefiċċji ekonomiċi u fl-istess ħin tieħu r-riedni f’idejha fejn tidħol il-formazzjoni tal-etika l-ġdida meħtieġa li għandha takkumpanja din it-teknoloġija ġdida. B’dan il-mod l-UE tista’ tgħin biex jiġi żgurat li l-intelliġenza artifiċjali tkun ta’ benefiċċju nett għal ħajjet in-nies u x-xogħolhom. Billi l-intelliġenza artifiċjali tkun tista’ tipproċessa ammonti kbar ta’ </w:t>
      </w:r>
      <w:r>
        <w:rPr>
          <w:rFonts w:ascii="Times New Roman" w:hAnsi="Times New Roman"/>
          <w:i/>
          <w:noProof/>
          <w:sz w:val="24"/>
        </w:rPr>
        <w:t>data</w:t>
      </w:r>
      <w:r>
        <w:rPr>
          <w:rFonts w:ascii="Times New Roman" w:hAnsi="Times New Roman"/>
          <w:noProof/>
          <w:sz w:val="24"/>
        </w:rPr>
        <w:t xml:space="preserve"> b’mod istantanju, għandha l-potenzjal iżżid b’mod sinifikanti l-produttività f’bosta oqsma, bħalma huma l-kura tas-saħħa, l-enerġija, l-agrikoltura, l-edukazzjoni u l-protezzjoni ambjentali. Pereżempju, fis-settur agrikolu, ir-riċerkaturi bħalissa qed jużaw l-intelliġenza artifiċjali u l-big </w:t>
      </w:r>
      <w:r>
        <w:rPr>
          <w:rFonts w:ascii="Times New Roman" w:hAnsi="Times New Roman"/>
          <w:i/>
          <w:noProof/>
          <w:sz w:val="24"/>
        </w:rPr>
        <w:t>data</w:t>
      </w:r>
      <w:r>
        <w:rPr>
          <w:rFonts w:ascii="Times New Roman" w:hAnsi="Times New Roman"/>
          <w:noProof/>
          <w:sz w:val="24"/>
        </w:rPr>
        <w:t xml:space="preserve"> biex ibassru r-rendiment tal-għelejjel diversi xhur qabel il-ħsad, b’hekk potenzjalment jgħinu lill-bdiewa jżidu l-produttività, jieħdu deċiżjonijiet informati dwar it-tħawwil u fl-aħħar mill-aħħar itejbu s-sigurtà tal-ikel.</w:t>
      </w:r>
      <w:r>
        <w:rPr>
          <w:rStyle w:val="FootnoteReference"/>
          <w:rFonts w:ascii="Times New Roman" w:hAnsi="Times New Roman"/>
          <w:noProof/>
          <w:sz w:val="24"/>
        </w:rPr>
        <w:footnoteReference w:id="60"/>
      </w:r>
    </w:p>
    <w:p w:rsidR="006A3383" w:rsidRDefault="000262D4">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 xml:space="preserve">Ir-riċerka u l-innovazzjoni għandhom rwol importanti bħala katalisti għall-bidla. Dawn huma għodda għall-analiżi tal-impatti tal-bidla u mezz biex jiġi żgurat li kwalunkwe tranżizzjoni twassal għal żieda fil-benessri tagħna. Dawn jippermettulna wkoll niffrankaw il-flus. </w:t>
      </w:r>
      <w:r>
        <w:rPr>
          <w:rFonts w:ascii="Times New Roman" w:hAnsi="Times New Roman"/>
          <w:noProof/>
          <w:sz w:val="24"/>
        </w:rPr>
        <w:t xml:space="preserve">Aktar investiment illum fl-innovazzjoni u fl-iżvilupp teknoloġiku, fit-tul taż-żmien, se jgħinna nbaxxu l-ispejjeż biex jintlaħqu l-miri tagħna tal-politika fit-tul bħal dawk relatati mal-miri tagħna klimatiċi u ambjentali. </w:t>
      </w:r>
      <w:r>
        <w:rPr>
          <w:rFonts w:ascii="Times New Roman" w:hAnsi="Times New Roman"/>
          <w:noProof/>
          <w:color w:val="000000"/>
          <w:sz w:val="24"/>
          <w:u w:color="000000"/>
          <w:bdr w:val="nil"/>
        </w:rPr>
        <w:t xml:space="preserve">L-Ewropa għandha l-imħuħ, il-ħiliet, u l-kreattività innata. Billi tibni fuq l-elementi sodi tal-komunità tagħha sinjura fir-riċerkaturi u fl-innovaturi, l-UE qiegħda f’pożizzjoni tajba biex tieħu rwol ewlieni fl-iżvilupp u l-iskjerament ta’ soluzzjonijiet innovattivi għal tkabbir ekoloġiku u inklużiv li ser ikunu applikabbli fl-UE kif ukoll mad-dinja kollha. </w:t>
      </w:r>
    </w:p>
    <w:p w:rsidR="006A3383" w:rsidRDefault="000262D4">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Madankollu, biex jiġi sfruttat bis-sħiħ dan il-potenzjal, l-Istati Membri tal-UE għandhom bżonn iżidu n-nefqa tagħhom fuq ir-riċerka. L-UE qablet li, sal-2020, 3 % tal-PDG tal-Istati Membri tal-UE għandu jiġi investit fir-riċerka, fl-iżvilupp u fl-innovazzjoni, iżda għadna ‘l bogħod milli nilħqu din il-mira.</w:t>
      </w:r>
    </w:p>
    <w:p w:rsidR="006A3383" w:rsidRDefault="000262D4">
      <w:pPr>
        <w:spacing w:line="240" w:lineRule="auto"/>
        <w:jc w:val="center"/>
        <w:rPr>
          <w:rFonts w:ascii="Times New Roman" w:eastAsia="Helvetica" w:hAnsi="Times New Roman" w:cs="Times New Roman"/>
          <w:noProof/>
          <w:color w:val="000000"/>
          <w:sz w:val="24"/>
          <w:szCs w:val="24"/>
          <w:u w:color="000000"/>
          <w:bdr w:val="nil"/>
        </w:rPr>
      </w:pPr>
      <w:r>
        <w:rPr>
          <w:noProof/>
          <w:lang w:val="en-GB" w:eastAsia="en-GB" w:bidi="ar-SA"/>
        </w:rPr>
        <w:drawing>
          <wp:inline distT="0" distB="0" distL="0" distR="0">
            <wp:extent cx="4460400" cy="431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0400" cy="4316400"/>
                    </a:xfrm>
                    <a:prstGeom prst="rect">
                      <a:avLst/>
                    </a:prstGeom>
                    <a:noFill/>
                    <a:ln>
                      <a:noFill/>
                    </a:ln>
                  </pic:spPr>
                </pic:pic>
              </a:graphicData>
            </a:graphic>
          </wp:inline>
        </w:drawing>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color w:val="000000"/>
          <w:sz w:val="24"/>
          <w:u w:color="000000"/>
          <w:bdr w:val="nil"/>
        </w:rPr>
        <w:t xml:space="preserve">F’livell tal-UE, il-Programmi Qafas għar-Riċerka u l-Innovazzjoni huma katalisti għall-kompetittività sostenibbli, għat-tkabbir u għall-investimenti. </w:t>
      </w:r>
      <w:r>
        <w:rPr>
          <w:rFonts w:ascii="Times New Roman" w:hAnsi="Times New Roman"/>
          <w:noProof/>
          <w:sz w:val="24"/>
        </w:rPr>
        <w:t xml:space="preserve">Biex titħaffef it-tranżizzjoni lejn is-sostenibbiltà, il-finanzjament tar-riċerka u l-innovazzjoni jeħtieġ li jkun ikkumplementat b’approċċ strateġiku għall-investiment, li jippermetti soluzzjonijiet innovattivi li jilħqu s-suq, </w:t>
      </w:r>
      <w:r>
        <w:rPr>
          <w:rFonts w:ascii="Times New Roman" w:hAnsi="Times New Roman"/>
          <w:noProof/>
          <w:color w:val="000000"/>
          <w:sz w:val="24"/>
          <w:u w:color="000000"/>
          <w:bdr w:val="nil"/>
        </w:rPr>
        <w:t>peress li dawn ta’ spiss ikunu jeħtieġu kapital intensiv u investimenti b’riskju għoli.</w:t>
      </w:r>
      <w:r>
        <w:rPr>
          <w:rFonts w:ascii="Times New Roman" w:hAnsi="Times New Roman"/>
          <w:noProof/>
          <w:sz w:val="24"/>
        </w:rPr>
        <w:t xml:space="preserve"> Strumenti bħalma huma l-Fond Ewropew għall-Investimenti Strateġiċi nħolqu biex jgħinu ħalli jitnaqqsu r-riskji ta’ investimenti bħal dawn u b’hekk jagħmilhom aktar attraenti għall-partijiet konċernati privati. Il-Kunsill Ewropew għall-Innovazzjoni li ġie propost dan l-aħħar jista’ jgħin ukoll f’dan ir-rigward billi jappoġġja l-aqwa innovaturi, negozji ġodda, kumpaniji żgħar u riċerkaturi biex jirnexxu fi proġetti innovattivi ta’ riskju għoli, jespandu internazzjonalment u jibbenefikaw minn arrikkiment reċiproku intellettwali.</w:t>
      </w:r>
      <w:r>
        <w:rPr>
          <w:rFonts w:ascii="Times New Roman" w:hAnsi="Times New Roman"/>
          <w:noProof/>
          <w:color w:val="000000"/>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L-UE u l-Istati Membri jkunu jistgħu jiffokaw fuq il-finanzjament ta’ teknoloġiji innovattivi u rivoluzzjonarji u kumpaniji innovattivi li għandhom il-potenzjal li jsiru mexxejja tas-suq globali u tal-UE fit-tranżizzjoni lejn is-sostenibbiltà, kif ukoll dwar l-użu effettiv u f’waqtu ta’ dawn l-innovazzjonijiet. Għandha tingħata attenzjoni partikolari lill-biedja u lis-sistemi tal-ikel sostenibbli u innovattiv, lit-teknoloġija nadifa, lis-saħħa tal-bniedem u tal-annimali, lis-soluzzjonijiet ekosistemiċi u lill-prodotti u lill-metodi ta’ produzzjoni effiċjenti fl-użu tar-riżorsi. Barra minn hekk, huwa meħtieġ qafas regolatorju ta’ appoġġ biex jistimula l-użu tal-innovazzjoni effettiva għall-iżvilupp sostenibbli.</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L-UE u l-Istati Membri se jkunu mitluba wkoll jippromwovu rabtiet aktar b’saħħithom bejn ir-riċerkaturi u s-settur kummerċjali. Iċ-ċentri u l-inkubaturi tar-riċerka, tal-iżvilupp u tal-innovazzjoni fl-UE huma importanti biex jappoġġaw l-iżvilupp sostenibbli, ħalli r-riċerkaturi u n-negozji jkunu jistgħu jiltaqgħu, jiskambjaw l-aħjar prattiki u b’hekk jixprunaw l-innovazzjoni. Filwaqt li l-kumpaniji l-kbar jistgħu jkollhom il-mezzi biex jiżviluppaw attivitajiet ta’ riċerka interni, ta’ spiss dan ma jkunx il-każ għal intrapriżi żgħar u medji. Rabtiet iżjed b’saħħithom u diretti mal-komunità tar-riċerka għandhom il-potenzjal li jnaqqsu dan id-distakk.</w:t>
      </w:r>
    </w:p>
    <w:p w:rsidR="006A3383" w:rsidRDefault="000262D4">
      <w:pPr>
        <w:pStyle w:val="CommentText"/>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noProof/>
          <w:sz w:val="24"/>
        </w:rPr>
        <w:t xml:space="preserve">Kaxxa: L-Istitut Ewropew tal-Innovazzjoni u t-Teknoloġija (EIT), b’40 Ċentru tal-Innovazzjoni madwar l-UE, jiġbor flimkien it-trijangolu tal-edukazzjoni, ir-riċerka u n-negozju. Diversi </w:t>
      </w:r>
      <w:r>
        <w:rPr>
          <w:rFonts w:ascii="Times New Roman" w:hAnsi="Times New Roman"/>
          <w:b/>
          <w:noProof/>
          <w:sz w:val="24"/>
        </w:rPr>
        <w:t>Komunitajiet ta’ Għarfien u Innovazzjoni</w:t>
      </w:r>
      <w:r>
        <w:rPr>
          <w:rFonts w:ascii="Times New Roman" w:hAnsi="Times New Roman"/>
          <w:noProof/>
          <w:sz w:val="24"/>
        </w:rPr>
        <w:t xml:space="preserve"> (Knowledge and Innovation Communities - KICs) ġew imnedija u oħrajn se jiġu mnedija fil-futur. Dawn lill-komunitajiet </w:t>
      </w:r>
      <w:r>
        <w:rPr>
          <w:rFonts w:ascii="Times New Roman" w:hAnsi="Times New Roman"/>
          <w:b/>
          <w:noProof/>
          <w:sz w:val="24"/>
        </w:rPr>
        <w:t>jindirizzaw sfidi kbar soċjetali tal-UE relatati tal-SDGs</w:t>
      </w:r>
      <w:r>
        <w:rPr>
          <w:rFonts w:ascii="Times New Roman" w:hAnsi="Times New Roman"/>
          <w:noProof/>
          <w:sz w:val="24"/>
        </w:rPr>
        <w:t xml:space="preserve">, bħat-tibdil fil-klima, l-enerġija, l-ikel, is-saħħa, il-materja prima, id-diġitali, il-mobilità urbana u l-manifattura avvanzata. Aktar minn 1200 sieħeb fin-negozju, ir-riċerka u l-edukazzjoni jingħaqdu flimkien biex jindirizzaw dawn l-isfidi. </w:t>
      </w:r>
    </w:p>
    <w:p w:rsidR="006A3383" w:rsidRDefault="000262D4">
      <w:pPr>
        <w:pStyle w:val="Heading3"/>
        <w:rPr>
          <w:noProof/>
        </w:rPr>
      </w:pPr>
      <w:bookmarkStart w:id="32" w:name="_Toc536442047"/>
      <w:bookmarkStart w:id="33" w:name="_Toc536619991"/>
      <w:r>
        <w:rPr>
          <w:noProof/>
        </w:rPr>
        <w:t>Il-finanzi, l-ipprezzar, it-tassazzjoni u l-kompetizzjoni</w:t>
      </w:r>
      <w:bookmarkEnd w:id="32"/>
      <w:bookmarkEnd w:id="33"/>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L-ispejjeż li jkun hemm minħabba li ma jsir xejn huma enormi fuq terminu medju u twil. Fl-istess waqt li t-tranżizzjoni lejn is-sostenibbiltà tinvolvi investiment sinifikanti fuq terminu qasir u bidla komprensiva fil-mod kif taħdem is-sistema finanzjarja. Il-kisba tal-SDGs hija stmata li tirrikjedi madwar EUR 4.5 sa 6 triljun globalment.</w:t>
      </w:r>
      <w:r>
        <w:rPr>
          <w:rStyle w:val="FootnoteReference"/>
          <w:rFonts w:ascii="Times New Roman" w:hAnsi="Times New Roman"/>
          <w:noProof/>
          <w:sz w:val="24"/>
        </w:rPr>
        <w:footnoteReference w:id="61"/>
      </w:r>
      <w:r>
        <w:rPr>
          <w:rFonts w:ascii="Times New Roman" w:hAnsi="Times New Roman"/>
          <w:noProof/>
          <w:sz w:val="24"/>
        </w:rPr>
        <w:t xml:space="preserve"> Madwar EUR 180 biljun ta’ investimenti addizzjonali huma meħtieġa biex jinkisbu l-miri tal-UE sal-2030 li sar qbil dwarhom f’Pariġi, inkluż tnaqqis ta’ 40 % fl-emissjonijiet ta’ gassijiet serra. Il-fondi pubbliċi jeħtieġ li jkunu orjentati aħjar u b’mod aktar intelliġenti lejn it-twettiq tal-SDGs, iżda aħna ma nistgħux nissodisfaw il-bżonnijiet tagħna mingħajr ma s-settur privat jiċċaqlaq lejn is-sostenibbiltà wkoll. Il-mobilizzazzjoni tal-fondi biex jiffinanzjaw it-transizzjoni trid timxi id f’id mat-tneħħija gradwali ta’ proġetti ta’ finanzjament li huma ta’ detriment għal tkabbir ekonomiku ekoloġiku u inklużiv.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Il-pjan ta’ Investiment għall-Ewropa għandu l-għan li jimmobilizza finanzjament privat għall-ġid pubbliku. Imniedi fl-2015, id-driegħ finanzjarju tiegħu, il-Fond Ewropew għall-Investimenti Strateġiċi, s’issa mmobilizza EUR 370 biljun f’investiment totali f’oqsma ewlenin meħtieġa għall-modernizzazzjoni tal-ekonomija Ewropea. Dan jinkludi l-enerġija rinnovabbli, l-effiċjenza fl-enerġija, ir-riċerka, l-iżvilupp u l-innovazzjoni, kif ukoll infrastruttura soċjali bħall-akkomodazzjoni soċjali jew affordabbli. Għall-qafas baġitarju li jmiss mill-2021 sal-2027, il-Kummissjoni pproponiet li tirdoppja r-riżorsi baġitarji għas-settur soċjali, inkluż l-intraprenditorija soċjali, u se jiffinanzja infrastrutturi sostenibbli biss. Il-Grupp tal-Bank Ewropew tal-Investiment diġà huwa l-akbar fornitur multilaterali ta’ finanzjament għall-klima madwar id-dinja, impenja tal-inqas 25 % tal-investimenti tiegħu għall-mitigazzjoni tat-tibdil fil-klima u għall-adattament għalih.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Il-Kummissjoni - abbażi tar-rakkomandazzjonijiet minn grupp ta’ esperti ta’ livell għoli - stabbilixxiet ukoll pjan direzzjonali biex tagħti spinta lir-rwol tal-finanzi fil-kisba ta’ ekonomija bi prestazzjoni tajba li tagħti riżultati fejn jidħlu miri soċjali u ambjentali. Il-Pjan ta’ Azzjoni dwar il-Finanzi Sostenibbli</w:t>
      </w:r>
      <w:r>
        <w:rPr>
          <w:rStyle w:val="FootnoteReference"/>
          <w:rFonts w:ascii="Times New Roman" w:hAnsi="Times New Roman"/>
          <w:noProof/>
          <w:sz w:val="24"/>
        </w:rPr>
        <w:footnoteReference w:id="62"/>
      </w:r>
      <w:r>
        <w:rPr>
          <w:rFonts w:ascii="Times New Roman" w:hAnsi="Times New Roman"/>
          <w:noProof/>
          <w:sz w:val="24"/>
        </w:rPr>
        <w:t xml:space="preserve"> u l-proposti leġiżlattivi li segwew se jgħinu lill-investituri jieħdu deċiżjonijiet informati dwar l-investiment, ibbażati fuq kriterji ċari ta’ x’inhu l-investiment sostenibbli. Dan għandu jiffaċilita t-tħaffif u ż-żieda ta’ investimenti usa’ fi proġetti sostenibbli kemm fl-UE kif ukoll madwar id-dinja kollha, kif ukoll jinċentiva lill-investituri jevitaw investimenti li mhumiex sostenibbli. </w:t>
      </w:r>
    </w:p>
    <w:p w:rsidR="006A3383" w:rsidRDefault="006A3383">
      <w:pPr>
        <w:autoSpaceDE w:val="0"/>
        <w:autoSpaceDN w:val="0"/>
        <w:adjustRightInd w:val="0"/>
        <w:spacing w:after="0" w:line="240" w:lineRule="auto"/>
        <w:jc w:val="both"/>
        <w:rPr>
          <w:rFonts w:ascii="Times New Roman" w:hAnsi="Times New Roman" w:cs="Times New Roman"/>
          <w:i/>
          <w:noProof/>
          <w:color w:val="000000"/>
          <w:sz w:val="24"/>
          <w:szCs w:val="24"/>
        </w:rPr>
      </w:pPr>
    </w:p>
    <w:p w:rsidR="006A3383" w:rsidRDefault="000262D4">
      <w:pPr>
        <w:autoSpaceDE w:val="0"/>
        <w:autoSpaceDN w:val="0"/>
        <w:adjustRightInd w:val="0"/>
        <w:spacing w:after="0" w:line="240" w:lineRule="auto"/>
        <w:jc w:val="center"/>
        <w:rPr>
          <w:rFonts w:ascii="Times New Roman" w:hAnsi="Times New Roman" w:cs="Times New Roman"/>
          <w:i/>
          <w:noProof/>
          <w:color w:val="000000"/>
          <w:sz w:val="24"/>
          <w:szCs w:val="24"/>
        </w:rPr>
      </w:pPr>
      <w:r>
        <w:rPr>
          <w:noProof/>
          <w:lang w:val="en-GB" w:eastAsia="en-GB" w:bidi="ar-SA"/>
        </w:rPr>
        <w:drawing>
          <wp:inline distT="0" distB="0" distL="0" distR="0">
            <wp:extent cx="2689200" cy="271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9200" cy="27108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i/>
          <w:noProof/>
          <w:color w:val="000000"/>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Aktar attenzjoni għandha tingħata biex il-finanzjament sostenibbli jintrabat mal-ekonomija reali biex b’hekk tiżdied id-domanda għal prodotti sostenibbli u s-servizzi tal-investituri jiġu pariġġati b’żieda fil-provvista. L-ipprezzar effettiv tal-esternalitajiet se jkun kruċjali f’dan ir-rigward. Għandhom isiru wkoll sforzi addizzjonali biex iċ-ċittadini Ewropej jiġu infurmati dwar is-sistema ta’ finanzjament, ħalli jsiru aktar konxji tal-attività korporattiva li jkunu qed jiffinanzjaw u ta’ kif iżommu lill-maniġers tal-fondi akkontabbli f’każ li flushom ma jiġux ġestiti b’mod sostenibbli.</w:t>
      </w:r>
    </w:p>
    <w:p w:rsidR="006A3383" w:rsidRDefault="000262D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L-UE qed tmexxi bidla komprenżiva tas-sistema finanzjarja lejn id-direzzjoni tas-sostenibbiltà permezz ta’:</w:t>
      </w:r>
    </w:p>
    <w:p w:rsidR="006A3383" w:rsidRDefault="000262D4">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il-ħolqien ta’ lingwa komuni</w:t>
      </w:r>
      <w:r>
        <w:rPr>
          <w:rFonts w:ascii="Times New Roman" w:hAnsi="Times New Roman"/>
          <w:noProof/>
          <w:sz w:val="24"/>
        </w:rPr>
        <w:t xml:space="preserve">: sistema ta’ klassifikazzjoni unifikata tal-UE (“tassonomija”), biex tiddefinixxi liema attivitajiet ekonomiċi huma sostenibbli u jiġu identifikati oqsma fejn l-investiment sostenibbli jista’ jkollu l-akbar impatt. </w:t>
      </w:r>
    </w:p>
    <w:p w:rsidR="006A3383" w:rsidRDefault="000262D4">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Jitnaqqas ir-riskju ta’ greenwashing:</w:t>
      </w:r>
      <w:r>
        <w:rPr>
          <w:rFonts w:ascii="Times New Roman" w:hAnsi="Times New Roman"/>
          <w:noProof/>
          <w:sz w:val="24"/>
        </w:rPr>
        <w:t xml:space="preserve"> il-ħolqien ta’ standards u </w:t>
      </w:r>
      <w:r>
        <w:rPr>
          <w:rStyle w:val="Strong"/>
          <w:rFonts w:ascii="Times New Roman" w:hAnsi="Times New Roman"/>
          <w:b w:val="0"/>
          <w:noProof/>
          <w:sz w:val="24"/>
        </w:rPr>
        <w:t>tikketti</w:t>
      </w:r>
      <w:r>
        <w:rPr>
          <w:rFonts w:ascii="Times New Roman" w:hAnsi="Times New Roman"/>
          <w:noProof/>
          <w:sz w:val="24"/>
        </w:rPr>
        <w:t xml:space="preserve"> għal prodotti finanzjarji ambjentali li jippermettu lill-investituri jidentifikaw faċilment investimenti li jkunu konformi mal-kriterji ekoloġiċi jew b’użu baxx ta’ karbonju. </w:t>
      </w:r>
    </w:p>
    <w:p w:rsidR="006A3383" w:rsidRDefault="000262D4">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L-inkorporazzjoni tas-sostenibbiltà fil-konsulenza dwar l-investiment:</w:t>
      </w:r>
      <w:r>
        <w:rPr>
          <w:rFonts w:ascii="Times New Roman" w:hAnsi="Times New Roman"/>
          <w:noProof/>
          <w:sz w:val="24"/>
        </w:rPr>
        <w:t xml:space="preserve"> id-ditti tal-assigurazzjoni u tal-investiment jiġu obbligati jagħtu pariri lil klijenti fuq il-bażi tal-preferenzi tagħhom dwar is-sostenibbiltà.</w:t>
      </w:r>
    </w:p>
    <w:p w:rsidR="006A3383" w:rsidRDefault="000262D4">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L-iżvilupp ta’ parametri referenzjarji tas-sostenibbiltà u trawwim tat-trasparenza tagħhom.</w:t>
      </w:r>
    </w:p>
    <w:p w:rsidR="006A3383" w:rsidRDefault="000262D4">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L-iċċarar tad-doveri tal-investituri istituzzjonali u tal-maniġers tal-assi”:</w:t>
      </w:r>
      <w:r>
        <w:rPr>
          <w:rFonts w:ascii="Times New Roman" w:hAnsi="Times New Roman"/>
          <w:noProof/>
          <w:sz w:val="24"/>
        </w:rPr>
        <w:t xml:space="preserve"> jiġi żgurat li jqisu s-sostenibbiltà fid-deċiżjonijiet tagħhom dwar l-investiment u jissaħħu r-rekwiżiti ta’ divulgazzjoni tagħhom.</w:t>
      </w:r>
    </w:p>
    <w:p w:rsidR="006A3383" w:rsidRDefault="000262D4">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Titjieb it-trasparenza fir-rapportar korporattiv</w:t>
      </w:r>
      <w:r>
        <w:rPr>
          <w:rFonts w:ascii="Times New Roman" w:hAnsi="Times New Roman"/>
          <w:b/>
          <w:noProof/>
          <w:sz w:val="24"/>
        </w:rPr>
        <w:t>:</w:t>
      </w:r>
      <w:r>
        <w:rPr>
          <w:rFonts w:ascii="Times New Roman" w:hAnsi="Times New Roman"/>
          <w:noProof/>
          <w:sz w:val="24"/>
        </w:rPr>
        <w:t xml:space="preserve"> reviżjoni tal-linji gwida dwar id-divulgazjzoni ta’ informazzjoni mhux finanzjarja. </w:t>
      </w:r>
    </w:p>
    <w:p w:rsidR="006A3383" w:rsidRDefault="000262D4">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noProof/>
          <w:sz w:val="24"/>
          <w:szCs w:val="24"/>
        </w:rPr>
      </w:pPr>
      <w:r>
        <w:rPr>
          <w:rFonts w:ascii="Times New Roman" w:hAnsi="Times New Roman"/>
          <w:b/>
          <w:noProof/>
          <w:sz w:val="24"/>
        </w:rPr>
        <w:t>Tiġi inkorporata s-sostenibbiltà fir-rekwiżiti prudenzjali:</w:t>
      </w:r>
      <w:r>
        <w:rPr>
          <w:rFonts w:ascii="Times New Roman" w:hAnsi="Times New Roman"/>
          <w:noProof/>
          <w:sz w:val="24"/>
        </w:rPr>
        <w:t xml:space="preserve"> l-inklużjoni ta’ fattur ta’ sostenn ekoloġiku meta dan ikun ġustifikat minn perspettiva ta’ riskju biex jissalvagwardja l-istabbiltà finanzjarja.</w:t>
      </w:r>
    </w:p>
    <w:p w:rsidR="006A3383" w:rsidRDefault="006A3383">
      <w:pPr>
        <w:spacing w:line="240" w:lineRule="auto"/>
        <w:jc w:val="both"/>
        <w:rPr>
          <w:rFonts w:ascii="Times New Roman" w:hAnsi="Times New Roman" w:cs="Times New Roman"/>
          <w:noProof/>
          <w:sz w:val="24"/>
          <w:szCs w:val="24"/>
        </w:rPr>
      </w:pPr>
    </w:p>
    <w:p w:rsidR="006A3383" w:rsidRDefault="000262D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Biex tiġi salvagwardjata l-kapaċità finanzjarja tal-awtoritajiet pubbliċi biex jinvestu fit-tranżizzjoni lejn is-sostenibbiltà, hija meħtieġa wkoll azzjoni biex tinkiseb riforma fiskali sostenibbli fil-livelli kollha. Għandna nsaħħu l-ġlieda kontra l-evażjoni tat-taxxa u l-evitar tat-taxxa korporattiva. Il-kooperazzjoni transnazzjonali hija meħtieġa biex tiġi indirizzata l-kwistjoni tar-rifuġji fiskali li jimminaw il-bażi tat-taxxa kemm tal-UE kif ukoll tal-pajjiżi li qed jiżviluppaw. </w:t>
      </w:r>
    </w:p>
    <w:p w:rsidR="006A3383" w:rsidRDefault="006A3383">
      <w:pPr>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Aktar importanti minn hekk, is-sistemi tat-tassazzjoni tal-UE u tal-ipprezzar għandhom ikunu mfasslin sabiex jirriflettu l-ispejjeż reali, jindirizzaw il-kwistjonijiet soċjali u ambjentali ewlenin tagħna u jixprunaw bidla fl-imġiba fl-ekonomija kollha. Il-kompetizzjoni sostenibbli tiddependi fuq prezzijiet li jirriflettu l-ispejjeż vera tal-produzzjoni u tal-użu — billi jiġu internalizzati l-esternalitajiet.</w:t>
      </w:r>
      <w:r>
        <w:rPr>
          <w:rStyle w:val="FootnoteReference"/>
          <w:rFonts w:ascii="Times New Roman" w:hAnsi="Times New Roman"/>
          <w:noProof/>
          <w:sz w:val="24"/>
        </w:rPr>
        <w:footnoteReference w:id="63"/>
      </w:r>
      <w:r>
        <w:rPr>
          <w:rFonts w:ascii="Times New Roman" w:hAnsi="Times New Roman"/>
          <w:noProof/>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Ir-regolaturi, il-mexxejja tan-negozju u s-soċjetà ċivili jeħtieġ li jaħdmu flimkien biex jipprovdu kundizzjonijiet ekwi f’konformità mal-SDGs u biex jiġi stimulat żvilupp li jwassal biex il-prodotti u s-servizzi sostenibbli jsiru dawk l-aktar affordabbli.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Dan għandu jinvolvi bidliet fis-sistemi fiskali sabiex l-Istati Membri jnaqqsu t-taxxi fuq ix-xogħol u jżiduhom fuq il-kapital, it-tniġġis, ir-riżorsi taħt il-prezz u esternalitajiet ambjentali oħra.</w:t>
      </w:r>
      <w:r>
        <w:rPr>
          <w:rStyle w:val="FootnoteReference"/>
          <w:rFonts w:ascii="Times New Roman" w:hAnsi="Times New Roman"/>
          <w:noProof/>
          <w:sz w:val="24"/>
        </w:rPr>
        <w:footnoteReference w:id="64"/>
      </w:r>
      <w:r>
        <w:rPr>
          <w:rFonts w:ascii="Times New Roman" w:hAnsi="Times New Roman"/>
          <w:noProof/>
          <w:sz w:val="24"/>
        </w:rPr>
        <w:t xml:space="preserve"> Il-prinċipji “l-utent iħallas” u “min iniġġes iħallas” għandhom jiġu applikati biex jipprevjenu u jikkoreġu d-degradazzjoni ambjentali u biex jiġi evitat li l-piż jgħaddi għand il-kontribwenti. Bħalissa, id-dħul mit-taxxi fuq ix-xogħol għadu tmien darbiet ogħla mid-dħul iġġenerat mit-taxxi ambjentali fl-UE u matul is-snin għadd limitat biss ta’ Stati Membri tal-UE naqqsu s-sehem tagħhom ta’ taxxi fuq ix-xogħol filwaqt li żidu s-sehem tagħhom ta’ taxxi ambjentali.  </w:t>
      </w:r>
    </w:p>
    <w:p w:rsidR="006A3383" w:rsidRDefault="006A3383">
      <w:pPr>
        <w:spacing w:line="240" w:lineRule="auto"/>
        <w:jc w:val="both"/>
        <w:rPr>
          <w:rFonts w:ascii="Times New Roman" w:hAnsi="Times New Roman" w:cs="Times New Roman"/>
          <w:noProof/>
          <w:sz w:val="24"/>
          <w:szCs w:val="24"/>
        </w:rPr>
      </w:pPr>
    </w:p>
    <w:p w:rsidR="006A3383" w:rsidRDefault="000262D4">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258000" cy="151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8000" cy="1512000"/>
                    </a:xfrm>
                    <a:prstGeom prst="rect">
                      <a:avLst/>
                    </a:prstGeom>
                    <a:noFill/>
                    <a:ln>
                      <a:noFill/>
                    </a:ln>
                  </pic:spPr>
                </pic:pic>
              </a:graphicData>
            </a:graphic>
          </wp:inline>
        </w:drawing>
      </w:r>
    </w:p>
    <w:p w:rsidR="006A3383" w:rsidRDefault="000262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noProof/>
          <w:sz w:val="24"/>
          <w:szCs w:val="24"/>
        </w:rPr>
      </w:pPr>
      <w:r>
        <w:rPr>
          <w:rFonts w:ascii="Times New Roman" w:hAnsi="Times New Roman"/>
          <w:b/>
          <w:noProof/>
          <w:color w:val="000000"/>
          <w:sz w:val="24"/>
        </w:rPr>
        <w:t>L-ispejjeż esterni tat-trasport fl-UE huma sinifikanti ħafna</w:t>
      </w: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 xml:space="preserve">Il-Kummissjoni Ewropea ilha tagħmel studju dwar l-internalizzazzjoni tal-kostijiet esterni għall-modi kollha tat-trasport u li jkopri l-konġestjoni, l-inċidenti, l-emissjonijiet tas-CO2, l-istorbju, it-tniġġis tal-arja, ħsara għall-ħabitat u t-tqabbil ta’ dawn il-kostijiet mal-kostijiet imħallsa mill-utenti. L-objettiv huwa li jiġi vvalutat il-punt sa fejn il-prinċipji “l-utent iħallas” u “min iniġġes iħallas” huma implimentati fl-UE, u biex jiġu identifikati opzjonijiet għal aktar internalizzazzjoni ta’ esternalitajiet negattivi. Skont ir-riżultati preliminari, il-livell globali tal-ispejjeż esterni fit-trasport fl-Istati Membri tal-UE huwa stmat għal madwar EUR 1000 biljun kull sena, u dan jikkorrispondi għal kważi 7 % tal-PDG. Is-sejbiet ta’ dan l-istudju, li għandu jitlesta sa nofs l-2019, għandhom ikunu input importanti għad-dibattiti li jmiss dwar il-futur tal-politika tat-trasport tal-UE.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Neħtieġu wkoll li niżguraw li t-tranżizzjoni tkun soċjalment ġusta, li l-kostijiet ta’ tranżizzjoni huma maqsumin b’mod ekwu fost dawk li jħallsu t-taxxa u li kulħadd jagħti s-sehem ġust tiegħu. It-trasferiment meħtieġ ta’ taxxi u t-tneħħija ta’ inċentivi finanzjarji kontroproduttivi bħas-sussidji għall-fjuwils fossili jista’ jkollu implikazzjonijiet rigressivi u jolqot ħażin il-fqar. Għaldaqstant il-fassala tal-politika jridu jattivaw l-ingranaġġi rilevanti kollha flimkien, pereżempju, mal-miżuri attivi tas-suq tax-xogħol u l-edukazzjoni u t-taħriġ, jiżguraw li din il-bidla ssir flimkien mal-miżuri li jittrasformaw is-sistema fiskali u t-taħlita tat-taxxa f’sistemi aktar progressivi u b’kunsiderazzjoni tal-aktar gruppi vulnerabbli.</w:t>
      </w:r>
      <w:r>
        <w:rPr>
          <w:rStyle w:val="FootnoteReference"/>
          <w:rFonts w:ascii="Times New Roman" w:hAnsi="Times New Roman"/>
          <w:noProof/>
          <w:sz w:val="24"/>
        </w:rPr>
        <w:footnoteReference w:id="65"/>
      </w:r>
      <w:r>
        <w:rPr>
          <w:rFonts w:ascii="Times New Roman" w:hAnsi="Times New Roman"/>
          <w:noProof/>
          <w:sz w:val="24"/>
        </w:rPr>
        <w:t xml:space="preserve">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Fil-progress li jsir, it-tassazzjoni armonizzata fuq l-esternalitajiet soċjali u ambjentali negattivi fis-Suq Uniku tal-UE se tkun importanti wkoll biex l-UE tkun tista’ taqleb lejn ekonomija aktar effiċjenti u sostenibbli u biex tiżgura kundizzjonijiet ekwi għan-negozji.</w:t>
      </w:r>
      <w:r>
        <w:rPr>
          <w:rStyle w:val="FootnoteReference"/>
          <w:rFonts w:ascii="Times New Roman" w:hAnsi="Times New Roman"/>
          <w:noProof/>
          <w:sz w:val="24"/>
        </w:rPr>
        <w:footnoteReference w:id="66"/>
      </w:r>
      <w:r>
        <w:rPr>
          <w:rFonts w:ascii="Times New Roman" w:hAnsi="Times New Roman"/>
          <w:noProof/>
          <w:sz w:val="24"/>
        </w:rPr>
        <w:t xml:space="preserve">  Pereżempju, illum il-qafas legali tal-UE għat-tassazzjoni tal-enerġija għadu jikkontradixxi l-miri ambjentali u tat-tibdil fil-klima tal-UE,</w:t>
      </w:r>
      <w:r>
        <w:rPr>
          <w:rStyle w:val="FootnoteReference"/>
          <w:rFonts w:ascii="Times New Roman" w:hAnsi="Times New Roman"/>
          <w:noProof/>
          <w:sz w:val="24"/>
        </w:rPr>
        <w:footnoteReference w:id="67"/>
      </w:r>
      <w:r>
        <w:rPr>
          <w:rFonts w:ascii="Times New Roman" w:hAnsi="Times New Roman"/>
          <w:noProof/>
          <w:sz w:val="24"/>
        </w:rPr>
        <w:t xml:space="preserve"> li qed ikollu effett detrimentali fuq l-objettivi ta’ politika miftiehma. Nersqu lil hinn minn votazzjoni b’unanimità fil-Kunsill, f’konformità mal-Komunikazzjoni tal-Kummissjoni “Lejn it-teħid tad-deċiżjonijiet fil-politika tat-taxxa tal-UE aktar effiċjenti u demokratika”</w:t>
      </w:r>
      <w:r>
        <w:rPr>
          <w:rStyle w:val="FootnoteReference"/>
          <w:rFonts w:ascii="Times New Roman" w:hAnsi="Times New Roman"/>
          <w:noProof/>
          <w:sz w:val="24"/>
        </w:rPr>
        <w:footnoteReference w:id="68"/>
      </w:r>
      <w:r>
        <w:rPr>
          <w:rFonts w:ascii="Times New Roman" w:hAnsi="Times New Roman"/>
          <w:noProof/>
          <w:sz w:val="24"/>
        </w:rPr>
        <w:t xml:space="preserve"> se tkun kundizzjoni meħtieġa għall-bidla.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color w:val="000000"/>
          <w:sz w:val="24"/>
        </w:rPr>
        <w:t>Barra minn hekk, il-kompetizzjoni hija parti importanti tat-taħlita ta’ politika ġenerali u tat-tranżizzjoni lejn is-sostenibbiltà. Il-linja politika dwar il-kompetizzjoni tikkontribwixxi għad-“demokrazija ekonomika” u l-ugwaljanza. Din tippermetti prezzijiet affordabbli, kwalità u għażla, u trażżan is-setgħa ekonomika stabbilita mhux miżmuma fuq il-merti. L-evidenza</w:t>
      </w:r>
      <w:r>
        <w:rPr>
          <w:rStyle w:val="FootnoteReference"/>
          <w:rFonts w:ascii="Times New Roman" w:hAnsi="Times New Roman"/>
          <w:noProof/>
          <w:color w:val="000000"/>
          <w:sz w:val="24"/>
        </w:rPr>
        <w:footnoteReference w:id="69"/>
      </w:r>
      <w:r>
        <w:rPr>
          <w:rFonts w:ascii="Times New Roman" w:hAnsi="Times New Roman"/>
          <w:noProof/>
          <w:color w:val="000000"/>
          <w:sz w:val="24"/>
        </w:rPr>
        <w:t xml:space="preserve"> turi li l-politika tal-kompetizzjoni tiffavorixxi relattivament familji ifqar minn familji aktar sinjuri u twassal għal allokazzjoni aktar effiċjenti tar-riżorsi kif ukoll tixpruna l-innovazzjoni, notevolment fil-fruntieri teknoloġiċi. </w:t>
      </w: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Style w:val="SubtleEmphasis"/>
          <w:rFonts w:ascii="Times New Roman" w:hAnsi="Times New Roman" w:cs="Times New Roman"/>
          <w:i w:val="0"/>
          <w:iCs w:val="0"/>
          <w:noProof/>
          <w:color w:val="auto"/>
          <w:sz w:val="24"/>
          <w:szCs w:val="24"/>
        </w:rPr>
      </w:pPr>
      <w:r>
        <w:rPr>
          <w:rFonts w:ascii="Times New Roman" w:hAnsi="Times New Roman"/>
          <w:b/>
          <w:noProof/>
          <w:color w:val="000000"/>
          <w:sz w:val="24"/>
        </w:rPr>
        <w:t>Kaxxa:</w:t>
      </w:r>
      <w:r>
        <w:rPr>
          <w:rFonts w:ascii="Times New Roman" w:hAnsi="Times New Roman"/>
          <w:noProof/>
          <w:color w:val="000000"/>
          <w:sz w:val="24"/>
        </w:rPr>
        <w:t xml:space="preserve"> Il-politika tal-UE dwar l-Għajnuna mill-Istat, speċjalment mill-modernizzazzjoni tagħha fi snin riċenti, ġiet immirata lejn is-sostenibbiltà. 94 % tal-Għajnuna mill-Istat totali fl-UE kienet immirata lejn objettivi orizzontali ta’ interess komuni, bħall-ħarsien ambjentali, ir-riċerka, l-iżvilupp, l-innovazzjoni u l-iżvilupp reġjonali. 54 % tan-nefqa totali kienet tappoġġa l-iffrankar ambjentali u enerġetiku.</w:t>
      </w:r>
      <w:r>
        <w:rPr>
          <w:rStyle w:val="FootnoteReference"/>
          <w:rFonts w:ascii="Times New Roman" w:hAnsi="Times New Roman"/>
          <w:noProof/>
          <w:color w:val="000000"/>
          <w:sz w:val="24"/>
        </w:rPr>
        <w:footnoteReference w:id="70"/>
      </w:r>
      <w:bookmarkStart w:id="34" w:name="_Toc532469551"/>
      <w:bookmarkEnd w:id="34"/>
    </w:p>
    <w:p w:rsidR="006A3383" w:rsidRDefault="000262D4">
      <w:pPr>
        <w:pStyle w:val="Heading3"/>
        <w:rPr>
          <w:noProof/>
        </w:rPr>
      </w:pPr>
      <w:bookmarkStart w:id="35" w:name="_Toc536442048"/>
      <w:bookmarkStart w:id="36" w:name="_Toc536619992"/>
      <w:r>
        <w:rPr>
          <w:noProof/>
        </w:rPr>
        <w:t>Imġiba responsabbli tan-negozju, responsabbiltà soċjali korporattiva u mudelli ta’ negozju ġodda</w:t>
      </w:r>
      <w:bookmarkEnd w:id="35"/>
      <w:bookmarkEnd w:id="36"/>
      <w:r>
        <w:rPr>
          <w:noProof/>
        </w:rPr>
        <w:t xml:space="preserve"> </w:t>
      </w: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In-negozji għandhom rwol essenzjali x’jaqdu fit-tranżizzjoni lejn is-sostenibbiltà. Matul l-aħħar deċennji, kemm fuq bażi volontarja u b’impetu mill-awtoritajiet pubbliċi, ammont dejjem jikber ta’ kumpaniji bdew jagħmlu r-responsabbiltà ambjentali u soċjali tagħhom bħala parti ċentrali mill-missjonijiet korporattivi tagħhom. Aktar u aktar kumpaniji qed jaraw l-SDGs bħala parti integrali tal-istrateġija tal-kompetittività u t-tkabbir tagħhom. Huma fehmu li negozju responsabbli jista’ jwassal għal aktar profitti u tkabbir sostenibbli, opportunitajiet ġodda tas-suq, u valur fuq terminu twil għall-azzjonisti.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0262D4">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3031200" cy="15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1200" cy="1548000"/>
                    </a:xfrm>
                    <a:prstGeom prst="rect">
                      <a:avLst/>
                    </a:prstGeom>
                    <a:noFill/>
                    <a:ln>
                      <a:noFill/>
                    </a:ln>
                  </pic:spPr>
                </pic:pic>
              </a:graphicData>
            </a:graphic>
          </wp:inline>
        </w:drawing>
      </w: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6A3383">
      <w:pPr>
        <w:autoSpaceDE w:val="0"/>
        <w:autoSpaceDN w:val="0"/>
        <w:adjustRightInd w:val="0"/>
        <w:spacing w:after="0" w:line="240" w:lineRule="auto"/>
        <w:jc w:val="both"/>
        <w:rPr>
          <w:rFonts w:ascii="Times New Roman" w:hAnsi="Times New Roman" w:cs="Times New Roman"/>
          <w:noProof/>
          <w:color w:val="000000"/>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Minħabba l-kumplessità dejjem tikber u l-globalizzazzjoni tal-ktajjen tal-provvista, huwa importanti li tkun promossa l-applikazzjoni ta’ standards għoljin ta’ sostenibbiltà wkoll f’pajjiżi terzi. Il-prattiki kummerċjali, il-mudelli tal-konsum u tal-produzzjoni min-negozji tal-UE u l-konsumaturi ma għandhomx jikkontribwixxu b’mod indirett għal ksur tad-drittijiet tal-bniedem jew d-degradazzjoni ambjentali xi mkien ieħor fid-dinja.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spacing w:after="240" w:line="240" w:lineRule="auto"/>
        <w:jc w:val="both"/>
        <w:rPr>
          <w:rFonts w:ascii="Times New Roman" w:hAnsi="Times New Roman" w:cs="Times New Roman"/>
          <w:noProof/>
          <w:sz w:val="24"/>
          <w:szCs w:val="24"/>
        </w:rPr>
      </w:pPr>
      <w:r>
        <w:rPr>
          <w:rFonts w:ascii="Times New Roman" w:hAnsi="Times New Roman"/>
          <w:noProof/>
          <w:sz w:val="24"/>
        </w:rPr>
        <w:t>F’dawn l-aħħar sentejn, l-UE saħħet id-drittijiet tal-azzjonisti</w:t>
      </w:r>
      <w:r>
        <w:rPr>
          <w:rFonts w:ascii="Times New Roman" w:hAnsi="Times New Roman"/>
          <w:noProof/>
          <w:sz w:val="24"/>
          <w:vertAlign w:val="superscript"/>
        </w:rPr>
        <w:footnoteReference w:id="71"/>
      </w:r>
      <w:r>
        <w:rPr>
          <w:rFonts w:ascii="Times New Roman" w:hAnsi="Times New Roman"/>
          <w:noProof/>
          <w:sz w:val="24"/>
        </w:rPr>
        <w:t xml:space="preserve"> u l-investituri</w:t>
      </w:r>
      <w:r>
        <w:rPr>
          <w:rStyle w:val="FootnoteReference"/>
          <w:rFonts w:ascii="Times New Roman" w:hAnsi="Times New Roman"/>
          <w:noProof/>
          <w:sz w:val="24"/>
        </w:rPr>
        <w:footnoteReference w:id="72"/>
      </w:r>
      <w:r>
        <w:rPr>
          <w:rFonts w:ascii="Times New Roman" w:hAnsi="Times New Roman"/>
          <w:noProof/>
          <w:sz w:val="24"/>
        </w:rPr>
        <w:t xml:space="preserve"> biex tgħinhom jifhmu kemm l-aspetti finanzjarji u mhux finanzjarji tal-prestazzjoni tal-kumpaniji u biex tippermettilhom aħjar li jżommu l-kumpanija responsabbli. L-UE implimentat ukoll il-kriterji ambjentali u soċjali ġodda fil-leġiżlazzjoni tagħha dwar l-akkwist pubbliku sabiex tinkoraġġixxi lill-kumpaniji biex jiżviluppaw prodotti u servizzi soċjalment responsabbli. L-UE adottat ir-Regolament dwar il-Minerali ta’ Kunflitt</w:t>
      </w:r>
      <w:r>
        <w:rPr>
          <w:rFonts w:ascii="Times New Roman" w:hAnsi="Times New Roman"/>
          <w:noProof/>
          <w:sz w:val="24"/>
          <w:vertAlign w:val="superscript"/>
        </w:rPr>
        <w:footnoteReference w:id="73"/>
      </w:r>
      <w:r>
        <w:rPr>
          <w:rFonts w:ascii="Times New Roman" w:hAnsi="Times New Roman"/>
          <w:noProof/>
          <w:sz w:val="24"/>
        </w:rPr>
        <w:t xml:space="preserve"> biex tiżgura li l-kumpaniji tal-UE jimportaw ċerti minerali u metalli minn sorsi responsabbli biss li ma jużawx il-profitti biex jiffinanzjaw kunflitti armati. F'dan il-kuntest, il-Pjan ta’ Azzjoni dwar il-Finanzi Sostenibblili ġie adottat dan l-aħħar huwa relevanti wkoll għaliex jorbot is-sistema fiskali ma’ proġetti aktar sostenibbli.</w:t>
      </w:r>
      <w:r>
        <w:rPr>
          <w:rStyle w:val="FootnoteReference"/>
          <w:rFonts w:ascii="Times New Roman" w:hAnsi="Times New Roman"/>
          <w:noProof/>
          <w:sz w:val="24"/>
        </w:rPr>
        <w:footnoteReference w:id="74"/>
      </w:r>
    </w:p>
    <w:p w:rsidR="006A3383" w:rsidRDefault="000262D4">
      <w:pPr>
        <w:spacing w:after="240" w:line="240" w:lineRule="auto"/>
        <w:jc w:val="both"/>
        <w:rPr>
          <w:rFonts w:ascii="Times New Roman" w:hAnsi="Times New Roman" w:cs="Times New Roman"/>
          <w:noProof/>
          <w:sz w:val="24"/>
          <w:szCs w:val="24"/>
        </w:rPr>
      </w:pPr>
      <w:r>
        <w:rPr>
          <w:rFonts w:ascii="Times New Roman" w:hAnsi="Times New Roman"/>
          <w:noProof/>
          <w:sz w:val="24"/>
        </w:rPr>
        <w:t>Madankollu, jidher b’mod ċar li hemm spazju biex isir aktar fil-livelli kollha. Fil-livell tal-UE, qed naħdmu biex nidentifikaw għadd ta’ miżuri xierqa u tanġibbli kif imġiba kummerċjali aktar sostenibbli tista’ tiġi promossa li twassal għal aktar riżultati u ssaħħaħ il-vantaġġ kompetittiv tal-kumpaniji tal-UE f’dan il-qasam. Aħna ser ikollna nirriflettu fuq forom differenti ta’ inċentivi addizzjonali għan-negozji biex nintegraw l-SDGs fl-operazzjonijiet tagħhom, inkluż l-esplorazzjoni tal-potenzjal ta’ teknoloġiji emerġenti u l-ekonomija ċirkolari. Kemm fl-azzjoni interna kif ukoll f'dik esterna tagħha, l-UE se jkollha bżonn tkompli tippromwovi l-implimentazzjoni ta’ linji gwida u prinċipji miftiehma internazzjonalment dwar il-kondotta responsabbli tan-negozju, bħal pereżempju l-Prinċipji Gwida tan-NU dwar in-Negozju u d-Drittijiet tal-Bniedem. Dan huwa importanti wkoll sabiex jiġu żgurati kundizzjonijiet internazzjonali ekwi.</w:t>
      </w:r>
    </w:p>
    <w:p w:rsidR="006A3383" w:rsidRDefault="000262D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Jekk inħarsu 'l quddiem, l-ekonomija kollaborattiva — fejn il-konsumaturi jistgħu jittrattaw ma’ xulxin direttament — tista’ wkoll tagħmel kontribuzzjoni importanti għal tkabbir sostenibbli u l-emerġenza ta’ mudelli ta’ negozju aktar sostenibbli meta mħeġġa u tiġi żviluppata b’mod responsabbli. Fil-preżent dan il-lapazzar ta’ reazzjonijiet regolatorji differenti madwar l-UE, madankollu, joħloq inċertezza għall-operaturi tradizzjonali, għall-fornituri ta’ servizzi ġodda kif ukoll għall-konsumaturi u jxekkel it-tkabbir tal-ekonomija kollaborattiva fl-UE u servizzi ġodda u innovattivi li huma assoċjati magħha. </w:t>
      </w:r>
    </w:p>
    <w:p w:rsidR="006A3383" w:rsidRDefault="000262D4">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L-intraprenditorija soċjali — bl-għan li ssolvi l-problemi bbażata fil-komunità, — jista’ jkollha rwol importanti wkoll biex jiġu indirizzati l-isfidi ta’ sostenibbiltà, filwaqt li jitrawwem tkabbir inklużiv u ħolqien ta’ impjiegi, prosperità kondiviża lokalment, u l-inklużjoni soċjali. L-intrapriżi soċjali attwali għandhom it-tendenza li jkunu konċentrati f’oqsma speċifiċi — partikolarment f’kuntesti lokali — u jsibuha diffiċli biex jespandu fl-UE. Il-finanzjament jibqa’ kwistjoni sinifikanti, li hija r-raġuni għaliex l-UE qed tiddedika aktar finanzjament għal intrapriżi soċjali. Bħall-ekonomija kollaborattiva, il-qafas regolatorju kumpless jew nieqes u r-restrizzjonijiet fil-livell lokali jistgħu jkunu ta’ ostakolu. Fi Franza, pereżempju, qafas legali speċifiku fis-seħħ fl-2014 rikonoxxa l-ispeċifiċitajiet tas-settur u ta impetu ġdid lil dawn l-impriżi. </w:t>
      </w:r>
    </w:p>
    <w:p w:rsidR="006A3383" w:rsidRDefault="000262D4">
      <w:pPr>
        <w:pStyle w:val="Heading3"/>
        <w:rPr>
          <w:noProof/>
        </w:rPr>
      </w:pPr>
      <w:bookmarkStart w:id="37" w:name="_Toc536442049"/>
      <w:bookmarkStart w:id="38" w:name="_Toc536619993"/>
      <w:r>
        <w:rPr>
          <w:noProof/>
        </w:rPr>
        <w:t>Kummerċ miftuħ u bbażat fuq ir-regoli</w:t>
      </w:r>
      <w:bookmarkEnd w:id="37"/>
      <w:bookmarkEnd w:id="38"/>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Il-kummerċ miftuħ u abbażi tar-regoli huwa wieħed mill-aqwa għodod biex tiżdied il-prosperità tagħna u dik tal-imsieħba tagħna, jogħlew l-istandards tal-għajxien tagħna u s-sostenibbiltà tal-pjaneta tagħna u d-demokraziji tagħna. Jekk irridu nkunu ta’ suċċess fil-kisba ta’ Ewropa sostenibbli f’dinja sostenibbli, huwa importanti li jintużaw l-istituzzjonijiet multilaterali tagħna u l-ftehimiet kummerċjali bilaterali u multilaterali biex isawru l-istandards globali.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Tendenzi protezzjonisti u l-approċċ “pajjiżi l-ewwel” huma suxxettibbli li jikkawżaw kunflitti. Barra minn hekk, huma l-ostakli l-kbar għall-bini ta’ pjaneta sostenibbli — tipikament objettiv li jeħtieġ kooperazzjoni internazzjonali. Għal ħafna raġunijiet huwa fl-interess vitali tal-UE li tappoġġa u ssostni s-sistema multilaterali.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 xml:space="preserve">Fil-kuntest tat-tranżizzjoni lejn is-sostenibbiltà għandna naħdmu saħansitra b’mod aktar attiv ma’ sħab tal-istess fehma biex jiġu negozjati regoli ġodda progressivi li jieħdu kont tal-Aġenda 2030 tan-Nazzjonijiet Uniti. Dan tal-aħħar jirrikonoxxi r-rwol ewlieni tas-sistema kummerċjali multilaterali bbażata fuq ir-regoli, mal-Organizzazzjoni Dinjija tal-Kummerċ (WTO) fil-qalba tiegħu, li jikkontribwixxu għall-kisba tal-SDGs. L-isforzi kontinwi kostruttivi tal-UE biex jimmodernizzaw id-WTO huma għalhekk essenzjali.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Fejn is-setgħat attwali mhux qed iżommu l-kelma tagħhom dwar ftehimiet kummerċjali internazzjonali, jinħolqu opportunitajiet għall-UE. L-Unjoni bl-iktar suq intern intern żviluppat fid-dinja u bi qrib nofs biljun konusmatur jista’ jintervjeni fejn oħrajn jirtiraw, u ġa għamlet hekk. Barra minn hekk, tqiegħed il-kummerċ fuq bażi ġdida u aktar sostenibbli. Il-ftehimiet kollha ġodda ta’ kummerċ u investiment tal-UE issa jinkludu kapitolu dwar l-iżvilupp sostenibbli li jiddefendi u jippromwovi standards soċjali u ambjentali. Il-Ftehim ta’ Sħubija Ekonomika ffirmat mal-Ġappun f’Lulju 2018 huwa l-ewwel ftehim li jelabora dwar l-impenji li saru skont il-Ftehim ta’ Pariġi. F’Settembru 2018, l-UE u l-Kanada qablu li jaħdmu fuq il-kummerċ u t-tibdil fil-klima fil-qafas tal-Ftehim Ekonomiku u Kummerċjali Komprensiv (CETA). L-UE qed tinnegozja dispożizzjonijiet speċifiċi għall-ġeneru fil-modernizzazzjoni tal-Ftehim tagħna ta’ Assoċjazzjoni maċ-Ċilì.</w:t>
      </w:r>
    </w:p>
    <w:p w:rsidR="006A3383" w:rsidRDefault="000262D4">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Kaxxa: Il-Kummissjoni ta’ Juncker adottat jew bdiet timplimenta tmien ftehimiet kummerċjali ma’ 15-il pajjiż, fosthom il-Kanada, l-Ukrajna, Singapor, il-Vjetnam, il-Ġappun u diversi pajjiżi Afrikani u tal-Paċifiku</w:t>
      </w:r>
      <w:r>
        <w:rPr>
          <w:rStyle w:val="FootnoteReference"/>
          <w:rFonts w:ascii="Times New Roman" w:hAnsi="Times New Roman"/>
          <w:noProof/>
          <w:sz w:val="24"/>
        </w:rPr>
        <w:footnoteReference w:id="75"/>
      </w:r>
      <w:r>
        <w:rPr>
          <w:rFonts w:ascii="Times New Roman" w:hAnsi="Times New Roman"/>
          <w:noProof/>
          <w:sz w:val="24"/>
        </w:rPr>
        <w:t>. L-UE issa għandha 39 ftehim kummerċjali eżistenti tal-UE ma’ 70 pajjiż madwar id-dinja. Dispożizzjonijiet dwar il-kummerċ u l-iżvilupp sostenibbli ilhom fil-qalba ta’ ftehimiet ta’ kummerċ ħieles tal-UE sa mill-2010.</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Il-Kummissjoni pproponiet 15-il punt biex ittejjeb l-implimentazzjoni u l-infurzar tal-kapitoli dwar il-Kummerċ u l-Iżvilupp Sostenibbli fil-ftehimiet kummerċjali tal-UE.</w:t>
      </w:r>
      <w:r>
        <w:rPr>
          <w:rStyle w:val="FootnoteReference"/>
          <w:rFonts w:ascii="Times New Roman" w:hAnsi="Times New Roman"/>
          <w:noProof/>
          <w:sz w:val="24"/>
        </w:rPr>
        <w:footnoteReference w:id="76"/>
      </w:r>
      <w:r>
        <w:rPr>
          <w:rFonts w:ascii="Times New Roman" w:hAnsi="Times New Roman"/>
          <w:noProof/>
          <w:sz w:val="24"/>
        </w:rPr>
        <w:t xml:space="preserve"> L-enfasi hija fuq kooperazzjoni aktar b’saħħitha bejn l-atturi differenti, infurzar aktar effettiv u aktar assertiva, inkluż l-użu ta’ kapitoli ta’ sostenibbiltà fil-mekkaniżmu għas-soluzzjoni ta’ tilwim attwali, u komunikazzjoni mtejba u trasparenza. </w:t>
      </w: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Bħala parti mill-isforzi tagħha biex tappoġġa lill-pajjiżi li qed jiżviluppaw, l-UE tagħti preferenzi kummerċjali unilaterali taħt l-Iskema Ġeneralizzata ta’ Preferenzi. Dawn il-preferenzi jiddependu mill-konformità tal-pajjiżi benefiċjarji mal-implimentazzjoni ta’ konvenzjonijiet u ftehimiet internazzjonali ewlenin dwar id-drittijiet tal-bniedem u tax-xogħol, il-protezzjoni ambjentali u l-governanza tajba u b’hekk jinħoloq inċentiv biex il-pajjiżi li qed jiżviluppaw jibnu mudelli ta’ tkabbir ekonomiku tagħhom fuq bażi sostenibbli. F’każ ta’ ksur serju u sistematiku tal-prinċipji ta’ dawn il-konvenzjonijiet, il-Kummissjoni tista’ temporanjament tirtira dawn il-preferenzi.</w:t>
      </w:r>
    </w:p>
    <w:p w:rsidR="006A3383" w:rsidRDefault="000262D4">
      <w:pPr>
        <w:pStyle w:val="Heading3"/>
        <w:rPr>
          <w:noProof/>
        </w:rPr>
      </w:pPr>
      <w:bookmarkStart w:id="39" w:name="_Toc536442050"/>
      <w:bookmarkStart w:id="40" w:name="_Toc536619994"/>
      <w:r>
        <w:rPr>
          <w:noProof/>
        </w:rPr>
        <w:t>Governanza u l-iżgurar ta’ koerenza politika fil-livelli kollha</w:t>
      </w:r>
      <w:bookmarkEnd w:id="39"/>
      <w:bookmarkEnd w:id="40"/>
      <w:r>
        <w:rPr>
          <w:noProof/>
        </w:rPr>
        <w:t xml:space="preserve"> </w:t>
      </w:r>
    </w:p>
    <w:p w:rsidR="006A3383" w:rsidRDefault="000262D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Bidla fis-sostenibbiltà ġenwina għall-benefiċċju tal-Ewropej kollha tista’ tintlaħaq permezz tal-SDGs li tirrikjedi approċċ komprensiv. L-UE, l-Istati Membri tagħha u s-sħab tagħha jeħtieġ li jqisu l-interkonnessjonijiet bejn id-diversi sfidi ta’ sostenibbiltà u opportunitajiet, u jappoġġaw il-koerenza bejn oqsma differenti ta’ politika, setturi u livelli ta’ teħid ta’ deċiżjonijiet. </w:t>
      </w:r>
    </w:p>
    <w:p w:rsidR="006A3383" w:rsidRDefault="006A3383">
      <w:pPr>
        <w:spacing w:after="0" w:line="240" w:lineRule="auto"/>
        <w:jc w:val="both"/>
        <w:rPr>
          <w:rFonts w:ascii="Times New Roman" w:hAnsi="Times New Roman" w:cs="Times New Roman"/>
          <w:i/>
          <w:noProof/>
          <w:sz w:val="24"/>
          <w:szCs w:val="24"/>
        </w:rPr>
      </w:pPr>
    </w:p>
    <w:p w:rsidR="006A3383" w:rsidRDefault="000262D4">
      <w:pPr>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006000" cy="228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6000" cy="2282400"/>
                    </a:xfrm>
                    <a:prstGeom prst="rect">
                      <a:avLst/>
                    </a:prstGeom>
                    <a:noFill/>
                    <a:ln>
                      <a:noFill/>
                    </a:ln>
                  </pic:spPr>
                </pic:pic>
              </a:graphicData>
            </a:graphic>
          </wp:inline>
        </w:drawing>
      </w:r>
    </w:p>
    <w:p w:rsidR="006A3383" w:rsidRDefault="006A3383">
      <w:pPr>
        <w:spacing w:after="0" w:line="240" w:lineRule="auto"/>
        <w:jc w:val="both"/>
        <w:rPr>
          <w:rFonts w:ascii="Times New Roman" w:hAnsi="Times New Roman" w:cs="Times New Roman"/>
          <w:noProof/>
          <w:sz w:val="24"/>
          <w:szCs w:val="24"/>
        </w:rPr>
      </w:pPr>
    </w:p>
    <w:p w:rsidR="006A3383" w:rsidRDefault="000262D4">
      <w:pPr>
        <w:spacing w:after="0" w:line="240" w:lineRule="auto"/>
        <w:jc w:val="both"/>
        <w:rPr>
          <w:rFonts w:ascii="Times New Roman" w:hAnsi="Times New Roman" w:cs="Times New Roman"/>
          <w:noProof/>
          <w:sz w:val="24"/>
          <w:szCs w:val="24"/>
        </w:rPr>
      </w:pPr>
      <w:r>
        <w:rPr>
          <w:rFonts w:ascii="Times New Roman" w:hAnsi="Times New Roman"/>
          <w:noProof/>
          <w:sz w:val="24"/>
        </w:rPr>
        <w:t>Ir-rispett tal-istat tad-dritt, id-demokrazija u d-drittijiet fundamentali huma “min aħna”. Dawn huma prinċipji mhux negozjabbli u l-valuri kif stabbiliti fit-Trattati tal-UE u dawn jiffurmaw is-sisien li fuqhom aħna se nibnu. Huma wkoll maħluqa bħala parti integrali tal-Aġenda 2030 tan-Nazzjonijiet Uniti u l-SDGs. L-istess japplika għall-prinċipji tal-paċi, il-ġustizzja u istituzzjonijiet b’saħħithom, li għalihom l-UE dejjem kienet promotur b’saħħtu. Dawn il-prinċipji u valuri komuni mhumiex awtoeżegwenti u l-UE, l-Istati Membri tagħha, u fil-fatt l-Ewropej kollha għandhom bżonn iħarsuhom, iżommuhom u jsaħħuhom. L-imsieħba soċjali għandhom sehem importanti x’jagħtu. Din is-sħubija trid tinżamm u tissaħħaħ sabiex tiġi żgurata kemm governanza effettiva u koerenza tal-politika adegwata.</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Lil hinn minn dawn il-prinċipji sottostanti, il-koerenza politika fil-livelli kollha hija kruċjali, msejsa fuq ippjanar, politiki bbażati fuq l-evidenza, inklużività, effettività, ir-rispett għas-sussidjarjetà u l-proporzjonalità, u l-kejl u l-monitoraġġ. Regolamentazzjoni aħjar u governanza aħjar fil-livelli kollha huma vitali wkoll f’dan ir-rigward. Valutazzjonijiet tal-impatt komprensivi huma meħtieġa għall-opzjonijiet politiċi kollha, u l-kompromessi bejn l-objettivi tal-politika ekonomika, soċjali u ambjentali jeħtieġ li jiġu minimizzati u mitigati. Il-lakuni relatati fl-implimentazzjoni jipperikolaw il-koerenza tal-politika sostenibbli li għandhom ukoll jiġu indirizzati b’mod effettiv u b’mod strutturali.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L-SDGs huma maħsuba biex ikunu indiviżibbli, u l-biċċa l-kbira tal-SDGs jkopru bosta oqsma ta’ politika. Għalhekk, kooperazzjoni aħjar bejn l-amministrazzjonijiet teħtieġ li tkun akkumpanjata minn aktar koerenza bejn oqsma differenti ta’ politika. Il-ġestjoni tar-riżorsi tal-ikel, l-enerġija u l-ilma huma relatati ħafna. L-istess japplika għal trasport, il-kwalità tal-arja u s-saħħa, pereżempju. Hekk imsejjaħ approċċ “nexus” jeħtieġ proġetti multisettorjali fil-livelli kollha, li jindirizzaw l-interkonnessjonijiet bejn l-SDGs. Il-Kummissjoni Ewropea kienet qed issegwi dan l-approċċ billi tadotta metodu ta’ ħidma li jwaqqa' l-barrieri bejn il-Kummissarji u l-persunal kollu tal-Kummissjoni.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Koerenza politika ma tapplikax biss fil-livell intern, iżda wkoll fuq l-impatt ta’ politiki interni dwar id-dimensjoni esterna, u viċi versa. Għandna niżguraw li ma nesportawx l-impronta ekoloġika tagħna jew noħolqu l-faqar, l-inugwaljanza u l-instabbiltà f’partijiet oħra tad-dinja. Bħala Ewropej għandna nkunu manifestament konxji li l-impatti negattivi band’oħra se jkollhom effett boomerang fuq l-ekonomija u s-soċjetà tagħna stess, pereżempju bl-aggravar tal-kawżi tal-migrazzjoni irregolari. L-UE hija impenjata favur il-koerenza politika għall-iżvilupp, li tiżgura li l-impatt tal-politiki interni tal-UE fuq pajjiżi li qed jiżviluppaw qed jiġi sistematikament meħud inkunsiderazzjoni. Il-monitoraġġ relevanti ġie integrat fis-segwitu kumplessiv tal-Kummissjoni dwar l-Aġenda 2030 tan-Nazzjonijiet Uniti.</w:t>
      </w:r>
      <w:r>
        <w:rPr>
          <w:rStyle w:val="FootnoteReference"/>
          <w:rFonts w:ascii="Times New Roman" w:hAnsi="Times New Roman"/>
          <w:noProof/>
          <w:sz w:val="24"/>
        </w:rPr>
        <w:footnoteReference w:id="77"/>
      </w:r>
      <w:r>
        <w:rPr>
          <w:rFonts w:ascii="Times New Roman" w:hAnsi="Times New Roman"/>
          <w:noProof/>
          <w:sz w:val="24"/>
        </w:rPr>
        <w:t xml:space="preserve">  </w:t>
      </w:r>
    </w:p>
    <w:p w:rsidR="006A3383" w:rsidRDefault="006A3383">
      <w:pPr>
        <w:spacing w:after="0" w:line="240" w:lineRule="auto"/>
        <w:jc w:val="both"/>
        <w:rPr>
          <w:rFonts w:ascii="Times New Roman" w:hAnsi="Times New Roman" w:cs="Times New Roman"/>
          <w:i/>
          <w:noProof/>
          <w:sz w:val="24"/>
          <w:szCs w:val="24"/>
        </w:rPr>
      </w:pP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rPr>
        <w:t>Politiki ta’ suċċess jeħtieġu li jistabbilixxu objettivi ċari u li jistgħu jitkejlu, b’tali mod li l-progress jista’ jiġi rintraċċat, u r-riżultati jsiru pubblikament disponibbli. Ftehim dwar tali miri u sistema ta’ monitoraġġ jistgħu jinħolqu bħala l-pass li jmiss fil-livell tal-UE. Il-Kunsill Ewropew kien sodisfatt bl-intenzjoni tal-Kummissjoni li tippubblika dan id-Dokument ta’ Riflessjoni biex titwitta t-triq għal strateġija ta’ implimentazzjoni komprensiva tal-Aġenda 2030 tan-Nazzjonijiet Uniti fl-2019, li tista’ tinkorpora dan l-eżerċizzju.</w:t>
      </w:r>
    </w:p>
    <w:p w:rsidR="006A3383" w:rsidRDefault="000262D4">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L-implimentazzjoni tal-SDGs teħtieġ ukoll kooperazzjoni effikaċi fil-livell tal-UE, nazzjonali, reġjonali u lokali. Ir-rakkomandazzjonijiet tal-Komunikazzjoni tal-Kummissjoni “Il-prinċipji ta’ sussidjarjetà u proporzjonalità: It-tisħiħ tar-rwol tagħhom fit-tfassil tal-politika tal-UE li segwa t-”Task Force dwar is-Sussidjarjetà u l-proporzjonalità u dwar li jsir anqas b’mod aktar effiċjenti” jipprovdi pjan direzzjonali biex dan jinkiseb.</w:t>
      </w:r>
      <w:r>
        <w:rPr>
          <w:rStyle w:val="FootnoteReference"/>
          <w:rFonts w:ascii="Times New Roman" w:hAnsi="Times New Roman"/>
          <w:noProof/>
          <w:sz w:val="24"/>
        </w:rPr>
        <w:footnoteReference w:id="78"/>
      </w:r>
      <w:r>
        <w:rPr>
          <w:rFonts w:ascii="Times New Roman" w:hAnsi="Times New Roman"/>
          <w:noProof/>
          <w:sz w:val="24"/>
        </w:rPr>
        <w:t xml:space="preserve"> Il-Kummissjoni u l-korpi l-oħrajn tal-UE jistgħu b’mod partikolari jiffaċilitaw skambju tal-aħjar prattiki fost il-bliet u r-reġjuni, u jistabbilixxu l-parametri għal approċċ territorjali transfruntier biex jintlaħqu l-SDGs. </w:t>
      </w:r>
    </w:p>
    <w:p w:rsidR="006A3383" w:rsidRDefault="006A3383">
      <w:pPr>
        <w:widowControl w:val="0"/>
        <w:spacing w:after="0" w:line="240" w:lineRule="auto"/>
        <w:jc w:val="both"/>
        <w:rPr>
          <w:rFonts w:ascii="Times New Roman" w:hAnsi="Times New Roman" w:cs="Times New Roman"/>
          <w:noProof/>
          <w:sz w:val="24"/>
          <w:szCs w:val="24"/>
        </w:rPr>
      </w:pPr>
    </w:p>
    <w:p w:rsidR="006A3383" w:rsidRDefault="000262D4">
      <w:pPr>
        <w:widowControl w:val="0"/>
        <w:spacing w:after="0" w:line="240" w:lineRule="auto"/>
        <w:jc w:val="both"/>
        <w:rPr>
          <w:rFonts w:ascii="Times New Roman" w:hAnsi="Times New Roman" w:cs="Times New Roman"/>
          <w:noProof/>
          <w:sz w:val="24"/>
          <w:szCs w:val="24"/>
        </w:rPr>
      </w:pPr>
      <w:r>
        <w:rPr>
          <w:rFonts w:ascii="Times New Roman" w:hAnsi="Times New Roman"/>
          <w:noProof/>
          <w:color w:val="333333"/>
          <w:sz w:val="24"/>
        </w:rPr>
        <w:t>Is-soċjetà ċivili, is-settur privat u l-akkademja għandhom naturalment ikunu wkoll parti mill-konverżazzjoni u l-miżuri ta’ implimentazzjoni.</w:t>
      </w:r>
      <w:r>
        <w:rPr>
          <w:rFonts w:ascii="Times New Roman" w:hAnsi="Times New Roman"/>
          <w:noProof/>
          <w:sz w:val="24"/>
        </w:rPr>
        <w:t xml:space="preserve"> Il-Pjattaforma ta’ Livell Għoli ta’ Bosta Partijiet Interessati dwar l-SDGs, stabbilita mill-Kummissjoni Ewropea fl-2017,</w:t>
      </w:r>
      <w:r>
        <w:rPr>
          <w:rStyle w:val="FootnoteReference"/>
          <w:rFonts w:ascii="Times New Roman" w:hAnsi="Times New Roman"/>
          <w:noProof/>
          <w:sz w:val="24"/>
        </w:rPr>
        <w:footnoteReference w:id="79"/>
      </w:r>
      <w:r>
        <w:rPr>
          <w:rFonts w:ascii="Times New Roman" w:hAnsi="Times New Roman"/>
          <w:noProof/>
          <w:sz w:val="24"/>
        </w:rPr>
        <w:t xml:space="preserve"> kien eżerċizzju pożittiv biex jiġbor flimkien l-ideat trasversali. L-input tal-Pjattaforma kien imprezzabbli għal-ħidma tal-Kummissjoni u huwa anness għal dan id-Dokument ta’ Riflessjoni. Il-Grupp ta’ Esperti ta’ Livell Għoli dwar il-Finanzi Sostenibbli huwa eżempju pożittiv ieħor ta’ kooperazzjoni transsettorjali li kien fundamentali għat-tħejjija tal-Pjan ta’ Azzjoni tal-Kummissjoni dwar Finanzjament Sostenibbli.</w:t>
      </w:r>
    </w:p>
    <w:p w:rsidR="006A3383" w:rsidRDefault="006A3383">
      <w:pPr>
        <w:widowControl w:val="0"/>
        <w:spacing w:after="0" w:line="240" w:lineRule="auto"/>
        <w:jc w:val="both"/>
        <w:rPr>
          <w:rFonts w:ascii="Times New Roman" w:hAnsi="Times New Roman" w:cs="Times New Roman"/>
          <w:noProof/>
          <w:sz w:val="24"/>
          <w:szCs w:val="24"/>
        </w:rPr>
      </w:pPr>
    </w:p>
    <w:p w:rsidR="006A3383" w:rsidRDefault="000262D4">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Għal sfidi kumplessi b’firxa wiesgħa ta’ interessi li jikkompetu ma’ xulxin, sħubijiet bejn diversi partijiet interessati jistgħu jkomplu jiġu promossi biex jindirizzaw l-interdipendenza bejn l-SDGs differenti. </w:t>
      </w:r>
    </w:p>
    <w:p w:rsidR="006A3383" w:rsidRDefault="006A3383">
      <w:pPr>
        <w:spacing w:after="0" w:line="240" w:lineRule="auto"/>
        <w:jc w:val="both"/>
        <w:rPr>
          <w:rFonts w:ascii="Times New Roman" w:hAnsi="Times New Roman" w:cs="Times New Roman"/>
          <w:noProof/>
          <w:sz w:val="24"/>
          <w:szCs w:val="24"/>
        </w:rPr>
      </w:pPr>
    </w:p>
    <w:p w:rsidR="006A3383" w:rsidRDefault="000262D4">
      <w:pPr>
        <w:spacing w:line="240" w:lineRule="auto"/>
        <w:jc w:val="both"/>
        <w:rPr>
          <w:rFonts w:ascii="Times New Roman" w:hAnsi="Times New Roman" w:cs="Times New Roman"/>
          <w:noProof/>
          <w:sz w:val="24"/>
          <w:szCs w:val="24"/>
        </w:rPr>
      </w:pPr>
      <w:r>
        <w:rPr>
          <w:rFonts w:ascii="Times New Roman" w:hAnsi="Times New Roman"/>
          <w:noProof/>
          <w:sz w:val="24"/>
        </w:rPr>
        <w:t>Min-naħa l-oħra, l-approċċ ta’ governanza f’diversi livelli jeħtieġ li l-isforzi tal-UE huma artikolati sew fuq il-livell ta’ governanza globali. Fl-implimentazzjoni tal-SDGs irridu nħabbtu wiċċna ma’ ħafna sfidi li ma jafux fruntieri. Orjentazzjoni aktar b’saħħitha li “tħares ’il barra”, f’kooperazzjoni mill-qrib ma’ sħab tal-UE mid-dinja kollha fil-livelli kollha, għalhekk hija neċessarja. Fin-Nazzjonijiet Uniti, il-Forum Politiku ta’ Livell Għoli għandu rwol ewlieni, b’mod partikolari biex iżomm rekord tal-progress. L-UE bħala sostenitriċi qawwija għall-multilateraliżmu tista’ tieħu r-riedni fl-iżgurar ta’ rapportar xieraq dwar il-progress lejn l-SDGs u tinsisti fuq l-implimentazzjoni rigoruża u l-monitoraġġ mill-imsieħba kollha.</w:t>
      </w:r>
    </w:p>
    <w:p w:rsidR="006A3383" w:rsidRDefault="000262D4">
      <w:pPr>
        <w:pStyle w:val="Heading1"/>
        <w:rPr>
          <w:rFonts w:eastAsia="Times New Roman"/>
          <w:noProof/>
        </w:rPr>
      </w:pPr>
      <w:bookmarkStart w:id="41" w:name="_Toc536442051"/>
      <w:bookmarkStart w:id="42" w:name="_Toc536619995"/>
      <w:r>
        <w:rPr>
          <w:noProof/>
        </w:rPr>
        <w:t>L-UE bħala entità bi rwol globali ta’ innovazzjoni fl-iżvilupp sostenibbli</w:t>
      </w:r>
      <w:bookmarkEnd w:id="41"/>
      <w:bookmarkEnd w:id="42"/>
    </w:p>
    <w:p w:rsidR="006A3383" w:rsidRDefault="006A3383">
      <w:pPr>
        <w:rPr>
          <w:noProof/>
          <w:sz w:val="4"/>
          <w:szCs w:val="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L-UE u n-Nazzjonijiet Uniti huma sħab naturali fl-isforzi biex isawru dinja aħjar u aktar sikura għal kulħadd. M’għandniex bżonn aktar ħitan, iżda regoli globali rrispettati minn kulħadd. Is-sistema bbażata fuq ir-regoli hija l-aħjar garanti għas-sostenibbiltà tal-ekonomija u tas-soċjetà tagħna. Id-diplomazija multilaterali biss tista’ twassal għal soluzzjonijiet għal sfidi internazzjonali. L-Istrateġija Globali tal-UE dwar il-Politika Estera u l-Politika ta’ Sigurtà tal-UE tirrikonoxxi l-importanza tal-SDGs bħala prijorità trasversali, u sforzi konġunti huma meħtieġa mill-UE u l-Istati Membri tagħha fir-relazzjonijiet tagħhom mal-bqija tad-dinja.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Bil-qawmien mill-ġdid globali ta’ kunflitti vjolenti, b’mod partikolari f’dawn l-aħħar ħames snin, qegħdin għal darb’oħra mfakkra li l-paċi u s-sigurtà fl-UE jiddependu wkoll fuq il-ħila tal-UE li tikkontribwixxi għall-bini u ż-żamma tal-paċi f’partijiet oħra tad-dinja. L-esperjenza tal-UE fil-konsolidazzjoni tal-paċi d-dar tagħtiha s-setgħa ta’ persważjoni u l-kredibilità tagħha bħala attur globali għal paċi sostenibbli u l-prosperità.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L-UE għandha wkoll tkompli taqsam soluzzjonijiet sostenibbli għall-problemi globali hekk kif il-politiki tagħna ser ikollhom biss impatt limitat fuq il-pjaneta jekk oħrajn jippromwovu politiki opposti. Billi ngħinu u ninkoraġixxu lill-oħrajn biex isegwu l-azzjonijiet tagħna, l-UE tista’ tinsisti għal kundizzjonijiet ekwi, fejn kollha jikkompetu taħt l-istess kundizzjonijiet. Barra minn hekk, il-kondiviżjoni ta’ soluzzjonijiet tal-UE barra mill-pajjiż twassal għal aktar impjiegi u tkabbir sostenibbli, mhux biss fil-pajjiżi msieħba, iżda anki fi ħdan l-UE nnifisha.</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Fl-aħħar mill-aħħar, biex tikseb l-ikbar suċċess fi tranżizzjoni ekonomika ekoloġika u inklużiva, iridu jingħaqdu magħna s-sħab globali u npoġġu l-każ li mudell ta’ żvilupp sostenibbli globali bbażat fuq il-valuri u l-prinċipji fundamentali tagħna huwa l-aħjar mod biex tinkiseb il-prosperità kondiviża u dinja sostenibbli. Il-ħidma interna tal-UE dwar l-SDGs u l-projezzjoni esterna huma għalhekk żewġ naħat tal-istess munita. Huwa fl-interess tal-UE li jkollha rwol ewlieni fl-implimentazzjoni tal-Aġenda 2030 tan-Nazzjonijiet Uniti wkoll globalment permezz tal-azzjoni esterna tagħha.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pStyle w:val="PlainText"/>
        <w:jc w:val="both"/>
        <w:rPr>
          <w:rFonts w:ascii="Times New Roman" w:hAnsi="Times New Roman" w:cs="Times New Roman"/>
          <w:noProof/>
          <w:sz w:val="24"/>
          <w:szCs w:val="24"/>
        </w:rPr>
      </w:pPr>
      <w:r>
        <w:rPr>
          <w:rFonts w:ascii="Times New Roman" w:hAnsi="Times New Roman"/>
          <w:noProof/>
          <w:sz w:val="24"/>
        </w:rPr>
        <w:t>L-UE u l-Istati Membri tagħha huma l-akbar donaturi tal-għajnuna għall-iżvilupp u umanitarja madwar id-dinja. L-UE hija kollettivament impenjata biex iżżid il-kontribut tagħha tal-għajnuna uffiċjali għall-iżvilupp sa mill-inqas 0.7 % tad-dħul nazzjonali gross tal-UE fis-sena. Permezz ta’ kooperazzjoni ma’ 150 pajjiż sħab madwar id-dinja, l-għajnuna għall-iżvilupp tal-UE hija kemm mezz biex jaqilgħu lin-nies mill-faqar u jiżguraw dinjità u ugwaljanza, iżda wkoll biex jinħolqu soċjetajiet paċifiċi, ġusti u inklużivi. In-natura mtawla tal-kriżijiet titlob lill-UE biex tkompli tagħmel sforz ikkoordinat biex simultanjament tindirizza l-ħtiġijiet umanitarji u għall-ġlieda kontra l-kawżi ewlenin tal-faqar, l-ispostament, il-fraġilità u l-instabbiltà.</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Il-Konsensus Ewropew dwar l-Iżvilupp il-ġdid espliċitament jimmira l-azzjoni tal-UE lejn l-implimentazzjoni tal-Aġenda 2030 tan-Nazzjonijiet Uniti, bl-objettiv primarju jkun li jinqered il-faqar. Wieħed mill-vantaġġi ewlenin tiegħu huwa impenn konġunt mill-UE u l-Istati Membri tagħha kollha sabiex jaħdmu aħjar flimkien, inkluż permezz ta’ aktar programmazzjoni konġunta u koordinazzjoni aktar effettiva fil-post. Din l-orjentazzjoni l-ġdida għandha tkompli ttejjeb l-istrument finanzjarju estern tal-UE, imfassal speċifikament biex jappoġġa l-implimentazzjoni tal-SDGs.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Se nkomplu bl-involviment attiv tagħna mal-pajjiżi sħab permezz ta’ djalogi politiċi, bbażati fuq l-SDGs, akkumpanjati mill-assistenza u l-kooperazzjoni għall-iżvilupp tagħna. Is-sħubija l-ġdida tal-UE mal-pajjiżi tal-Afrika, il-Karibew u l-Paċifiku li se tiġi wara l-Ftehim ta’ Cotonou għandha taħdem biex iżżid il-prosperità billi tissodisfa l-SDGs. Meta jsir progress, għandu jkun ta’ importanza partikolari għall-UE u għall-Istati Membri tagħha li tinbena sħubija u kooperazzjoni b’saħħitha mal-Afrika. L-UE għandha interess komuni f’kontinent Afrikan li jipprospera ekonomikament u politikament, b’aktar opportunitajiet għat-tkabbir, l-impjieg lokali, il-mudelli ġodda ta’ negozju u r-relazzjonijiet kummerċjali li huma ta’ benefiċċju reċiproku mal-Ewropa. B’mod parallel, l-impenn tal-UE ma’ pajjiżi fil-fażi tal-iżvilupp aktar avvanzati f'firxa wiesa’ ta’ setturi jista’ jkollu impatt sinifikanti fuq l-iżvilupp globali sostenibbli.</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Bħala prijoritajiet jibqgħu li s-settur privat jinżamm kompletament infurmat u li jissaħħaħ l-investiment sostenibbli anke lil hinn mill-fruntieri tal-UE. Il-Pjan ta’ Investiment Estern Ewropew ħoloq standard ġdid fl-użu tal-finanzjament pubbliku li jiġġenera investiment privat għal żvilupp sostenibbli fil-pajjiżi sħab – li beda mal-Afrika u l-Viċinat tal-UE.</w:t>
      </w:r>
      <w:r>
        <w:rPr>
          <w:rStyle w:val="FootnoteReference"/>
          <w:rFonts w:ascii="Times New Roman" w:hAnsi="Times New Roman"/>
          <w:noProof/>
          <w:sz w:val="24"/>
        </w:rPr>
        <w:footnoteReference w:id="80"/>
      </w:r>
      <w:r>
        <w:rPr>
          <w:rFonts w:ascii="Times New Roman" w:hAnsi="Times New Roman"/>
          <w:noProof/>
          <w:sz w:val="24"/>
        </w:rPr>
        <w:t xml:space="preserve"> L-Alleanza ġdida Afrika - Ewropa għal Investiment Sostenibbli u Impjiegi, imnedija f’Settembru 2018 għandha potenzjal kbir biex tillibera l-investimenti sostenibbli, bil-perspettiva li fil-ħames snin li ġejjin jinħolqu sa 10 miljun impjieg fl-Afrika.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Minħabba li b’mod partikolari l-pajjiżi fil-fażi tal-iżvilupp qed jaffaċċjaw diffikultajiet biex jaċċessaw finanzi biżżejjed għall-bżonnijiet tagħhom fl-infrastruttura sostenibbli u l-effiċjenza enerġetika, in-natura globali tas-swieq finanzjarji tista’ toffri potenzjal kbir u tappoġġa lill-pajjiżi kollha fil-mogħdija tat-tranżizzjoni tagħhom billi tgħaqqad il-bżonnijiet lokali ma’ sorsi globali ta’ finanzjament. L-allinjament tal-inizjattivi finanzjarji sostenibbli u tal-għodod tul il-ġuriżdizzjonijiet jiggarantixxi swieq kompatibbli għall-assi finanzjarji sostenibbli tul il-fruntieri, u jikseb ekonomiji ta’ skala u jevita l-frammentazzjoni. Dan iġib miegħu opportunitajiet ta’ investiment ewlenin għan-negozji u għas-settur finanzjarju madwar id-dinja.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L-UE timmira wkoll li tkun fuq quddiem nett tal-isforzi internazzjonali ta’ koordinazzjoni biex tibni sistema finanzjarja li tappoġġa t-tkabbir sostenibbli b’mod globali. Biex issaħħaħ il-kooperazzjoni u tisfrutta s-sinerġiji, ikun opportun li jiġi stabbilit netwerk internazzjonali ta’ ġuriżdizzjonijiet, kemm mill-pajjiżi żviluppati kif ukoll mill-pajjiżi fil-fażi tal-iżvilupp li jinsabu impenjati fuq l-avvanz tal-finanzi sostenibbli. Strateġija u arkitettura koerenti internazzjonali li tingrana l-isforzi tal-istituzzjonijiet bħall-Grupp tal-Bank Dinji, l-Organizzazzjoni għall-Kooperazzjoni u l-Iżvilupp Ekonomiċi, il-Bank Ewropew tal-Investiment u l-Bank Ewropew għar-Rikostruzzjoni u l-Iżvilupp, tikkontribwixxi biex ittejjeb il-finanzi sostenibbli u timmobilizza lill-investituri internazzjonali lejn l-investimenti sostenibbli madwar id-dinja. Teknoloġiji ġodda finanzjarji u soluzzjonijiet finanzjarji innovattivi joffru aktar opportunitajiet kbar biex jgħaqqdu lill-investituri globali mal-proġetti sostenibbli.</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It-tibdil fil-klima u d-degradazzjoni ambjentali qed isiru dejjem aktar waħda mill-akbar theddidiet għall-paċi u għas-sigurtà fid-dinja u jekk ma titteħidx azzjoni deċiżiva se jsiru sors akbar ta’ riskju globali, inkluż ta’ spostament sfurzat u ta’ migrazzjoni. L-UE teħtieġ li tagħti eżempju, inkluż permezz tal-implimentazzjoni rigoruża tal-Ftehim ta’ Pariġi dwar il-Klima u biex tfittex sforzi internazzjonali għad-dekarbonizzazzjoni tas-settur tat-trasport. L-UE tista’ wkoll tibda ftehimiet globali vinkolanti fl-oqsma tal-ekonomija ċirkolari, l-użu tar-riżorsi u l-bijodiversità. </w:t>
      </w:r>
    </w:p>
    <w:p w:rsidR="006A3383" w:rsidRDefault="006A3383">
      <w:pPr>
        <w:autoSpaceDE w:val="0"/>
        <w:autoSpaceDN w:val="0"/>
        <w:adjustRightInd w:val="0"/>
        <w:spacing w:after="0" w:line="240" w:lineRule="auto"/>
        <w:jc w:val="both"/>
        <w:rPr>
          <w:rFonts w:ascii="Times New Roman" w:hAnsi="Times New Roman" w:cs="Times New Roman"/>
          <w:noProof/>
          <w:sz w:val="24"/>
          <w:szCs w:val="24"/>
        </w:rPr>
      </w:pPr>
    </w:p>
    <w:p w:rsidR="006A3383" w:rsidRDefault="000262D4">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Il-fatt li aħna l-innovaturi fit-tranżizzjoni ekoloġika u inklużiva, flimkien ma’ spinta qawwija għar-regoli internazzjonali, se jippermettulna li nistabilixxu standards dinjija u se jagħtuna vantaġġ kompetittiv b’saħħtu fis-suq globali. </w:t>
      </w:r>
    </w:p>
    <w:p w:rsidR="006A3383" w:rsidRDefault="000262D4">
      <w:pPr>
        <w:pStyle w:val="Heading1"/>
        <w:rPr>
          <w:rFonts w:eastAsia="Times New Roman"/>
          <w:noProof/>
        </w:rPr>
      </w:pPr>
      <w:bookmarkStart w:id="43" w:name="_Toc536442052"/>
      <w:bookmarkStart w:id="44" w:name="_Toc536619996"/>
      <w:r>
        <w:rPr>
          <w:noProof/>
        </w:rPr>
        <w:t>Xenarji għall-futur</w:t>
      </w:r>
      <w:bookmarkEnd w:id="43"/>
      <w:bookmarkEnd w:id="44"/>
    </w:p>
    <w:p w:rsidR="006A3383" w:rsidRDefault="000262D4">
      <w:pPr>
        <w:rPr>
          <w:noProof/>
          <w:sz w:val="4"/>
          <w:szCs w:val="4"/>
        </w:rPr>
      </w:pPr>
      <w:r>
        <w:rPr>
          <w:noProof/>
        </w:rPr>
        <w:t xml:space="preserve"> </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L-UE impenjat ruħha għal kollox biex twassal l-Aġenda tan-Nazzjonijiet Uniti tal-2030 u biex timplimentaha. B’ċiklu politiku ġdid ta’ ħames snin fl-orizzont, wasal iż-żmien li nissodisfaw l-impenn kollettiv tagħna. L-istituzzjonijiet tal-UE jeħtieġ li jiddeċiedu dwar l-istrutturi, l-għodod u l-politiki se jużaw biex jimplimentaw u jiksbu l-SDGs u jgħinu u jiggwidaw lis-sħab tagħna. Hemm ideat differenti kif jista’ dan jinkiseb bl-aħjar mod, u kull istituzzjoni, il-Parlament, il-Kunsill u l-Kummissjoni, għandhom ir-responsabbiltajiet tagħhom f’konformità mat-Trattati u l-impenji internazzjonali tagħna.</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F’Ottubru 2018, il-Kunsill Ewropew laqa’ l-intenzjoni tal-Kummissjoni li tippubblika Dokument ta’ Riflessjoni li jwitti t-triq għal strateġija ta’ implimentazzjoni komprensiva fl-2019.</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Dan id-Dokument ta’ Riflessjoni jressaq tliet xenarji differenti fuq il-gwida tal-Kunsill Ewropew biex jitmexxew id-diskussjonijiet dwar kif tista’ tinkiseb bl-aħjar mod l-implimentazzjoni tal-SDGs u x’jista’ jkun l-aktar tqassim effettiv tal-irwoli. Din ir-riflessjoni hija maħsuba biex tinforma dibattitu fost iċ-ċittadini, il-partijiet ikkonċernati, il-gvernijiet u l-istituzzjonijiet fix-xhur li ġejjin, b’ħarsa biex tagħti spunt għat-tħejjija tal-Aġenda </w:t>
      </w:r>
      <w:r>
        <w:rPr>
          <w:rFonts w:ascii="Times New Roman" w:hAnsi="Times New Roman"/>
          <w:noProof/>
          <w:sz w:val="24"/>
        </w:rPr>
        <w:t>Strateġika tal-UE għall-2019-2024 u l-iffissar tal-prijoritajiet tal-President li jmiss tal-Kummissjoni Ewropea.</w:t>
      </w:r>
    </w:p>
    <w:p w:rsidR="006A3383" w:rsidRDefault="000262D4">
      <w:pPr>
        <w:spacing w:line="240" w:lineRule="auto"/>
        <w:jc w:val="both"/>
        <w:rPr>
          <w:rFonts w:ascii="Times New Roman" w:hAnsi="Times New Roman" w:cs="Times New Roman"/>
          <w:noProof/>
          <w:sz w:val="24"/>
          <w:szCs w:val="24"/>
          <w:u w:color="000000"/>
        </w:rPr>
      </w:pPr>
      <w:bookmarkStart w:id="45" w:name="_Toc519260826"/>
      <w:bookmarkEnd w:id="45"/>
      <w:r>
        <w:rPr>
          <w:rFonts w:ascii="Times New Roman" w:hAnsi="Times New Roman"/>
          <w:noProof/>
          <w:sz w:val="24"/>
          <w:u w:color="000000"/>
        </w:rPr>
        <w:t xml:space="preserve">It-tliet xenarji li huma jibbażaw ruħhom fuq premessa kondiviża li hemm rikonoxximent wiesa’ mill-Istati Membri tal-UE, min-negozji u mis-soċjetà ċivili li hemm bżonn impenn imsaħħaħ jekk l-UE u d-dinja għandhom jiżguraw futur sostenibbli u jiksbu l-SGDs sal-2030 u lil hinn fl-interess ta’ ekonomija moderna, ambjent nadif u l-benesseri taċ-ċittadini tagħna filwaqt li niggarantixxu pjaneta abitabbli. </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Hemm ukoll il-ftehim li filwaqt li l-azzjoni ta’ sostenibbiltà teħtieġ li tkun fuq skala Ewropea, fl-aħħar mill-aħħar nistgħu biss nirnexxu jekk nieħdu approċċ globali. Barra minn hekk, biex l-UE tkompli tistagħna bħala kontinent prosperu, partijiet sinifikanti mid-dinja fil-fażi tal-iżvilupp teħtieġ li tiġi appoġġata biex tirkupra ekonomikament u soċjalment. Bl-istess raġunament, l-appoġġ tal-progress ekonomiku tal-pajjiżi fil-fażi tal-iżvilupp lejn l-SDGs jikkontribwixxi wkoll għal firxa wiesgħa ta’ interessi strateġiċi tal-UE, bħat-tnaqqis tal-migrazzjoni irregolari. L-SDGs, kif iffirmati minn 193 stat, joffru l-aktar qafas modern, globali u komprensiv li fuqu nistgħu nibbażaw xogħolna. </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Id-dibattitu Ewropew issa jinvolvi x’se jsir u kif se jsir. It-tliet xenarji jissottolineaw reazzjonijiet differenti iżda jitilqu mill-premessa li l-UE għandha vantaġġi kompetittivi kbar biex tkun mexxej globali u innovatur ta’ suċċess. Dawn ix-xenarji la huma restrittivi u lanqas preskrittivi. Huma għandhom l-għan li</w:t>
      </w:r>
      <w:r>
        <w:rPr>
          <w:rFonts w:ascii="Times New Roman" w:hAnsi="Times New Roman"/>
          <w:noProof/>
          <w:sz w:val="24"/>
        </w:rPr>
        <w:t xml:space="preserve"> joffru ideat differenti u li jħeġġu d-dibattitu u l-ħsieb. Ir-riżultat aħħari probabbilment ikun taħlita ta’ xi elementi minn kull naħa. </w:t>
      </w:r>
    </w:p>
    <w:p w:rsidR="006A3383" w:rsidRDefault="006A3383">
      <w:pPr>
        <w:spacing w:line="240" w:lineRule="auto"/>
        <w:jc w:val="both"/>
        <w:rPr>
          <w:rFonts w:ascii="Times New Roman" w:hAnsi="Times New Roman" w:cs="Times New Roman"/>
          <w:noProof/>
          <w:sz w:val="24"/>
          <w:szCs w:val="24"/>
          <w:u w:color="000000"/>
        </w:rPr>
        <w:sectPr w:rsidR="006A3383">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20"/>
          <w:docGrid w:linePitch="360"/>
        </w:sectPr>
      </w:pPr>
    </w:p>
    <w:p w:rsidR="006A3383" w:rsidRDefault="000262D4">
      <w:pPr>
        <w:rPr>
          <w:rFonts w:ascii="Times New Roman" w:hAnsi="Times New Roman" w:cs="Times New Roman"/>
          <w:b/>
          <w:noProof/>
          <w:color w:val="4F81BD" w:themeColor="accent1"/>
          <w:sz w:val="24"/>
          <w:szCs w:val="24"/>
          <w:u w:color="000000"/>
        </w:rPr>
      </w:pPr>
      <w:bookmarkStart w:id="46" w:name="_Toc529790807"/>
      <w:r>
        <w:rPr>
          <w:rFonts w:ascii="Times New Roman" w:hAnsi="Times New Roman"/>
          <w:b/>
          <w:noProof/>
          <w:color w:val="4F81BD" w:themeColor="accent1"/>
          <w:sz w:val="24"/>
          <w:u w:color="000000"/>
        </w:rPr>
        <w:t>Xenarju 1: Strateġija globali tal-UE dwar l-SDGs biex tiggwida l-azzjonijiet kollha tal-UE u tal-Istati Membri tagħha</w:t>
      </w:r>
      <w:bookmarkEnd w:id="46"/>
    </w:p>
    <w:p w:rsidR="006A3383" w:rsidRDefault="006A3383">
      <w:pPr>
        <w:spacing w:after="0" w:line="240" w:lineRule="auto"/>
        <w:jc w:val="both"/>
        <w:rPr>
          <w:rFonts w:ascii="Times New Roman" w:hAnsi="Times New Roman" w:cs="Times New Roman"/>
          <w:noProof/>
          <w:sz w:val="24"/>
          <w:szCs w:val="24"/>
          <w:u w:color="000000"/>
        </w:rPr>
        <w:sectPr w:rsidR="006A3383">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Pass biex inwieġbu għall-isfidi li naffaċċjaw huwa li nħaddnu l-SDGs maqbula globalment fl-ogħla livell politiku tal-UE, bħala l-objettivi ta’ politika strateġiċi ġenerali għall-UE u għall-Istati Membri tagħha. Approċċ bħal dan ikun konformi mar-rakkomandazzjonijiet tal-Pjattaforma ta’ Diversi Partijiet Ikkonċernati ta’ Livell Għoli dwar l-SDGs.</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F’dan ix-xenarju, l-Aġenda tan-Nazzjonijiet Uniti tal-2030 u l-SDGs se jkunu l-orjentazzjoni tagħna u għalhekk se jiddeterminaw il-qafas strateġiku għall-UE u għall-Istati Membri tagħha.</w:t>
      </w:r>
    </w:p>
    <w:p w:rsidR="006A3383" w:rsidRDefault="000262D4">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Se titfittex u effettivament tiġi kkoordinata azzjoni strateġika mill-UE u mill-Istati Membri, inklużi mill-awtoritajiet reġjonali u lokali. Se jiġi stimulat approċċ konġunt fil-livelli kollha ta’ gvern, b’kooperazzjoni mill-qrib mal-partijiet interessati kollha. Dan se jinkludi element qawwi fir-relazzjonijiet tal-UE ma’ pajjiżi terzi biex tiżdied l-azzjoni internazzjonali tal-istabbiltà. </w:t>
      </w:r>
    </w:p>
    <w:p w:rsidR="006A3383" w:rsidRDefault="006A3383">
      <w:pPr>
        <w:spacing w:after="0" w:line="240" w:lineRule="auto"/>
        <w:jc w:val="both"/>
        <w:rPr>
          <w:rFonts w:ascii="Times New Roman" w:hAnsi="Times New Roman" w:cs="Times New Roman"/>
          <w:noProof/>
          <w:sz w:val="24"/>
          <w:szCs w:val="24"/>
          <w:u w:color="000000"/>
        </w:rPr>
      </w:pPr>
    </w:p>
    <w:p w:rsidR="006A3383" w:rsidRDefault="000262D4">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Dan jimplika wkoll l-istabbiliment ta’ “Proċess Ewropew għall-koordinazzjoni politika tal-SDG, biex tiġi vvalutata u sorveljata b’mod regolari l-implimentazzjoni u tiġi riflessa n-natura trasversali u l-interkonnettività bejn l-SDGs, inkluż fit-tmexxija interna tal-Kummissjoni Ewropea. </w:t>
      </w:r>
    </w:p>
    <w:p w:rsidR="006A3383" w:rsidRDefault="006A3383">
      <w:pPr>
        <w:spacing w:after="0" w:line="240" w:lineRule="auto"/>
        <w:jc w:val="both"/>
        <w:rPr>
          <w:rFonts w:ascii="Times New Roman" w:hAnsi="Times New Roman" w:cs="Times New Roman"/>
          <w:noProof/>
          <w:sz w:val="24"/>
          <w:szCs w:val="24"/>
          <w:u w:color="000000"/>
        </w:rPr>
      </w:pPr>
    </w:p>
    <w:p w:rsidR="006A3383" w:rsidRDefault="006A3383">
      <w:pPr>
        <w:spacing w:after="0" w:line="240" w:lineRule="auto"/>
        <w:jc w:val="both"/>
        <w:rPr>
          <w:rFonts w:ascii="Times New Roman" w:hAnsi="Times New Roman" w:cs="Times New Roman"/>
          <w:noProof/>
          <w:sz w:val="24"/>
          <w:szCs w:val="24"/>
          <w:u w:color="000000"/>
        </w:rPr>
      </w:pPr>
    </w:p>
    <w:p w:rsidR="006A3383" w:rsidRDefault="006A3383">
      <w:pPr>
        <w:spacing w:after="0" w:line="240" w:lineRule="auto"/>
        <w:jc w:val="both"/>
        <w:rPr>
          <w:rFonts w:ascii="Times New Roman" w:hAnsi="Times New Roman" w:cs="Times New Roman"/>
          <w:noProof/>
          <w:sz w:val="24"/>
          <w:szCs w:val="24"/>
          <w:u w:color="000000"/>
        </w:rPr>
      </w:pPr>
    </w:p>
    <w:p w:rsidR="006A3383" w:rsidRDefault="006A3383">
      <w:pPr>
        <w:spacing w:after="0" w:line="240" w:lineRule="auto"/>
        <w:jc w:val="both"/>
        <w:rPr>
          <w:rFonts w:ascii="Times New Roman" w:hAnsi="Times New Roman" w:cs="Times New Roman"/>
          <w:noProof/>
          <w:sz w:val="24"/>
          <w:szCs w:val="24"/>
          <w:u w:color="000000"/>
        </w:rPr>
      </w:pPr>
    </w:p>
    <w:p w:rsidR="006A3383" w:rsidRDefault="006A3383">
      <w:pPr>
        <w:autoSpaceDE w:val="0"/>
        <w:autoSpaceDN w:val="0"/>
        <w:adjustRightInd w:val="0"/>
        <w:spacing w:after="0" w:line="240" w:lineRule="auto"/>
        <w:jc w:val="both"/>
        <w:rPr>
          <w:rFonts w:ascii="Times New Roman" w:hAnsi="Times New Roman" w:cs="Times New Roman"/>
          <w:noProof/>
          <w:sz w:val="24"/>
          <w:szCs w:val="24"/>
          <w:u w:color="000000"/>
        </w:rPr>
        <w:sectPr w:rsidR="006A3383">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17" w:right="1417" w:bottom="1417" w:left="1417" w:header="708" w:footer="708" w:gutter="0"/>
          <w:cols w:num="2" w:space="708"/>
          <w:docGrid w:linePitch="360"/>
        </w:sectPr>
      </w:pPr>
    </w:p>
    <w:p w:rsidR="006A3383" w:rsidRDefault="006A3383">
      <w:pPr>
        <w:autoSpaceDE w:val="0"/>
        <w:autoSpaceDN w:val="0"/>
        <w:adjustRightInd w:val="0"/>
        <w:spacing w:after="0" w:line="240" w:lineRule="auto"/>
        <w:jc w:val="both"/>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6A3383">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3383" w:rsidRDefault="000262D4">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Dan x’jista’ jfisser fil-prattika?</w:t>
            </w:r>
          </w:p>
        </w:tc>
      </w:tr>
      <w:tr w:rsidR="006A3383">
        <w:tc>
          <w:tcPr>
            <w:tcW w:w="5000" w:type="pct"/>
            <w:tcBorders>
              <w:top w:val="single" w:sz="4" w:space="0" w:color="auto"/>
              <w:left w:val="single" w:sz="4" w:space="0" w:color="auto"/>
              <w:bottom w:val="single" w:sz="4" w:space="0" w:color="auto"/>
              <w:right w:val="single" w:sz="4" w:space="0" w:color="auto"/>
            </w:tcBorders>
          </w:tcPr>
          <w:p w:rsidR="006A3383" w:rsidRDefault="000262D4">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Il-miri ta’ implimentazzjoni tal-SDGs speċifiċi huma definiti fil-livell tal-UE u hija implimentata Strateġija SDG tal-UE mill-Kummissjoni, mill-Parlament Ewropew u mill-Kunsill;</w:t>
            </w:r>
          </w:p>
          <w:p w:rsidR="006A3383" w:rsidRDefault="000262D4">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Strateġiji ta’ SDG nazzjonali komprensivi huma żviluppati fil-livell nazzjonali;</w:t>
            </w:r>
          </w:p>
          <w:p w:rsidR="006A3383" w:rsidRDefault="000262D4">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Il-Kummissjoni qed tipproponi riżultati konkreti u bi skadenza għall-2030, bl-approvazzjoni tal-Parlament Ewropew;</w:t>
            </w:r>
          </w:p>
          <w:p w:rsidR="006A3383" w:rsidRDefault="000262D4">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Il-prinċipju ta’ “sostenibbiltà l-ewwel” huwa integrat fl-Aġendi għal Regolamentazzjoni Aħjar tal-UE u tal-Istati Membri tagħha;</w:t>
            </w:r>
          </w:p>
          <w:p w:rsidR="006A3383" w:rsidRDefault="000262D4">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Mekkaniżmu ta’ rappurtar u monitoraġġ tal-progress tal-SDG fil-livell tal-UE u ta-Istati Membri huwa stabbilit u koordinat, pereżempju fil-kuntest tas-Semestru Ewropew;</w:t>
            </w:r>
          </w:p>
          <w:p w:rsidR="006A3383" w:rsidRDefault="000262D4">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Ir-rwol tal-Pjattaforma ta’ Diversi Partijiet Ikkonċernati dwar l-SDGs huwa msaħħaħ bi rwol speċifiku fil-monitoraġġ tal-implimentazzjoni tal-SDGs;</w:t>
            </w:r>
          </w:p>
          <w:p w:rsidR="006A3383" w:rsidRDefault="000262D4">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L-UE ssaħħaħ ulterjorment l-azzjoni esterna tagħha dwar is-sostenibbiltà u tmexxi l-azzjonijiet politiċi esterni kollha lejn l-implimentazzjoni tal-SDGs.</w:t>
            </w:r>
          </w:p>
        </w:tc>
      </w:tr>
    </w:tbl>
    <w:p w:rsidR="006A3383" w:rsidRDefault="006A3383">
      <w:pPr>
        <w:autoSpaceDE w:val="0"/>
        <w:autoSpaceDN w:val="0"/>
        <w:adjustRightInd w:val="0"/>
        <w:spacing w:after="0" w:line="240" w:lineRule="auto"/>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6A3383">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3383" w:rsidRDefault="000262D4">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Elementi Pożittivi u Negattivi</w:t>
            </w:r>
          </w:p>
        </w:tc>
      </w:tr>
      <w:tr w:rsidR="006A3383">
        <w:trPr>
          <w:trHeight w:val="476"/>
        </w:trPr>
        <w:tc>
          <w:tcPr>
            <w:tcW w:w="5000" w:type="pct"/>
            <w:tcBorders>
              <w:top w:val="single" w:sz="4" w:space="0" w:color="auto"/>
              <w:left w:val="single" w:sz="4" w:space="0" w:color="auto"/>
              <w:right w:val="single" w:sz="4" w:space="0" w:color="auto"/>
            </w:tcBorders>
          </w:tcPr>
          <w:p w:rsidR="006A3383" w:rsidRDefault="006A3383">
            <w:pPr>
              <w:pStyle w:val="ListParagraph"/>
              <w:autoSpaceDE w:val="0"/>
              <w:autoSpaceDN w:val="0"/>
              <w:adjustRightInd w:val="0"/>
              <w:ind w:left="360"/>
              <w:jc w:val="both"/>
              <w:rPr>
                <w:rFonts w:ascii="Times New Roman" w:hAnsi="Times New Roman" w:cs="Times New Roman"/>
                <w:noProof/>
                <w:sz w:val="24"/>
                <w:szCs w:val="24"/>
                <w:u w:color="000000"/>
              </w:rPr>
            </w:pP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Il-ħolqien ta’ viżjoni komuni b’saħħitha għall-futur sostenibbli tal-Ewropa madwar l-UE;</w:t>
            </w: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It-tisħiħ tas-sjieda politika u taż-żieda fil-koordinazzjoni fuq il-livelli kollha ta’ tmexxija fi ħdan l-UE u , minħabba n-natura transfruntiera tal-isfidi identifikati tal-UE, ċans akbar li tinkiseb l-Aġenda tan-Nazzjonijiet Uniti għall-2030 u tkabbir Ekoloġiku u Sostenibbli għall-UE;</w:t>
            </w: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L-għoti ta’ sinjal b’saħħtu fil-livell internazzjonali li l-UE hija impenjata bis-sħiħ lejn l-obbligi internazzjonali tagħha u lejn l-Aġenda tan-Nazzjonijiet Uniti għall-2030 u l-SDGs, kemm internament kif ukoll esternament;</w:t>
            </w: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Komunikazzjoni ċara u trasparenti u l-impenn mal-partijiet ikkonċernati.</w:t>
            </w:r>
          </w:p>
          <w:p w:rsidR="006A3383" w:rsidRDefault="000262D4">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Ir-riskju li l-approċċ ma jkunx imfassal biżżejjed għall-ispeċifiċitajiet u l-isfidi tal-Istati Membri individwali minħabba li l-qafas strateġiku ma setax iqis id-differenzi kollha;</w:t>
            </w:r>
          </w:p>
          <w:p w:rsidR="006A3383" w:rsidRDefault="000262D4">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Minħabba l-kumplessità tal-ftehim fuq riżultati madwar l-UE kollha fl-oqsma kollha differenti tal-SDGs, ir-riskju li jinħela l-ħin fuq l-iżvilupp tal-istrateġiji minflok li jsir progress li jagħmel differenza f’oqsma ta’ politika konkreti fil-livelli kollha.</w:t>
            </w:r>
          </w:p>
        </w:tc>
      </w:tr>
    </w:tbl>
    <w:p w:rsidR="006A3383" w:rsidRDefault="006A3383">
      <w:pPr>
        <w:autoSpaceDE w:val="0"/>
        <w:autoSpaceDN w:val="0"/>
        <w:adjustRightInd w:val="0"/>
        <w:spacing w:after="0" w:line="240" w:lineRule="auto"/>
        <w:rPr>
          <w:rFonts w:ascii="Times New Roman" w:hAnsi="Times New Roman" w:cs="Times New Roman"/>
          <w:noProof/>
          <w:sz w:val="24"/>
          <w:szCs w:val="24"/>
          <w:u w:color="000000"/>
        </w:rPr>
      </w:pPr>
      <w:bookmarkStart w:id="47" w:name="_Toc524344290"/>
    </w:p>
    <w:p w:rsidR="006A3383" w:rsidRDefault="000262D4">
      <w:pPr>
        <w:rPr>
          <w:rFonts w:ascii="Times New Roman" w:hAnsi="Times New Roman" w:cs="Times New Roman"/>
          <w:b/>
          <w:noProof/>
          <w:sz w:val="24"/>
          <w:szCs w:val="24"/>
          <w:u w:color="000000"/>
        </w:rPr>
        <w:sectPr w:rsidR="006A3383">
          <w:headerReference w:type="even" r:id="rId57"/>
          <w:headerReference w:type="default" r:id="rId58"/>
          <w:footerReference w:type="even" r:id="rId59"/>
          <w:footerReference w:type="default" r:id="rId60"/>
          <w:headerReference w:type="first" r:id="rId61"/>
          <w:footerReference w:type="first" r:id="rId62"/>
          <w:type w:val="continuous"/>
          <w:pgSz w:w="11906" w:h="16838"/>
          <w:pgMar w:top="1417" w:right="1417" w:bottom="1417" w:left="1417" w:header="708" w:footer="708" w:gutter="0"/>
          <w:cols w:space="708"/>
          <w:docGrid w:linePitch="360"/>
        </w:sectPr>
      </w:pPr>
      <w:bookmarkStart w:id="48" w:name="_Toc529790808"/>
      <w:r>
        <w:rPr>
          <w:rFonts w:ascii="Times New Roman" w:hAnsi="Times New Roman"/>
          <w:b/>
          <w:noProof/>
          <w:color w:val="4F81BD" w:themeColor="accent1"/>
          <w:sz w:val="24"/>
          <w:u w:color="000000"/>
        </w:rPr>
        <w:t>Xenarju 2: Integrazzjoni kontinwa tal-SDGs fil-politiki rilevanti kollha tal-UE</w:t>
      </w:r>
      <w:bookmarkEnd w:id="47"/>
      <w:bookmarkEnd w:id="48"/>
      <w:r>
        <w:rPr>
          <w:rFonts w:ascii="Times New Roman" w:hAnsi="Times New Roman"/>
          <w:b/>
          <w:noProof/>
          <w:color w:val="4F81BD" w:themeColor="accent1"/>
          <w:sz w:val="24"/>
          <w:u w:color="000000"/>
        </w:rPr>
        <w:t xml:space="preserve"> mill-Kummissjoni, iżda li ma tinfurzax l-azzjoni tal-Istati Membri</w:t>
      </w:r>
    </w:p>
    <w:p w:rsidR="006A3383" w:rsidRDefault="000262D4">
      <w:pPr>
        <w:autoSpaceDE w:val="0"/>
        <w:autoSpaceDN w:val="0"/>
        <w:adjustRightInd w:val="0"/>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Skont dan ix-xenarju, l-SDGs se jkomplu jispiraw it-teħid ta’ deċiżjonijiet tagħna fir-rigward tat-tfassil tal-politika tal-UE u jiggwidaw l-iżvilupp tal-istrateġija ta’ tkabbir wara l-2020, filwaqt li ma jorbtux lill-Istati Membri tal-UE biex jiksbu b’mod kollettiv l-impenji tal-SDG fl-UE.</w:t>
      </w:r>
    </w:p>
    <w:p w:rsidR="006A3383" w:rsidRDefault="006A3383">
      <w:pPr>
        <w:autoSpaceDE w:val="0"/>
        <w:autoSpaceDN w:val="0"/>
        <w:adjustRightInd w:val="0"/>
        <w:spacing w:after="0" w:line="240" w:lineRule="auto"/>
        <w:jc w:val="both"/>
        <w:rPr>
          <w:rFonts w:ascii="Times New Roman" w:hAnsi="Times New Roman" w:cs="Times New Roman"/>
          <w:noProof/>
          <w:sz w:val="24"/>
          <w:szCs w:val="24"/>
          <w:u w:color="000000"/>
        </w:rPr>
      </w:pP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Fil-Kummissjoni Ewropea dan jista’ jfisser li membru tal-Kulleġġ jingħata responsabilità usa’ għas-“sostenibbiltà”. Dan il-Kummissarju jista’ jkompli jaħdem flimkien ma’ Kummissarji oħra f’tim ta’ proġetti ddedikat li jinvolvi lill-Kummissarji kollha. Biex tiġi żgurata l-koerenza politika, trid tinstab kooperazzjoni mill-qrib ma’ timijiet oħra ta’ proġetti tal-Kummissarji. </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Permezz tal-Aġenda għal Regolamentazzjoni Aħjar tagħha, il-Kummissjoni se tkompli tfittex proċess ta’ teħid ta’ deċiżjonijiet ibbażat fuq l-evidenza. Flimkien mal-integrazzjoni ta’ SDGs aktar b’saħħithom tas-Semestru Ewropew f’konformità mal-istrateġija ta’ tkabbir wara l-2020, il-koerenza politika tal-UE hija msaħħa u żgurat li l-UE tersaq aktar qrib tal-SGDs. </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Madankollu, dan l-approċċ jaf iħalli aktar libertà lill-Istati Membri, u lill-awtoritajiet reġjonali u lokali dwar jekk u kif jaġġustaw xogħolhom biex jagħtu riżultati b'mod kostanti dwar l-SDGs.</w:t>
      </w: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sectPr w:rsidR="006A3383">
          <w:headerReference w:type="even" r:id="rId63"/>
          <w:headerReference w:type="default" r:id="rId64"/>
          <w:footerReference w:type="even" r:id="rId65"/>
          <w:footerReference w:type="default" r:id="rId66"/>
          <w:headerReference w:type="first" r:id="rId67"/>
          <w:footerReference w:type="first" r:id="rId68"/>
          <w:type w:val="continuous"/>
          <w:pgSz w:w="11906" w:h="16838"/>
          <w:pgMar w:top="1417" w:right="1417" w:bottom="1417" w:left="1417" w:header="708" w:footer="708" w:gutter="0"/>
          <w:cols w:num="2" w:space="708"/>
          <w:docGrid w:linePitch="360"/>
        </w:sectPr>
      </w:pPr>
    </w:p>
    <w:tbl>
      <w:tblPr>
        <w:tblStyle w:val="TableGrid"/>
        <w:tblW w:w="5000" w:type="pct"/>
        <w:tblLook w:val="04A0" w:firstRow="1" w:lastRow="0" w:firstColumn="1" w:lastColumn="0" w:noHBand="0" w:noVBand="1"/>
      </w:tblPr>
      <w:tblGrid>
        <w:gridCol w:w="9288"/>
      </w:tblGrid>
      <w:tr w:rsidR="006A3383">
        <w:trPr>
          <w:trHeight w:val="290"/>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3383" w:rsidRDefault="000262D4">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Dan, x’jista’ jfisser fil-prattika?</w:t>
            </w:r>
          </w:p>
        </w:tc>
      </w:tr>
      <w:tr w:rsidR="006A3383">
        <w:trPr>
          <w:trHeight w:val="902"/>
        </w:trPr>
        <w:tc>
          <w:tcPr>
            <w:tcW w:w="5000" w:type="pct"/>
            <w:tcBorders>
              <w:top w:val="single" w:sz="4" w:space="0" w:color="auto"/>
              <w:left w:val="single" w:sz="4" w:space="0" w:color="auto"/>
              <w:bottom w:val="single" w:sz="4" w:space="0" w:color="auto"/>
              <w:right w:val="single" w:sz="4" w:space="0" w:color="auto"/>
            </w:tcBorders>
          </w:tcPr>
          <w:p w:rsidR="006A3383" w:rsidRDefault="006A3383">
            <w:pPr>
              <w:autoSpaceDE w:val="0"/>
              <w:autoSpaceDN w:val="0"/>
              <w:adjustRightInd w:val="0"/>
              <w:rPr>
                <w:rFonts w:ascii="Times New Roman" w:hAnsi="Times New Roman" w:cs="Times New Roman"/>
                <w:b/>
                <w:noProof/>
                <w:color w:val="548DD4" w:themeColor="text2" w:themeTint="99"/>
                <w:sz w:val="24"/>
                <w:szCs w:val="24"/>
                <w:u w:color="000000"/>
              </w:rPr>
            </w:pP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L-użu tal-SDGs biex imexxu l-iżvilupp tal-istrateġija ta’ tkabbir wara l-2020, b’enfasi fuq oqsma bl-aktar valur miżjud tal-UE, bħall-ekonomija ċirkolari; ir-riċerka u l-innovazzjoni; l-impjiegi u l-inklużjoni soċjali; il-klima u l-enerġija; is-sistemi tal-ikel, il-biedja u l-użu tal-art; u l-politika ta’ koeżjoni;</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L-integrazzjoni tal-SDGs permezz tal-politiki u l-azzjonijiet tal-UE, permezz tal-Aġenda għal Regolamentazzjoni Aħjar, adattata biex toqgħod fil-kuntest speċifiku tal-UE b’kompetenzi kondiviżi mal-Istati Membri; </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L-użu tal-Qafas Finanzjarju Pluriennali (QFP) biex jingħata parti mill-finanzjament addizzjonali meħtieġ għat-twassil ta’ riżultati dwar l-approċċ ta’ integrazzjoni tas-sostenibbiltà; L-Istati Membri jimpenjaw ruħhom li jagħmlu l-istess;</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L-SDGs u l-miri rilevanti tal-UE huma inklużi fil-proċess tas-Semestru Ewropew fejn rilevanti għall-istrateġija ta’ tkabbir wara l-2020;</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Jekk u ladarba l-Ftehimiet ta’ Kummerċ Ħieles jiġu modernizzati u jiġu negozjati ftehimiet ta’ kummerċ futuri, il-kapitoli tal-kummerċ u s-sostenibbiltà huma msaħħa fejn hemm bżonn u effettivament infurzati;</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L-UE timmonitorja l-implimentazzjoni tal-SDG permezz tal-analiżi tal-progress tal-SDG tal-Eurostat, li se tkompli tiġi żviluppata. L-Istati Membri jħejju rapporti ta’ monitoraġġ nazzjonali annwali;</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L-Istati Membri jżommu r-responsabbiltajiet ewlenin għar-rappurtar fuq l-implimentazzjoni tal-SDG b’rappurtar komplimentari tal-UE mill-Kummissjoni Ewropea dwar il-progress tal-SDG fil-livell internazzjonali lill-Forum Politiku ta' Livell Għoli tan-NU dwar l-Iżvilupp Sostenibbli. </w:t>
            </w:r>
          </w:p>
          <w:p w:rsidR="006A3383" w:rsidRDefault="006A3383">
            <w:pPr>
              <w:autoSpaceDE w:val="0"/>
              <w:autoSpaceDN w:val="0"/>
              <w:adjustRightInd w:val="0"/>
              <w:jc w:val="both"/>
              <w:rPr>
                <w:rFonts w:ascii="Times New Roman" w:hAnsi="Times New Roman" w:cs="Times New Roman"/>
                <w:noProof/>
                <w:sz w:val="24"/>
                <w:szCs w:val="24"/>
                <w:u w:color="000000"/>
              </w:rPr>
            </w:pPr>
          </w:p>
        </w:tc>
      </w:tr>
      <w:tr w:rsidR="006A3383">
        <w:trPr>
          <w:trHeight w:val="144"/>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3383" w:rsidRDefault="000262D4">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Elementi Pożittivi u Negattivi</w:t>
            </w:r>
          </w:p>
        </w:tc>
      </w:tr>
      <w:tr w:rsidR="006A3383">
        <w:trPr>
          <w:trHeight w:val="144"/>
        </w:trPr>
        <w:tc>
          <w:tcPr>
            <w:tcW w:w="5000" w:type="pct"/>
            <w:tcBorders>
              <w:top w:val="single" w:sz="4" w:space="0" w:color="auto"/>
              <w:left w:val="single" w:sz="4" w:space="0" w:color="auto"/>
              <w:bottom w:val="single" w:sz="4" w:space="0" w:color="auto"/>
              <w:right w:val="single" w:sz="4" w:space="0" w:color="auto"/>
            </w:tcBorders>
          </w:tcPr>
          <w:p w:rsidR="006A3383" w:rsidRDefault="006A3383">
            <w:pPr>
              <w:autoSpaceDE w:val="0"/>
              <w:autoSpaceDN w:val="0"/>
              <w:adjustRightInd w:val="0"/>
              <w:rPr>
                <w:rFonts w:ascii="Times New Roman" w:hAnsi="Times New Roman" w:cs="Times New Roman"/>
                <w:b/>
                <w:noProof/>
                <w:color w:val="548DD4" w:themeColor="text2" w:themeTint="99"/>
                <w:sz w:val="24"/>
                <w:szCs w:val="24"/>
                <w:u w:color="000000"/>
              </w:rPr>
            </w:pP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Minħabba li l-maġġoranza tal-oqsma kritiċi biex l-UE tikseb l-SDGs huma ċari ħafna, l-UE tista’ tiffoka fuq li twaqqaf prijoritajiet strateġiċi u li twassal riżultati konkreti fl-oqsma bl-aktar valur miżjud tal-UE;</w:t>
            </w: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It-teħid tad-deċiżjonijiet fil-livell tal-UE huwa aktar mgħaġġel u n-negozjati dwar il-prijoritajiet strateġiċi huma aktar kunsenswali; </w:t>
            </w: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L-UE tkompli tkun mexxejja globali għall-Aġenda tan-Nazzjonijiet Uniti għall-2030 u l-SDGs.</w:t>
            </w:r>
          </w:p>
          <w:p w:rsidR="006A3383" w:rsidRDefault="000262D4">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Se jkun aktar diffiċli biex tiġi żgurata l-koerenza politika għall-iżvilupp sostenibbli bejn il-politiki tal-UE u bejn l-UE u l-politiku nazzjonali;</w:t>
            </w:r>
          </w:p>
          <w:p w:rsidR="006A3383" w:rsidRDefault="000262D4">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Ir-riskju li l-issodisfar tal-impenji ta’ sostenibbiltà mill-UE u mill-Istati Membri tagħna b’mod globali ma jistax jinkiseb u li l-azzjoni tal-Istati Membri ma tistax tiġi infurzata;</w:t>
            </w:r>
          </w:p>
          <w:p w:rsidR="006A3383" w:rsidRDefault="000262D4">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L-azzjonijiet tal-Istati Membri individwali f’xi oqsma ewlenin, minflok azzjoni aktar b’saħħitha ikkoordinata fuq il-livell tal-UE, jistgħu jaffettwaw lis-suq uniku u lill-kompetittività globali;</w:t>
            </w:r>
          </w:p>
          <w:p w:rsidR="006A3383" w:rsidRDefault="000262D4">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Ir-riskju li jista’ jkun hemm qasma bejn l-impenn politiku tal-UE u l-SDGs u r-riżultat aktar effikaċi tagħha.</w:t>
            </w:r>
          </w:p>
        </w:tc>
      </w:tr>
    </w:tbl>
    <w:p w:rsidR="006A3383" w:rsidRDefault="006A3383">
      <w:pPr>
        <w:pStyle w:val="Heading2"/>
        <w:numPr>
          <w:ilvl w:val="0"/>
          <w:numId w:val="0"/>
        </w:numPr>
        <w:spacing w:line="240" w:lineRule="auto"/>
        <w:rPr>
          <w:rFonts w:ascii="Times New Roman" w:hAnsi="Times New Roman" w:cs="Times New Roman"/>
          <w:noProof/>
          <w:sz w:val="24"/>
          <w:szCs w:val="24"/>
          <w:u w:color="000000"/>
        </w:rPr>
      </w:pPr>
      <w:bookmarkStart w:id="49" w:name="_Toc524344291"/>
    </w:p>
    <w:p w:rsidR="006A3383" w:rsidRDefault="000262D4">
      <w:pPr>
        <w:rPr>
          <w:rFonts w:ascii="Times New Roman" w:hAnsi="Times New Roman" w:cs="Times New Roman"/>
          <w:b/>
          <w:noProof/>
          <w:color w:val="4F81BD" w:themeColor="accent1"/>
          <w:sz w:val="24"/>
          <w:szCs w:val="24"/>
          <w:u w:color="000000"/>
        </w:rPr>
      </w:pPr>
      <w:bookmarkStart w:id="50" w:name="_Toc529790809"/>
      <w:r>
        <w:rPr>
          <w:rFonts w:ascii="Times New Roman" w:hAnsi="Times New Roman"/>
          <w:b/>
          <w:noProof/>
          <w:color w:val="4F81BD" w:themeColor="accent1"/>
          <w:sz w:val="24"/>
          <w:u w:color="000000"/>
        </w:rPr>
        <w:t xml:space="preserve">Xenarju 3: </w:t>
      </w:r>
      <w:bookmarkEnd w:id="49"/>
      <w:bookmarkEnd w:id="50"/>
      <w:r>
        <w:rPr>
          <w:rFonts w:ascii="Times New Roman" w:hAnsi="Times New Roman"/>
          <w:b/>
          <w:noProof/>
          <w:color w:val="4F81BD" w:themeColor="accent1"/>
          <w:sz w:val="24"/>
        </w:rPr>
        <w:t>Tqegħid ta’ enfasi akbar fuq l-azzjoni esterna filwaqt li tiġi kkonsolidata l-ambizzjoni attwali ta’ sostenibbiltà fil-livell tal-UE</w:t>
      </w:r>
    </w:p>
    <w:p w:rsidR="006A3383" w:rsidRDefault="006A3383">
      <w:pPr>
        <w:spacing w:after="0" w:line="240" w:lineRule="auto"/>
        <w:rPr>
          <w:rFonts w:ascii="Times New Roman" w:hAnsi="Times New Roman" w:cs="Times New Roman"/>
          <w:noProof/>
          <w:sz w:val="24"/>
          <w:szCs w:val="24"/>
        </w:rPr>
      </w:pPr>
    </w:p>
    <w:p w:rsidR="006A3383" w:rsidRDefault="006A3383">
      <w:pPr>
        <w:spacing w:after="0" w:line="240" w:lineRule="auto"/>
        <w:rPr>
          <w:rFonts w:ascii="Times New Roman" w:hAnsi="Times New Roman" w:cs="Times New Roman"/>
          <w:noProof/>
          <w:sz w:val="24"/>
          <w:szCs w:val="24"/>
          <w:u w:color="000000"/>
        </w:rPr>
        <w:sectPr w:rsidR="006A3383">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417" w:right="1417" w:bottom="1417" w:left="1417" w:header="708" w:footer="708" w:gutter="0"/>
          <w:cols w:space="708"/>
          <w:docGrid w:linePitch="360"/>
        </w:sectPr>
      </w:pP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L-azzjoni esterna se tingħata prijorità fil-kuntest tal-SDGs. Minħabba li l-UE diġà tinsab fuq quddiem nett f’ħafna aspetti marbuta mal-SDGs, tista’ titpoġġa aktar enfasi biex il-bqija tad-dinja tingħata ċ-ċans tlaħħaq, filwaqt li jinstab titjib fuq il-livell tal-UE. </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L-ekonomija tas-suq soċjali tagħna saret trademark tal-UE u ppermettiet lill-ekonomiji tal-Istati Membri tal-UE jiġġeneraw il-ġid u l-prosperità msejsa fuq bażi wiesgħa grazzi għal sistemi ta’ assistenza soċjali b’saħħithom. L-UE diġà għandha ftit mill-ogħla standards ambjentali fid-dinja, u n-negozji tagħna huma fuq quddiem meta mqabbla mal-kompetituri globali. L-UE tidher ukoll bħala fortizza tal-libertà u d-demokrazija, b’istituzzjonijiet stabbli bbażati fuq l-istat tad-dritt u soċjetà ċivili vibranti. L-UE għalhekk tista’ tiddeċiedi li tippromwovi b’mod aktar b’saħħtu l-istandards ambjentali, soċjali u ta’ tmexxija tagħha permezz ta’ negozjati multilaterali u ftehimiet kummerċjali.</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L-UE tista’ wkoll tkompli tintensifika l-kollaborazzjoni tagħha ma’ organizzazzjonijiet u fora internazzjonali ewlenin, bħan-Nazzjonijiet Uniti, inkluż l-Organizzazzjoni Internazzjonali tax-Xogħol, l-Organizzazzjoni Dinjija tal-Kummerċ u l-G20 kif ukoll il-korpi superviżorji tal-ftehimiet ambjentali multilaterali, biex timxi 'l quddiem l-aġenda ta’ politika esterna tal-UE bbażata fuq il-valuri.</w:t>
      </w:r>
    </w:p>
    <w:p w:rsidR="006A3383" w:rsidRDefault="000262D4">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Il-pożizzjoni tal-UE b’appoġġ għall-multilateraliżmu </w:t>
      </w:r>
      <w:r>
        <w:rPr>
          <w:rFonts w:ascii="Times New Roman" w:hAnsi="Times New Roman"/>
          <w:noProof/>
          <w:sz w:val="24"/>
        </w:rPr>
        <w:t>- bin-Nazzjonijiet Uniti fil-qalba tagħha - u relazzjonijiet internazzjonali trasparenti u affidabbli tkompli tingħata prijorità.</w:t>
      </w: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pPr>
    </w:p>
    <w:p w:rsidR="006A3383" w:rsidRDefault="006A3383">
      <w:pPr>
        <w:spacing w:line="240" w:lineRule="auto"/>
        <w:jc w:val="both"/>
        <w:rPr>
          <w:rFonts w:ascii="Times New Roman" w:hAnsi="Times New Roman" w:cs="Times New Roman"/>
          <w:noProof/>
          <w:sz w:val="24"/>
          <w:szCs w:val="24"/>
          <w:u w:color="000000"/>
        </w:rPr>
        <w:sectPr w:rsidR="006A3383">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17" w:right="1417" w:bottom="1417" w:left="1417" w:header="708" w:footer="708" w:gutter="0"/>
          <w:cols w:num="2" w:space="708"/>
          <w:docGrid w:linePitch="360"/>
        </w:sectPr>
      </w:pPr>
    </w:p>
    <w:tbl>
      <w:tblPr>
        <w:tblStyle w:val="TableGrid"/>
        <w:tblW w:w="4903" w:type="pct"/>
        <w:tblLook w:val="04A0" w:firstRow="1" w:lastRow="0" w:firstColumn="1" w:lastColumn="0" w:noHBand="0" w:noVBand="1"/>
      </w:tblPr>
      <w:tblGrid>
        <w:gridCol w:w="9108"/>
      </w:tblGrid>
      <w:tr w:rsidR="006A3383">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3383" w:rsidRDefault="000262D4">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Dan, x’jista’ jfisser fil-prattika?</w:t>
            </w:r>
          </w:p>
        </w:tc>
      </w:tr>
      <w:tr w:rsidR="006A3383">
        <w:tc>
          <w:tcPr>
            <w:tcW w:w="5000" w:type="pct"/>
            <w:tcBorders>
              <w:top w:val="single" w:sz="4" w:space="0" w:color="auto"/>
              <w:left w:val="single" w:sz="4" w:space="0" w:color="auto"/>
              <w:bottom w:val="single" w:sz="4" w:space="0" w:color="auto"/>
              <w:right w:val="single" w:sz="4" w:space="0" w:color="auto"/>
            </w:tcBorders>
          </w:tcPr>
          <w:p w:rsidR="006A3383" w:rsidRDefault="006A3383">
            <w:pPr>
              <w:pStyle w:val="ListParagraph"/>
              <w:autoSpaceDE w:val="0"/>
              <w:autoSpaceDN w:val="0"/>
              <w:adjustRightInd w:val="0"/>
              <w:ind w:left="360"/>
              <w:jc w:val="both"/>
              <w:rPr>
                <w:rFonts w:ascii="Times New Roman" w:hAnsi="Times New Roman" w:cs="Times New Roman"/>
                <w:noProof/>
                <w:sz w:val="24"/>
                <w:szCs w:val="24"/>
                <w:u w:color="000000"/>
              </w:rPr>
            </w:pP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L-integrazzjoni tal-SDGs fil-politiki esterni tal-UE tkompli, filwaqt li tirrikonoxxi bżonnijiet u interessi differenti tas-sħab, filwaqt li l-aġġustamenti interni huma aktar limitati;</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L-UE tipprovdi rappurtar u monitoraġġ regolari dettaljat tal-progress tal-SDG dwar l-azzjoni esterna tal-UE fil-livell internazzjonali fin-Nazzjonijiet Uniti;</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Jekk u ladarba l-Ftehimiet ta’ Kummerċ Ħieles jiġu modernizzati u jiġu negozjati ftehimiet ta’ kummerċ futuri, il-kapitoli tal-kummerċ u s-sostenibbiltà huma msaħħa fejn hemm bżonn u effettivament infurzati;</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L-implimentazzjoni tal-Istrateġija Globali għall-Politika Barranija ta’ Sigurtà tal-UE u tal-Kunsens Ewropew dwar l-Iżvilupp il-ġdid, hija msaħħa;</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Il-politiki Ewropej imsaħħa tad-difiza, tal-ispazju, tas-sigurtà u tal-migrazzjoni huma promossi bħala politiki permettenti għall-aġenda tal-politika esterna infurzata għall-iżvilupp sostenibbli; </w:t>
            </w:r>
          </w:p>
          <w:p w:rsidR="006A3383" w:rsidRDefault="000262D4">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Forom ġodda ta’ finanzjar u żvilupp sostenibbli bħall-Pjan ta’ Investiment Estern huma msaħħa. </w:t>
            </w:r>
          </w:p>
        </w:tc>
      </w:tr>
    </w:tbl>
    <w:p w:rsidR="006A3383" w:rsidRDefault="006A3383">
      <w:pPr>
        <w:spacing w:line="240" w:lineRule="auto"/>
        <w:jc w:val="both"/>
        <w:rPr>
          <w:rFonts w:ascii="Times New Roman" w:hAnsi="Times New Roman" w:cs="Times New Roman"/>
          <w:noProof/>
          <w:sz w:val="24"/>
          <w:szCs w:val="24"/>
        </w:rPr>
      </w:pPr>
    </w:p>
    <w:tbl>
      <w:tblPr>
        <w:tblStyle w:val="TableGrid"/>
        <w:tblW w:w="4903" w:type="pct"/>
        <w:tblLook w:val="04A0" w:firstRow="1" w:lastRow="0" w:firstColumn="1" w:lastColumn="0" w:noHBand="0" w:noVBand="1"/>
      </w:tblPr>
      <w:tblGrid>
        <w:gridCol w:w="9108"/>
      </w:tblGrid>
      <w:tr w:rsidR="006A3383">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A3383" w:rsidRDefault="000262D4">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Elementi Pożittivi u Negattivi</w:t>
            </w:r>
          </w:p>
        </w:tc>
      </w:tr>
      <w:tr w:rsidR="006A3383">
        <w:tc>
          <w:tcPr>
            <w:tcW w:w="5000" w:type="pct"/>
            <w:tcBorders>
              <w:top w:val="single" w:sz="4" w:space="0" w:color="auto"/>
              <w:left w:val="single" w:sz="4" w:space="0" w:color="auto"/>
              <w:bottom w:val="single" w:sz="4" w:space="0" w:color="auto"/>
              <w:right w:val="single" w:sz="4" w:space="0" w:color="auto"/>
            </w:tcBorders>
          </w:tcPr>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L-UE tikkonċentra r-riżorsi tagħha fuq dawk il-pajjiżi jew reġjuni l-aktar fil-bżonn, filwaqt li tfittex aġġustamenti għall-politiki tal-UE permezz tal-integrazzjoni tal-SDG, mingħajr qafas strateġiku dedikat;</w:t>
            </w:r>
          </w:p>
          <w:p w:rsidR="006A3383" w:rsidRDefault="000262D4">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L-azzjoni esterna tal-UE hija konsistenti mal-objettivi tagħha biex tippromwovi s-sostenibbiltà, id-demokrazija, id-drittijiet tal-bniedem, l-istat tad-dritt u l-libertajiet fundamentali fid-dinja.</w:t>
            </w:r>
          </w:p>
          <w:p w:rsidR="006A3383" w:rsidRDefault="000262D4">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 xml:space="preserve">Ir-riskju li dan l-approċċ inaqqas il-kredibbiltà u t-tmexxija politika tal-UE fuq l-Aġenda tan-Nazzjonijiet Uniti għall-2030 u l-SDGs lokali u globali, fi żmien meta l-multilateraliżmu jinsab taħt pressjoni. Wieħed mill-elementi ewlenin tal-Aġenda tan-Nazzjonijiet Uniti għall-2030, li l-UE ppromwoviet b’mod attiv, huwa l-fatt li hija universali; </w:t>
            </w:r>
          </w:p>
          <w:p w:rsidR="006A3383" w:rsidRDefault="000262D4">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L-UE ma ħatfitx l-opportunità biex tiżviluppa viżjoni pożittiva għall-futur tal-Ewropa, iffukata fuq is-sostenibbiltà;</w:t>
            </w:r>
          </w:p>
          <w:p w:rsidR="006A3383" w:rsidRDefault="000262D4">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L-UE ma tużax il-vantaġġ li hija innovatriċi biex tistabbilixxi l-istandards ta’ sostenibbiltà tal-UE biex id-dinja tkun tista’ ssegwi, u tirriskja li l-benefiċċji ta’ tkabbir sostenibbli jitgawdew minn oħrajn fis-suq globali;</w:t>
            </w:r>
          </w:p>
          <w:p w:rsidR="006A3383" w:rsidRDefault="000262D4">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rPr>
              <w:t>Il-konsolidazzjoni tal-approċċ politiku tal-SDG preżenti tal-UE, għandha ċ-ċans li ma tissodisfax l-aspettattivi u l-ambizzjonijiet dejjem jevolvu taċ-ċittadini.</w:t>
            </w:r>
          </w:p>
        </w:tc>
      </w:tr>
    </w:tbl>
    <w:p w:rsidR="006A3383" w:rsidRDefault="006A3383">
      <w:pPr>
        <w:rPr>
          <w:rFonts w:ascii="Times New Roman" w:hAnsi="Times New Roman" w:cs="Times New Roman"/>
          <w:noProof/>
          <w:sz w:val="24"/>
          <w:szCs w:val="24"/>
        </w:rPr>
      </w:pPr>
    </w:p>
    <w:sectPr w:rsidR="006A3383">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1E807D" w16cid:durableId="1FF40D05"/>
  <w16cid:commentId w16cid:paraId="46341E64" w16cid:durableId="1FF40D06"/>
  <w16cid:commentId w16cid:paraId="4ACF3609" w16cid:durableId="1FF4175C"/>
  <w16cid:commentId w16cid:paraId="587EBA38" w16cid:durableId="1FF40D07"/>
  <w16cid:commentId w16cid:paraId="10BAD2A9" w16cid:durableId="1FF40D08"/>
  <w16cid:commentId w16cid:paraId="6A30487A" w16cid:durableId="1FF40D09"/>
  <w16cid:commentId w16cid:paraId="540B5B35" w16cid:durableId="1FF40D0B"/>
  <w16cid:commentId w16cid:paraId="52B6F13F" w16cid:durableId="1FF40D0C"/>
  <w16cid:commentId w16cid:paraId="4F51D46E" w16cid:durableId="1FF40D0D"/>
  <w16cid:commentId w16cid:paraId="114F51F0" w16cid:durableId="1FF40D0E"/>
  <w16cid:commentId w16cid:paraId="2B070CBA" w16cid:durableId="1FF40D0F"/>
  <w16cid:commentId w16cid:paraId="047D95BE" w16cid:durableId="1FF41969"/>
  <w16cid:commentId w16cid:paraId="487FF950" w16cid:durableId="1FF40D10"/>
  <w16cid:commentId w16cid:paraId="708C3F50" w16cid:durableId="1FF40D11"/>
  <w16cid:commentId w16cid:paraId="4F65C451" w16cid:durableId="1FF40D12"/>
  <w16cid:commentId w16cid:paraId="0E2932C4" w16cid:durableId="1FF40D13"/>
  <w16cid:commentId w16cid:paraId="5D8D4CC9" w16cid:durableId="1FF40D14"/>
  <w16cid:commentId w16cid:paraId="10C7B515" w16cid:durableId="1FF40D15"/>
  <w16cid:commentId w16cid:paraId="587A95FC" w16cid:durableId="1FF40D16"/>
  <w16cid:commentId w16cid:paraId="71D8B697" w16cid:durableId="1FF40D17"/>
  <w16cid:commentId w16cid:paraId="21E1BB17" w16cid:durableId="1FF40D18"/>
  <w16cid:commentId w16cid:paraId="6BD31B1F" w16cid:durableId="1FF40D19"/>
  <w16cid:commentId w16cid:paraId="1CC47631" w16cid:durableId="1FF40D1A"/>
  <w16cid:commentId w16cid:paraId="37F6E814" w16cid:durableId="1FF40D1B"/>
  <w16cid:commentId w16cid:paraId="16321C89" w16cid:durableId="1FF40D1C"/>
  <w16cid:commentId w16cid:paraId="5D3FB899" w16cid:durableId="1FF42B77"/>
  <w16cid:commentId w16cid:paraId="1B7D825F" w16cid:durableId="1FF40D1D"/>
  <w16cid:commentId w16cid:paraId="38FF3EBE" w16cid:durableId="1FF40D1E"/>
  <w16cid:commentId w16cid:paraId="3316DCC3" w16cid:durableId="1FF40D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383" w:rsidRDefault="000262D4">
      <w:pPr>
        <w:spacing w:after="0" w:line="240" w:lineRule="auto"/>
      </w:pPr>
      <w:r>
        <w:separator/>
      </w:r>
    </w:p>
  </w:endnote>
  <w:endnote w:type="continuationSeparator" w:id="0">
    <w:p w:rsidR="006A3383" w:rsidRDefault="0002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00004FF" w:usb2="00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D4" w:rsidRPr="000262D4" w:rsidRDefault="000262D4" w:rsidP="000262D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503237"/>
      <w:docPartObj>
        <w:docPartGallery w:val="Page Numbers (Bottom of Page)"/>
        <w:docPartUnique/>
      </w:docPartObj>
    </w:sdtPr>
    <w:sdtEndPr>
      <w:rPr>
        <w:noProof/>
      </w:rPr>
    </w:sdtEndPr>
    <w:sdtContent>
      <w:p w:rsidR="006A3383" w:rsidRDefault="000262D4">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rsidR="006A3383" w:rsidRDefault="006A338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219420"/>
      <w:docPartObj>
        <w:docPartGallery w:val="Page Numbers (Bottom of Page)"/>
        <w:docPartUnique/>
      </w:docPartObj>
    </w:sdtPr>
    <w:sdtEndPr>
      <w:rPr>
        <w:noProof/>
      </w:rPr>
    </w:sdtEndPr>
    <w:sdtContent>
      <w:p w:rsidR="006A3383" w:rsidRDefault="000262D4">
        <w:pPr>
          <w:pStyle w:val="Footer"/>
          <w:jc w:val="center"/>
        </w:pPr>
        <w:r>
          <w:fldChar w:fldCharType="begin"/>
        </w:r>
        <w:r>
          <w:instrText xml:space="preserve"> PAGE   \* MERGEFORMAT </w:instrText>
        </w:r>
        <w:r>
          <w:fldChar w:fldCharType="separate"/>
        </w:r>
        <w:r w:rsidR="002705AE">
          <w:rPr>
            <w:noProof/>
          </w:rPr>
          <w:t>43</w:t>
        </w:r>
        <w:r>
          <w:rPr>
            <w:noProof/>
          </w:rPr>
          <w:fldChar w:fldCharType="end"/>
        </w:r>
      </w:p>
    </w:sdtContent>
  </w:sdt>
  <w:p w:rsidR="006A3383" w:rsidRDefault="006A338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813528"/>
      <w:docPartObj>
        <w:docPartGallery w:val="Page Numbers (Bottom of Page)"/>
        <w:docPartUnique/>
      </w:docPartObj>
    </w:sdtPr>
    <w:sdtEndPr>
      <w:rPr>
        <w:noProof/>
      </w:rPr>
    </w:sdtEndPr>
    <w:sdtContent>
      <w:p w:rsidR="006A3383" w:rsidRDefault="000262D4">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44</w:t>
        </w:r>
        <w:r>
          <w:rPr>
            <w:rFonts w:ascii="Times New Roman" w:hAnsi="Times New Roman" w:cs="Times New Roman"/>
            <w:noProof/>
          </w:rPr>
          <w:fldChar w:fldCharType="end"/>
        </w:r>
      </w:p>
    </w:sdtContent>
  </w:sdt>
  <w:p w:rsidR="006A3383" w:rsidRDefault="006A338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D4" w:rsidRPr="000262D4" w:rsidRDefault="000262D4" w:rsidP="000262D4">
    <w:pPr>
      <w:pStyle w:val="FooterCoverPage"/>
      <w:rPr>
        <w:rFonts w:ascii="Arial" w:hAnsi="Arial" w:cs="Arial"/>
        <w:b/>
        <w:sz w:val="48"/>
      </w:rPr>
    </w:pPr>
    <w:r w:rsidRPr="000262D4">
      <w:rPr>
        <w:rFonts w:ascii="Arial" w:hAnsi="Arial" w:cs="Arial"/>
        <w:b/>
        <w:sz w:val="48"/>
      </w:rPr>
      <w:t>MT</w:t>
    </w:r>
    <w:r w:rsidRPr="000262D4">
      <w:rPr>
        <w:rFonts w:ascii="Arial" w:hAnsi="Arial" w:cs="Arial"/>
        <w:b/>
        <w:sz w:val="48"/>
      </w:rPr>
      <w:tab/>
    </w:r>
    <w:r w:rsidRPr="000262D4">
      <w:rPr>
        <w:rFonts w:ascii="Arial" w:hAnsi="Arial" w:cs="Arial"/>
        <w:b/>
        <w:sz w:val="48"/>
      </w:rPr>
      <w:tab/>
    </w:r>
    <w:r w:rsidRPr="000262D4">
      <w:tab/>
    </w:r>
    <w:r w:rsidRPr="000262D4">
      <w:rPr>
        <w:rFonts w:ascii="Arial" w:hAnsi="Arial" w:cs="Arial"/>
        <w:b/>
        <w:sz w:val="48"/>
      </w:rPr>
      <w:t>MT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703229"/>
      <w:docPartObj>
        <w:docPartGallery w:val="Page Numbers (Bottom of Page)"/>
        <w:docPartUnique/>
      </w:docPartObj>
    </w:sdtPr>
    <w:sdtEndPr>
      <w:rPr>
        <w:rFonts w:ascii="Times New Roman" w:hAnsi="Times New Roman" w:cs="Times New Roman"/>
        <w:noProof/>
      </w:rPr>
    </w:sdtEndPr>
    <w:sdtContent>
      <w:p w:rsidR="006A3383" w:rsidRDefault="000262D4">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705AE">
          <w:rPr>
            <w:rFonts w:ascii="Times New Roman" w:hAnsi="Times New Roman" w:cs="Times New Roman"/>
            <w:noProof/>
          </w:rPr>
          <w:t>44</w:t>
        </w:r>
        <w:r>
          <w:rPr>
            <w:rFonts w:ascii="Times New Roman" w:hAnsi="Times New Roman" w:cs="Times New Roman"/>
            <w:noProof/>
          </w:rPr>
          <w:fldChar w:fldCharType="end"/>
        </w:r>
      </w:p>
    </w:sdtContent>
  </w:sdt>
  <w:p w:rsidR="006A3383" w:rsidRDefault="006A338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909431"/>
      <w:docPartObj>
        <w:docPartGallery w:val="Page Numbers (Bottom of Page)"/>
        <w:docPartUnique/>
      </w:docPartObj>
    </w:sdtPr>
    <w:sdtEndPr>
      <w:rPr>
        <w:noProof/>
      </w:rPr>
    </w:sdtEndPr>
    <w:sdtContent>
      <w:p w:rsidR="006A3383" w:rsidRDefault="000262D4">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705AE">
          <w:rPr>
            <w:rFonts w:ascii="Times New Roman" w:hAnsi="Times New Roman" w:cs="Times New Roman"/>
            <w:noProof/>
          </w:rPr>
          <w:t>45</w:t>
        </w:r>
        <w:r>
          <w:rPr>
            <w:rFonts w:ascii="Times New Roman" w:hAnsi="Times New Roman" w:cs="Times New Roman"/>
            <w:noProof/>
          </w:rPr>
          <w:fldChar w:fldCharType="end"/>
        </w:r>
      </w:p>
    </w:sdtContent>
  </w:sdt>
  <w:p w:rsidR="006A3383" w:rsidRDefault="006A338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52478"/>
      <w:docPartObj>
        <w:docPartGallery w:val="Page Numbers (Bottom of Page)"/>
        <w:docPartUnique/>
      </w:docPartObj>
    </w:sdtPr>
    <w:sdtEndPr>
      <w:rPr>
        <w:rFonts w:ascii="Times New Roman" w:hAnsi="Times New Roman" w:cs="Times New Roman"/>
        <w:noProof/>
      </w:rPr>
    </w:sdtEndPr>
    <w:sdtContent>
      <w:p w:rsidR="006A3383" w:rsidRDefault="000262D4">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705AE">
          <w:rPr>
            <w:rFonts w:ascii="Times New Roman" w:hAnsi="Times New Roman" w:cs="Times New Roman"/>
            <w:noProof/>
          </w:rPr>
          <w:t>46</w:t>
        </w:r>
        <w:r>
          <w:rPr>
            <w:rFonts w:ascii="Times New Roman" w:hAnsi="Times New Roman" w:cs="Times New Roman"/>
            <w:noProof/>
          </w:rPr>
          <w:fldChar w:fldCharType="end"/>
        </w:r>
      </w:p>
    </w:sdtContent>
  </w:sdt>
  <w:p w:rsidR="006A3383" w:rsidRDefault="006A338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D4" w:rsidRPr="000262D4" w:rsidRDefault="000262D4" w:rsidP="000262D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226081"/>
      <w:docPartObj>
        <w:docPartGallery w:val="Page Numbers (Bottom of Page)"/>
        <w:docPartUnique/>
      </w:docPartObj>
    </w:sdtPr>
    <w:sdtEndPr>
      <w:rPr>
        <w:rFonts w:ascii="Times New Roman" w:hAnsi="Times New Roman" w:cs="Times New Roman"/>
        <w:noProof/>
      </w:rPr>
    </w:sdtEndPr>
    <w:sdtContent>
      <w:p w:rsidR="006A3383" w:rsidRDefault="000262D4">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705AE">
          <w:rPr>
            <w:rFonts w:ascii="Times New Roman" w:hAnsi="Times New Roman" w:cs="Times New Roman"/>
            <w:noProof/>
          </w:rPr>
          <w:t>1</w:t>
        </w:r>
        <w:r>
          <w:rPr>
            <w:rFonts w:ascii="Times New Roman" w:hAnsi="Times New Roman" w:cs="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381575"/>
      <w:docPartObj>
        <w:docPartGallery w:val="Page Numbers (Bottom of Page)"/>
        <w:docPartUnique/>
      </w:docPartObj>
    </w:sdtPr>
    <w:sdtEndPr>
      <w:rPr>
        <w:noProof/>
      </w:rPr>
    </w:sdtEndPr>
    <w:sdtContent>
      <w:p w:rsidR="006A3383" w:rsidRDefault="000262D4">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rsidR="006A3383" w:rsidRDefault="006A338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383" w:rsidRDefault="000262D4">
      <w:pPr>
        <w:spacing w:after="0" w:line="240" w:lineRule="auto"/>
      </w:pPr>
      <w:r>
        <w:separator/>
      </w:r>
    </w:p>
  </w:footnote>
  <w:footnote w:type="continuationSeparator" w:id="0">
    <w:p w:rsidR="006A3383" w:rsidRDefault="000262D4">
      <w:pPr>
        <w:spacing w:after="0" w:line="240" w:lineRule="auto"/>
      </w:pPr>
      <w:r>
        <w:continuationSeparator/>
      </w:r>
    </w:p>
  </w:footnote>
  <w:footnote w:id="1">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Is-Segratarju Ġenerali tan-Nazzjonijiet Uniti, Ban Ki-moon, fis-summit tal-adozzjoni tal-aġenda għall-iżvilupp ta’ wara l-2015, fi New York fil-25 ta’ Settembru 2015. Disponibbli f’dan is-sit web:  </w:t>
      </w:r>
      <w:hyperlink r:id="rId1">
        <w:r>
          <w:rPr>
            <w:rStyle w:val="Hyperlink"/>
            <w:rFonts w:ascii="Times New Roman" w:hAnsi="Times New Roman"/>
            <w:sz w:val="18"/>
          </w:rPr>
          <w:t>https://www.un.org/press/en/2015/sgsm17111.doc.htm</w:t>
        </w:r>
      </w:hyperlink>
    </w:p>
  </w:footnote>
  <w:footnote w:id="2">
    <w:p w:rsidR="006A3383" w:rsidRDefault="000262D4">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w:t>
      </w:r>
      <w:r>
        <w:rPr>
          <w:rStyle w:val="Emphasis"/>
          <w:rFonts w:ascii="Times New Roman" w:hAnsi="Times New Roman"/>
          <w:i w:val="0"/>
          <w:sz w:val="18"/>
        </w:rPr>
        <w:t>ĠU C 202, 7.6.2016.</w:t>
      </w:r>
    </w:p>
  </w:footnote>
  <w:footnote w:id="3">
    <w:p w:rsidR="006A3383" w:rsidRDefault="000262D4">
      <w:pPr>
        <w:spacing w:after="0" w:line="240" w:lineRule="auto"/>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Ir-Reġjun Tiegħi, l-Ewropa Tiegħi, il-Ġejjieni Tiegħi: Is-seba’ rapport dwar il-koeżjoni ekonomika, soċjali u territorjali, 2017.</w:t>
      </w:r>
    </w:p>
    <w:p w:rsidR="006A3383" w:rsidRDefault="000262D4">
      <w:pPr>
        <w:pStyle w:val="FootnoteText"/>
        <w:rPr>
          <w:rFonts w:ascii="Times New Roman" w:hAnsi="Times New Roman" w:cs="Times New Roman"/>
          <w:lang w:val="et-EE"/>
        </w:rPr>
      </w:pPr>
      <w:r>
        <w:rPr>
          <w:rFonts w:ascii="Times New Roman" w:hAnsi="Times New Roman"/>
          <w:sz w:val="18"/>
        </w:rPr>
        <w:t xml:space="preserve">Disponibbli f’dan is-sit web: </w:t>
      </w:r>
      <w:hyperlink r:id="rId2">
        <w:r>
          <w:rPr>
            <w:rStyle w:val="Hyperlink"/>
            <w:rFonts w:ascii="Times New Roman" w:hAnsi="Times New Roman"/>
            <w:sz w:val="18"/>
          </w:rPr>
          <w:t>https://ec.europa.eu/regional_policy/sources/docoffic/official/reports/cohesion7/7cr.pdf</w:t>
        </w:r>
      </w:hyperlink>
      <w:r>
        <w:rPr>
          <w:rFonts w:ascii="Times New Roman" w:hAnsi="Times New Roman"/>
          <w:sz w:val="18"/>
        </w:rPr>
        <w:t>.</w:t>
      </w:r>
      <w:r>
        <w:rPr>
          <w:rFonts w:ascii="Times New Roman" w:hAnsi="Times New Roman"/>
        </w:rPr>
        <w:t xml:space="preserve"> </w:t>
      </w:r>
    </w:p>
  </w:footnote>
  <w:footnote w:id="4">
    <w:p w:rsidR="006A3383" w:rsidRDefault="000262D4">
      <w:pPr>
        <w:pStyle w:val="FootnoteText"/>
        <w:rPr>
          <w:rFonts w:ascii="Times New Roman" w:hAnsi="Times New Roman" w:cs="Times New Roman"/>
          <w:sz w:val="18"/>
          <w:szCs w:val="18"/>
          <w:lang w:val="et-EE"/>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World Happiness Report 2018, John F. Helliwell, Richard Layard u Jeffrey D. Sachs.</w:t>
      </w:r>
    </w:p>
  </w:footnote>
  <w:footnote w:id="5">
    <w:p w:rsidR="006A3383" w:rsidRDefault="000262D4">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Eurostat, l-indikaturi dwar il-kwalità tal-ħajja. Disponibbli f’dan is-sit web: </w:t>
      </w:r>
      <w:hyperlink r:id="rId3">
        <w:r>
          <w:rPr>
            <w:rStyle w:val="Hyperlink"/>
            <w:rFonts w:ascii="Times New Roman" w:hAnsi="Times New Roman"/>
            <w:sz w:val="18"/>
          </w:rPr>
          <w:t>https://ec.europa.eu/eurostat/statistics-explained/index.php/Quality_of_life_indicators</w:t>
        </w:r>
      </w:hyperlink>
      <w:r>
        <w:rPr>
          <w:rFonts w:ascii="Times New Roman" w:hAnsi="Times New Roman"/>
          <w:sz w:val="18"/>
        </w:rPr>
        <w:t xml:space="preserve"> </w:t>
      </w:r>
    </w:p>
  </w:footnote>
  <w:footnote w:id="6">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Forum Ewropew taż-Żgħażagħ, Indiċi dwar il-Progress taż-Żgħażagħ 2017. Disponibbli f’dan is-sit web: </w:t>
      </w:r>
      <w:hyperlink r:id="rId4">
        <w:r>
          <w:rPr>
            <w:rStyle w:val="Hyperlink"/>
            <w:rFonts w:ascii="Times New Roman" w:hAnsi="Times New Roman"/>
            <w:sz w:val="18"/>
          </w:rPr>
          <w:t>https://www.youthforum.org/youth-progress-index</w:t>
        </w:r>
      </w:hyperlink>
      <w:r>
        <w:rPr>
          <w:rStyle w:val="Hyperlink"/>
          <w:rFonts w:ascii="Times New Roman" w:hAnsi="Times New Roman"/>
          <w:sz w:val="18"/>
        </w:rPr>
        <w:t>.</w:t>
      </w:r>
      <w:r>
        <w:rPr>
          <w:rFonts w:ascii="Times New Roman" w:hAnsi="Times New Roman"/>
          <w:sz w:val="18"/>
        </w:rPr>
        <w:t xml:space="preserve"> </w:t>
      </w:r>
    </w:p>
  </w:footnote>
  <w:footnote w:id="7">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L-Anness 3 tad-Dokument ta’ Riflessjoni jenfasizza f’aktar dettall l-inizjattivi ewlenin tal-Kummissjoni Juncker li jikkontribwixxu għall-Aġenda 2030 tan-Nazzjonijiet Uniti u l-Ftehim ta’ Pariġi dwar il-Klima.</w:t>
      </w:r>
    </w:p>
  </w:footnote>
  <w:footnote w:id="8">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773 final.</w:t>
      </w:r>
    </w:p>
  </w:footnote>
  <w:footnote w:id="9">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COM(2010) 2020 final.</w:t>
      </w:r>
    </w:p>
  </w:footnote>
  <w:footnote w:id="10">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EUCO 13/18 - Il-laqgħa tal-Kunsill Ewropew (18 ta’ Ottubru 2018), Konklużjonijiet, III.12.</w:t>
      </w:r>
    </w:p>
  </w:footnote>
  <w:footnote w:id="11">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COM(2016) 739 final.</w:t>
      </w:r>
    </w:p>
  </w:footnote>
  <w:footnote w:id="12">
    <w:p w:rsidR="006A3383" w:rsidRDefault="000262D4">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L-Istħarriġ Annwali dwar it-Tkabbir 2018 COM(2017) 690 final.</w:t>
      </w:r>
    </w:p>
  </w:footnote>
  <w:footnote w:id="13">
    <w:p w:rsidR="006A3383" w:rsidRDefault="000262D4">
      <w:pPr>
        <w:pStyle w:val="FootnoteText"/>
        <w:rPr>
          <w:rFonts w:ascii="Times New Roman" w:hAnsi="Times New Roman" w:cs="Times New Roman"/>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 xml:space="preserve">It-Tbassir Ekonomiku Ewropew tal-Ħarifa 2018 ppubblikat fit-8 ta’ Novembru 2018. Disponibbli f’dan is-sit web: </w:t>
      </w:r>
      <w:hyperlink r:id="rId5">
        <w:r>
          <w:rPr>
            <w:rStyle w:val="Hyperlink"/>
            <w:rFonts w:ascii="Times New Roman" w:hAnsi="Times New Roman"/>
            <w:sz w:val="18"/>
          </w:rPr>
          <w:t>https://ec.europa.eu/info/sites/info/files/economy-finance/ip089_en_0.pdf</w:t>
        </w:r>
      </w:hyperlink>
      <w:r>
        <w:rPr>
          <w:rFonts w:ascii="Times New Roman" w:hAnsi="Times New Roman"/>
          <w:color w:val="1F497D"/>
          <w:sz w:val="18"/>
        </w:rPr>
        <w:t>.</w:t>
      </w:r>
      <w:r>
        <w:rPr>
          <w:rFonts w:ascii="Times New Roman" w:hAnsi="Times New Roman"/>
          <w:color w:val="1F497D"/>
          <w:sz w:val="22"/>
        </w:rPr>
        <w:t xml:space="preserve"> </w:t>
      </w:r>
    </w:p>
  </w:footnote>
  <w:footnote w:id="14">
    <w:p w:rsidR="006A3383" w:rsidRDefault="000262D4">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Global Footprint Network. Disponibbli f’dan is-sit web: </w:t>
      </w:r>
      <w:hyperlink r:id="rId6">
        <w:r>
          <w:rPr>
            <w:rStyle w:val="Hyperlink"/>
            <w:rFonts w:ascii="Times New Roman" w:hAnsi="Times New Roman"/>
            <w:sz w:val="18"/>
          </w:rPr>
          <w:t>https://www.footprintnetwork.org/our-work/ecological-footprint/</w:t>
        </w:r>
      </w:hyperlink>
      <w:r>
        <w:rPr>
          <w:rFonts w:ascii="Times New Roman" w:hAnsi="Times New Roman"/>
          <w:sz w:val="18"/>
        </w:rPr>
        <w:t xml:space="preserve"> .</w:t>
      </w:r>
    </w:p>
  </w:footnote>
  <w:footnote w:id="15">
    <w:p w:rsidR="006A3383" w:rsidRDefault="000262D4">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Il-Kummissjoni tal-UE, Tabella ta’ valutazzjoni tal-materja prima 2018.</w:t>
      </w:r>
    </w:p>
  </w:footnote>
  <w:footnote w:id="16">
    <w:p w:rsidR="006A3383" w:rsidRDefault="000262D4">
      <w:pPr>
        <w:pStyle w:val="FootnoteText"/>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rPr>
        <w:t xml:space="preserve"> WWF. 2018. Living Planet Report - 2018: Aiming Higher. Grooten, M. and Almond, R.E.A.(Eds). WWF, Gland, Switzerland.</w:t>
      </w:r>
    </w:p>
  </w:footnote>
  <w:footnote w:id="17">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L-Aġenzija Ewropea għall-Ambjent (2017), “Food in a green light. A systems approach to sustainable food”.</w:t>
      </w:r>
    </w:p>
  </w:footnote>
  <w:footnote w:id="18">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COM(2016) 319 final.</w:t>
      </w:r>
    </w:p>
  </w:footnote>
  <w:footnote w:id="19">
    <w:p w:rsidR="006A3383" w:rsidRDefault="000262D4">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color w:val="000000"/>
          <w:u w:val="single"/>
        </w:rPr>
        <w:t xml:space="preserve"> </w:t>
      </w:r>
      <w:r>
        <w:rPr>
          <w:rFonts w:ascii="Times New Roman" w:hAnsi="Times New Roman"/>
          <w:sz w:val="18"/>
        </w:rPr>
        <w:t xml:space="preserve">COM(2019)1. </w:t>
      </w:r>
    </w:p>
  </w:footnote>
  <w:footnote w:id="20">
    <w:p w:rsidR="006A3383" w:rsidRDefault="000262D4">
      <w:pPr>
        <w:pStyle w:val="FootnoteText"/>
      </w:pPr>
      <w:r>
        <w:rPr>
          <w:rStyle w:val="FootnoteReference"/>
        </w:rPr>
        <w:footnoteRef/>
      </w:r>
      <w:r>
        <w:t xml:space="preserve"> </w:t>
      </w:r>
      <w:r>
        <w:rPr>
          <w:rFonts w:ascii="Times New Roman" w:hAnsi="Times New Roman"/>
          <w:sz w:val="18"/>
        </w:rPr>
        <w:t>Analiżi fil-fond li ssostni l-Komunikazzjoni tal-Kummissjoni COM(2018)773, it-taqsima 5.6.2.3.</w:t>
      </w:r>
    </w:p>
  </w:footnote>
  <w:footnote w:id="21">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Dante Disparte, "If You Think Fighting Climate Change Will Be Expensive, Calculate the Cost of Letting It Happen", 12 ta’ Ġunju 2017, Harvard Business Review online. Disponibbli f’dan is-sit web: </w:t>
      </w:r>
      <w:hyperlink r:id="rId7">
        <w:r>
          <w:rPr>
            <w:rStyle w:val="Hyperlink"/>
            <w:rFonts w:ascii="Times New Roman" w:hAnsi="Times New Roman"/>
            <w:sz w:val="18"/>
          </w:rPr>
          <w:t>https://hbr.org/2017/06/if-you-think-fighting-climate-change-will-be-expensive-calculate-the-cost-of-letting-it-happen</w:t>
        </w:r>
      </w:hyperlink>
    </w:p>
  </w:footnote>
  <w:footnote w:id="22">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Eurostat, Sustainable development in the European Union, Monitoring Report on Progress towards the SDGs in an EU Context, l-edizzjoni tal-2018.</w:t>
      </w:r>
    </w:p>
  </w:footnote>
  <w:footnote w:id="23">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w:t>
      </w:r>
      <w:hyperlink r:id="rId8">
        <w:r>
          <w:rPr>
            <w:rStyle w:val="Hyperlink"/>
            <w:rFonts w:ascii="Times New Roman" w:hAnsi="Times New Roman"/>
            <w:sz w:val="18"/>
          </w:rPr>
          <w:t>https://ec.europa.eu/food/safety/food_waste_en</w:t>
        </w:r>
      </w:hyperlink>
      <w:r>
        <w:rPr>
          <w:rStyle w:val="Hyperlink"/>
          <w:rFonts w:ascii="Times New Roman" w:hAnsi="Times New Roman"/>
          <w:sz w:val="18"/>
        </w:rPr>
        <w:t>.</w:t>
      </w:r>
      <w:r>
        <w:rPr>
          <w:rFonts w:ascii="Times New Roman" w:hAnsi="Times New Roman"/>
          <w:sz w:val="18"/>
        </w:rPr>
        <w:t xml:space="preserve"> </w:t>
      </w:r>
    </w:p>
  </w:footnote>
  <w:footnote w:id="24">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Eurostat, Sustainable development in the European Union, Monitoring Report on Progress towards the SDGs in an EU Context, l-edizzjoni tal-2018. </w:t>
      </w:r>
    </w:p>
  </w:footnote>
  <w:footnote w:id="25">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Eurostat, Sustainable development in the European Union, Monitoring Report on Progress towards the SDGs in an EU Context, l-edizzjoni tal-2018.</w:t>
      </w:r>
    </w:p>
  </w:footnote>
  <w:footnote w:id="26">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L-Organizzazzjoni tal-Ikel u l-Agrikoltura tan-Nazzjonijiet Uniti (FAO), 2016, Antimicrobial resistance and our food systems: challenges and solutions. Disponibbli f’dan is-sit web: </w:t>
      </w:r>
      <w:hyperlink r:id="rId9">
        <w:r>
          <w:rPr>
            <w:rStyle w:val="Hyperlink"/>
            <w:rFonts w:ascii="Times New Roman" w:hAnsi="Times New Roman"/>
            <w:sz w:val="18"/>
          </w:rPr>
          <w:t>http://www.fao.org/3/a-i6106e.pdf</w:t>
        </w:r>
      </w:hyperlink>
      <w:r>
        <w:rPr>
          <w:rFonts w:ascii="Times New Roman" w:hAnsi="Times New Roman"/>
          <w:sz w:val="18"/>
        </w:rPr>
        <w:t xml:space="preserve"> </w:t>
      </w:r>
    </w:p>
  </w:footnote>
  <w:footnote w:id="27">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L-Istitut Ewropew għall-Ugwaljanza bejn is-Sessi (2017), Gender Equality Index 2017 – Measuring gender equality in the European Union 2005-2015, Stqarrija għall-istampa tal-11 ta’ Ottubru 2017. Disponibbli f’dan is-sit web:</w:t>
      </w:r>
    </w:p>
    <w:p w:rsidR="006A3383" w:rsidRDefault="002705AE">
      <w:pPr>
        <w:pStyle w:val="FootnoteText"/>
        <w:jc w:val="both"/>
        <w:rPr>
          <w:rFonts w:ascii="Times New Roman" w:hAnsi="Times New Roman" w:cs="Times New Roman"/>
        </w:rPr>
      </w:pPr>
      <w:hyperlink r:id="rId10">
        <w:r w:rsidR="000262D4">
          <w:rPr>
            <w:rStyle w:val="Hyperlink"/>
            <w:rFonts w:ascii="Times New Roman" w:hAnsi="Times New Roman"/>
            <w:sz w:val="18"/>
          </w:rPr>
          <w:t>https://eige.europa.eu/news-and-events/news/gender-equality-index-2017-progress-snails-pace</w:t>
        </w:r>
      </w:hyperlink>
      <w:r w:rsidR="000262D4">
        <w:rPr>
          <w:rFonts w:ascii="Times New Roman" w:hAnsi="Times New Roman"/>
          <w:sz w:val="18"/>
        </w:rPr>
        <w:t xml:space="preserve"> </w:t>
      </w:r>
    </w:p>
  </w:footnote>
  <w:footnote w:id="28">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Il-Kummissjoni Ewropea, 2018 Report on equality between women and men in the EU.</w:t>
      </w:r>
    </w:p>
  </w:footnote>
  <w:footnote w:id="29">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OECD(2015), In It Together: Why Less Inequality Benefits All, OECD Publishing, Pariġi.</w:t>
      </w:r>
    </w:p>
  </w:footnote>
  <w:footnote w:id="30">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L-Organizzazzjoni Internazzjonali għall-Migrazzjoni, “Migration, Environment and Climate Change: Assessing the Evidence”, 2009.</w:t>
      </w:r>
    </w:p>
  </w:footnote>
  <w:footnote w:id="31">
    <w:p w:rsidR="006A3383" w:rsidRDefault="000262D4">
      <w:pPr>
        <w:pStyle w:val="FootnoteText"/>
        <w:rPr>
          <w:rFonts w:ascii="Times New Roman" w:hAnsi="Times New Roman" w:cs="Times New Roman"/>
          <w:lang w:val="et-EE"/>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 xml:space="preserve">Is-Seba’ Programm ta’ Azzjoni Ambjentali. Disponibbli f’dan is-sit web: </w:t>
      </w:r>
      <w:hyperlink r:id="rId11">
        <w:r>
          <w:rPr>
            <w:rStyle w:val="Hyperlink"/>
            <w:rFonts w:ascii="Times New Roman" w:hAnsi="Times New Roman"/>
            <w:sz w:val="18"/>
          </w:rPr>
          <w:t>https://eur-lex.europa.eu/legal-content/MT/TXT/?uri=CELEX%3A32013D1386</w:t>
        </w:r>
      </w:hyperlink>
      <w:r>
        <w:rPr>
          <w:rFonts w:ascii="Times New Roman" w:hAnsi="Times New Roman"/>
          <w:sz w:val="18"/>
        </w:rPr>
        <w:t xml:space="preserve">. </w:t>
      </w:r>
    </w:p>
  </w:footnote>
  <w:footnote w:id="32">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Eurostat, Environmental economy – statistics on employment and growth. Disponibbli f’dan is-sit web: </w:t>
      </w:r>
      <w:hyperlink r:id="rId12">
        <w:r>
          <w:rPr>
            <w:rStyle w:val="Hyperlink"/>
            <w:rFonts w:ascii="Times New Roman" w:hAnsi="Times New Roman"/>
            <w:kern w:val="36"/>
            <w:sz w:val="18"/>
          </w:rPr>
          <w:t>https://ec.europa.eu/eurostat/statistics-explained/pdfscache/10420.pdf</w:t>
        </w:r>
      </w:hyperlink>
      <w:r>
        <w:rPr>
          <w:rFonts w:ascii="Times New Roman" w:hAnsi="Times New Roman"/>
          <w:kern w:val="36"/>
          <w:sz w:val="18"/>
        </w:rPr>
        <w:t>.  L-ekonomija ambjentali tinkludi żewġ gruppi wiesa’ ta’ attivitajiet u/jew prodotti: “il-ħarsien tal-ambjent” — l-attivitajiet kollha relatati mal-prevenzjoni, it-tnaqqis u l-eliminazzjoni tat-tniġġis u kwalunkwe degradazzjoni oħra tal-ambjent; “il-ġestjoni tar-riżorsi” — il-preżervazzjoni u ż-żamma tal-istokk ta’ riżorsi naturali u għaldaqstant is-salvagwardja kontra t-tnaqqis tagħhom.</w:t>
      </w:r>
    </w:p>
  </w:footnote>
  <w:footnote w:id="33">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S. Fankhauser, A. Bowen et al. "Who will win the green race? In search of environmental competitiveness and innovation", 2013.</w:t>
      </w:r>
    </w:p>
  </w:footnote>
  <w:footnote w:id="34">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Better World, The report of the Business &amp; Sustainable Development Commission", Jannar 2017 (p. 12). </w:t>
      </w:r>
    </w:p>
  </w:footnote>
  <w:footnote w:id="35">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Ir-Rieżami tal-Implimentazzjoni Ambjentali tal-UE 2017.</w:t>
      </w:r>
    </w:p>
  </w:footnote>
  <w:footnote w:id="36">
    <w:p w:rsidR="006A3383" w:rsidRDefault="000262D4">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Fost oħrajn: Il-grupp Intergovernattiv ta’ Esperti dwar it-Tibdil fil-Klima “Global warming of 1.5 °C: an IPCC special report on the impacts of global warming of 1.5 °C above pre-industrial levels and related global greenhouse gas emission pathways, in the context of strengthening the global response to the threat of climate change, sustainable development, and efforts to eradicate poverty”, 2018; Sachs, J., Schmidt-Traub, G., Kroll, C., Lafortune, G., Fuller, G. (2018): SDG Index and Dashboards Report 2018. New York: Bertelsmann Stiftung and Sustainable Development Solutions Network (SDSN); L-Ewropa miexja lejn futur sostennibbli, Il-Kontribuzzjoni tal-Pjattaforma tad-Diversi Partijiet Ikkonċernati mill-implimentazzjoni tal-Għanijiet Sostennibbli fil-Ktiba ta’ Riflessjoni tal-UE, Ottubru 2018.</w:t>
      </w:r>
    </w:p>
  </w:footnote>
  <w:footnote w:id="37">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Eurostat, Żvilupp sostenibbli fl-Unjoni Ewropea, Rapport ta’ Monitoraġġ dwar il-Progress lejn l-SDGs f’kuntest tal-UE, edizzjoni 2018. </w:t>
      </w:r>
    </w:p>
  </w:footnote>
  <w:footnote w:id="38">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i/>
          <w:sz w:val="18"/>
        </w:rPr>
        <w:t>“</w:t>
      </w:r>
      <w:r>
        <w:rPr>
          <w:rStyle w:val="Emphasis"/>
          <w:rFonts w:ascii="Times New Roman" w:hAnsi="Times New Roman"/>
          <w:i w:val="0"/>
          <w:sz w:val="18"/>
        </w:rPr>
        <w:t xml:space="preserve">Growth within: A circular economy vision for a competitive Europe”, </w:t>
      </w:r>
      <w:r>
        <w:rPr>
          <w:rFonts w:ascii="Times New Roman" w:hAnsi="Times New Roman"/>
          <w:color w:val="000000"/>
          <w:sz w:val="18"/>
        </w:rPr>
        <w:t>Ellen MacArthur Foundation and the McKinsey Center for Business and Environment, 2015.</w:t>
      </w:r>
    </w:p>
  </w:footnote>
  <w:footnote w:id="39">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Towards a circular economy – Waste management in the EU, 2017, European Parliamentary Research Service</w:t>
      </w:r>
    </w:p>
  </w:footnote>
  <w:footnote w:id="40">
    <w:p w:rsidR="006A3383" w:rsidRDefault="000262D4">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SITRA, The circular economy - a powerful force for climate mitigation, 2018. Disponibbli fuq: </w:t>
      </w:r>
      <w:hyperlink r:id="rId13">
        <w:r>
          <w:rPr>
            <w:rStyle w:val="Hyperlink"/>
            <w:rFonts w:ascii="Times New Roman" w:hAnsi="Times New Roman"/>
            <w:sz w:val="18"/>
          </w:rPr>
          <w:t>https://www.sitra.fi/en/publications/circular-economy-powerful-force-climate-mitigation/</w:t>
        </w:r>
      </w:hyperlink>
      <w:r>
        <w:rPr>
          <w:rStyle w:val="Hyperlink"/>
          <w:rFonts w:ascii="Times New Roman" w:hAnsi="Times New Roman"/>
          <w:sz w:val="18"/>
        </w:rPr>
        <w:t>.</w:t>
      </w:r>
      <w:r>
        <w:rPr>
          <w:rFonts w:ascii="Times New Roman" w:hAnsi="Times New Roman"/>
        </w:rPr>
        <w:t xml:space="preserve"> </w:t>
      </w:r>
    </w:p>
  </w:footnote>
  <w:footnote w:id="41">
    <w:p w:rsidR="006A3383" w:rsidRDefault="000262D4">
      <w:pPr>
        <w:pStyle w:val="FootnoteText"/>
      </w:pPr>
      <w:r>
        <w:rPr>
          <w:rStyle w:val="FootnoteReference"/>
        </w:rPr>
        <w:footnoteRef/>
      </w:r>
      <w:r>
        <w:t xml:space="preserve"> </w:t>
      </w:r>
      <w:r>
        <w:rPr>
          <w:rFonts w:ascii="Times New Roman" w:hAnsi="Times New Roman"/>
          <w:sz w:val="18"/>
        </w:rPr>
        <w:t>COM/2018/028 final.</w:t>
      </w:r>
    </w:p>
  </w:footnote>
  <w:footnote w:id="42">
    <w:p w:rsidR="006A3383" w:rsidRDefault="000262D4">
      <w:pPr>
        <w:pStyle w:val="FootnoteText"/>
      </w:pPr>
      <w:r>
        <w:rPr>
          <w:rStyle w:val="FootnoteReference"/>
        </w:rPr>
        <w:footnoteRef/>
      </w:r>
      <w:r>
        <w:t xml:space="preserve"> </w:t>
      </w:r>
      <w:r>
        <w:rPr>
          <w:rFonts w:ascii="Times New Roman" w:hAnsi="Times New Roman"/>
          <w:sz w:val="18"/>
        </w:rPr>
        <w:t>COM/2018/340 final.</w:t>
      </w:r>
    </w:p>
  </w:footnote>
  <w:footnote w:id="43">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Better World, The report of the Business &amp; Sustainable Development Commission", Jannar 2017.</w:t>
      </w:r>
    </w:p>
  </w:footnote>
  <w:footnote w:id="44">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Better World, The report of the Business &amp; Sustainable Development Commission", Jannar 2017.</w:t>
      </w:r>
    </w:p>
  </w:footnote>
  <w:footnote w:id="45">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Organizzazzjoni tal-Ikel u l-Agrikoltura tan-Nazzjonijiet Uniti, Impjiegi ekoloġiċi. Disponibbli fuq: </w:t>
      </w:r>
      <w:hyperlink r:id="rId14">
        <w:r>
          <w:rPr>
            <w:rStyle w:val="Hyperlink"/>
            <w:rFonts w:ascii="Times New Roman" w:hAnsi="Times New Roman"/>
            <w:sz w:val="18"/>
          </w:rPr>
          <w:t>http://www.fao.org/rural-employment/work-areas/green-jobs/en/</w:t>
        </w:r>
      </w:hyperlink>
    </w:p>
  </w:footnote>
  <w:footnote w:id="46">
    <w:p w:rsidR="006A3383" w:rsidRDefault="000262D4">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rPr>
        <w:t xml:space="preserve"> Eurostat, Żvilupp sostenibbli fl-Unjoni Ewropea, Rapport ta’ Monitoraġġ dwar il-Progress lejn l-SDGs f’kuntest tal-UE, edizzjoni 2018.</w:t>
      </w:r>
    </w:p>
  </w:footnote>
  <w:footnote w:id="47">
    <w:p w:rsidR="006A3383" w:rsidRDefault="000262D4">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Il-Kummissjoni Ewropea, Il-Monitoraġġ tal-Politika Agrikummerċjali, MAP 2018–1, “Il-kummerċ Agroalimentari fl-2017: sena rekord oħra għall-kummerċ agroalimentari fl-UE”.</w:t>
      </w:r>
    </w:p>
  </w:footnote>
  <w:footnote w:id="48">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Disponibbli fuq: </w:t>
      </w:r>
      <w:hyperlink r:id="rId15">
        <w:r>
          <w:rPr>
            <w:rStyle w:val="Hyperlink"/>
            <w:rFonts w:ascii="Times New Roman" w:hAnsi="Times New Roman"/>
            <w:sz w:val="18"/>
          </w:rPr>
          <w:t>https://ec.europa.eu/commission/publications/natural-resources-and-environment</w:t>
        </w:r>
      </w:hyperlink>
      <w:r>
        <w:rPr>
          <w:rFonts w:ascii="Times New Roman" w:hAnsi="Times New Roman"/>
          <w:sz w:val="18"/>
        </w:rPr>
        <w:t xml:space="preserve">. </w:t>
      </w:r>
    </w:p>
  </w:footnote>
  <w:footnote w:id="49">
    <w:p w:rsidR="006A3383" w:rsidRDefault="000262D4">
      <w:pPr>
        <w:pStyle w:val="FootnoteText"/>
        <w:rPr>
          <w:lang w:val="it-IT"/>
        </w:rPr>
      </w:pPr>
      <w:r>
        <w:rPr>
          <w:rStyle w:val="FootnoteReference"/>
        </w:rPr>
        <w:footnoteRef/>
      </w:r>
      <w:r>
        <w:t xml:space="preserve"> </w:t>
      </w:r>
      <w:r>
        <w:rPr>
          <w:rFonts w:ascii="Times New Roman" w:hAnsi="Times New Roman"/>
          <w:sz w:val="18"/>
        </w:rPr>
        <w:t>Disponibbli fuq</w:t>
      </w:r>
      <w:r>
        <w:t>:</w:t>
      </w:r>
      <w:hyperlink r:id="rId16">
        <w:r>
          <w:rPr>
            <w:rStyle w:val="Hyperlink"/>
            <w:rFonts w:ascii="Times New Roman" w:hAnsi="Times New Roman"/>
            <w:sz w:val="18"/>
          </w:rPr>
          <w:t>https://ec.europa.eu/health/amr/sites/amr/files/amr_action_plan_2017_en.pdf</w:t>
        </w:r>
      </w:hyperlink>
      <w:r>
        <w:rPr>
          <w:rFonts w:ascii="Times New Roman" w:hAnsi="Times New Roman"/>
          <w:sz w:val="18"/>
        </w:rPr>
        <w:t>.</w:t>
      </w:r>
      <w:r>
        <w:t xml:space="preserve"> </w:t>
      </w:r>
    </w:p>
  </w:footnote>
  <w:footnote w:id="50">
    <w:p w:rsidR="006A3383" w:rsidRDefault="000262D4">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Analiżi fil-fond b’appoġġ għall-Komunikazzjoni tal-Kummissjoni COM (2018) 773 Pjaneta Nadif għall-kulħadd Viżjoni strateġika Ewropea fit-tul għal ekonomija għanja, moderna, kompetittiva u newtrali għall-klima.</w:t>
      </w:r>
    </w:p>
    <w:p w:rsidR="006A3383" w:rsidRDefault="000262D4">
      <w:pPr>
        <w:spacing w:after="0" w:line="240" w:lineRule="auto"/>
        <w:jc w:val="both"/>
        <w:rPr>
          <w:rFonts w:ascii="Times New Roman" w:eastAsia="Times New Roman" w:hAnsi="Times New Roman" w:cs="Times New Roman"/>
          <w:sz w:val="18"/>
          <w:szCs w:val="18"/>
          <w:lang w:eastAsia="en-GB"/>
        </w:rPr>
      </w:pPr>
      <w:r>
        <w:rPr>
          <w:rFonts w:ascii="Times New Roman" w:hAnsi="Times New Roman"/>
          <w:sz w:val="18"/>
        </w:rPr>
        <w:t>Il-Produzzjoni tal-laħam għandha waħda mill-akbar rekwiżit ta’ art għal kull kalorija. Il-bidla u t-tnaqqis fil-konsum tal-laħam se teħles mill-użu art addizzjonali.</w:t>
      </w:r>
    </w:p>
  </w:footnote>
  <w:footnote w:id="51">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L-effiċjenza enerġetika tar-refriġeraturi żdiedet b’mod sinifikanti matul dawn l-aħħar għaxar snin (l-istess ġara għall-magni tal-ħasil, għall-magni tal-ħasil tal-platti u għat-televixins pereżempju). Dan ifisser ukoll li n-nies qed jixtru prodotti aktar effiċjenti. L-aqwa għaxra skont id-</w:t>
      </w:r>
      <w:r>
        <w:rPr>
          <w:rFonts w:ascii="Times New Roman" w:hAnsi="Times New Roman"/>
          <w:i/>
          <w:sz w:val="18"/>
        </w:rPr>
        <w:t>data</w:t>
      </w:r>
      <w:r>
        <w:rPr>
          <w:rFonts w:ascii="Times New Roman" w:hAnsi="Times New Roman"/>
          <w:sz w:val="18"/>
        </w:rPr>
        <w:t xml:space="preserve"> tal-GFK. Disponibbli fuq: </w:t>
      </w:r>
      <w:hyperlink r:id="rId17">
        <w:r>
          <w:rPr>
            <w:rFonts w:ascii="Times New Roman" w:hAnsi="Times New Roman"/>
            <w:sz w:val="18"/>
          </w:rPr>
          <w:t>topten.eu</w:t>
        </w:r>
      </w:hyperlink>
      <w:r>
        <w:rPr>
          <w:rFonts w:ascii="Times New Roman" w:hAnsi="Times New Roman"/>
          <w:sz w:val="18"/>
        </w:rPr>
        <w:t xml:space="preserve"> </w:t>
      </w:r>
    </w:p>
  </w:footnote>
  <w:footnote w:id="52">
    <w:p w:rsidR="006A3383" w:rsidRDefault="000262D4">
      <w:pPr>
        <w:pStyle w:val="FootnoteText"/>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COM(2016) 377.</w:t>
      </w:r>
    </w:p>
  </w:footnote>
  <w:footnote w:id="53">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Sa 9.6 % tal-PDG tal-Ewropa kien iddedikat għall-kura tas-saħħa fl-2017, għalhekk qiegħed isir dejjem aktar importanti li l-infiq fis-saħħa jkun effiċjenti u li tiġi indirizzata l-ħela fl-infiq.</w:t>
      </w:r>
    </w:p>
  </w:footnote>
  <w:footnote w:id="54">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 (2017) 206, Dokument ta’ Riflessjoni dwar id-Dimensjoni Soċjali tal-Ewropa, 26 ta’ April 2017.</w:t>
      </w:r>
    </w:p>
  </w:footnote>
  <w:footnote w:id="55">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L-Għanijiet ta’ Żvilupp Sostenibbli tan-Nazzjonijiet Uniti, Mira 11: Nagħmlu l-bliet inklużivi, sikuri, reżiljenti u sostenibbli. Disponibbli fuq: </w:t>
      </w:r>
      <w:hyperlink r:id="rId18">
        <w:r>
          <w:rPr>
            <w:rStyle w:val="Hyperlink"/>
            <w:rFonts w:ascii="Times New Roman" w:hAnsi="Times New Roman"/>
            <w:sz w:val="18"/>
          </w:rPr>
          <w:t>https://www.un.org/sustainabledevelopment/cities/</w:t>
        </w:r>
      </w:hyperlink>
    </w:p>
  </w:footnote>
  <w:footnote w:id="56">
    <w:p w:rsidR="006A3383" w:rsidRDefault="000262D4">
      <w:pPr>
        <w:autoSpaceDE w:val="0"/>
        <w:autoSpaceDN w:val="0"/>
        <w:adjustRightInd w:val="0"/>
        <w:spacing w:after="0" w:line="240" w:lineRule="auto"/>
        <w:jc w:val="both"/>
        <w:rPr>
          <w:rFonts w:ascii="Times New Roman" w:hAnsi="Times New Roman" w:cs="Times New Roman"/>
          <w:bCs/>
          <w:sz w:val="18"/>
          <w:szCs w:val="18"/>
        </w:rPr>
      </w:pPr>
      <w:r>
        <w:rPr>
          <w:rStyle w:val="FootnoteReference"/>
          <w:rFonts w:ascii="Times New Roman" w:hAnsi="Times New Roman"/>
          <w:sz w:val="18"/>
        </w:rPr>
        <w:footnoteRef/>
      </w:r>
      <w:r>
        <w:rPr>
          <w:rFonts w:ascii="Times New Roman" w:hAnsi="Times New Roman"/>
          <w:sz w:val="18"/>
        </w:rPr>
        <w:t xml:space="preserve"> The Role of Science, Technology and Innovation Policies to Foster the Implementation of the Sustainable Development Goals </w:t>
      </w:r>
      <w:r>
        <w:rPr>
          <w:rFonts w:ascii="Times New Roman" w:hAnsi="Times New Roman"/>
          <w:i/>
          <w:sz w:val="18"/>
        </w:rPr>
        <w:t>Report of the Expert Group “Follow-up to Rio+20, notably the SDGs”.</w:t>
      </w:r>
    </w:p>
  </w:footnote>
  <w:footnote w:id="57">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22 final. </w:t>
      </w:r>
    </w:p>
  </w:footnote>
  <w:footnote w:id="58">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F’Novembru 2018, il-Kummissjoni Ewropea nediet l-AI Watch biex timmonitorja l-iżviluppi marbuta mal-Intelliġenza Artifiċjali fl-UE u madwar id-dinja u tipprovdi l-bażi analitika meħtieġa għal aktar azzjoni.</w:t>
      </w:r>
    </w:p>
  </w:footnote>
  <w:footnote w:id="59">
    <w:p w:rsidR="006A3383" w:rsidRDefault="000262D4">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Il-Kummissjoni Ewropea “Pjanijiet tal-Istati Uniti-Ċina-UE dwar l-IA: fejn ninsabu?” Jannar 2018. Disponibbli fuq: </w:t>
      </w:r>
      <w:hyperlink r:id="rId19">
        <w:r>
          <w:rPr>
            <w:rStyle w:val="Hyperlink"/>
            <w:rFonts w:ascii="Times New Roman" w:hAnsi="Times New Roman"/>
            <w:sz w:val="18"/>
          </w:rPr>
          <w:t>https://ec.europa.eu/growth/tools-databases/dem/monitor/sites/default/files/DTM_AI%20USA-China-EU%20plans%20for%20AI%20v5.pdf</w:t>
        </w:r>
      </w:hyperlink>
      <w:r>
        <w:rPr>
          <w:rFonts w:ascii="Times New Roman" w:hAnsi="Times New Roman"/>
          <w:sz w:val="18"/>
        </w:rPr>
        <w:t>.</w:t>
      </w:r>
      <w:r>
        <w:rPr>
          <w:rFonts w:ascii="Times New Roman" w:hAnsi="Times New Roman"/>
        </w:rPr>
        <w:t xml:space="preserve"> </w:t>
      </w:r>
    </w:p>
  </w:footnote>
  <w:footnote w:id="60">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Jiaxuan You, Xiaocheng li, melvin low, David B. Lobell, Stefano Ermon, "Sustainability and Artificial Intelligence Lab, Combining Remote Sensing Data and Machine Learning to Predict Crop Yield". Disponibbli fuq: </w:t>
      </w:r>
      <w:hyperlink r:id="rId20">
        <w:r>
          <w:rPr>
            <w:rStyle w:val="Hyperlink"/>
            <w:rFonts w:ascii="Times New Roman" w:hAnsi="Times New Roman"/>
            <w:sz w:val="18"/>
          </w:rPr>
          <w:t>http://sustain.stanford.edu/crop-yield-analysis</w:t>
        </w:r>
      </w:hyperlink>
    </w:p>
  </w:footnote>
  <w:footnote w:id="61">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Konferenza tan-Nazzjonijiet Uniti dwar il-Kummerċ u l-Iżvilupp. Disponibbli fuq: </w:t>
      </w:r>
      <w:r>
        <w:rPr>
          <w:rStyle w:val="Hyperlink"/>
          <w:rFonts w:ascii="Times New Roman" w:hAnsi="Times New Roman"/>
          <w:sz w:val="18"/>
        </w:rPr>
        <w:t>http://www.eurasia.undp.org/content/rbec/en/home/blog/2017/7/12/What-kind-of-blender-do-we-need-to-finance-the-SDGs-.html</w:t>
      </w:r>
    </w:p>
  </w:footnote>
  <w:footnote w:id="62">
    <w:p w:rsidR="006A3383" w:rsidRDefault="000262D4">
      <w:pPr>
        <w:pStyle w:val="FootnoteText"/>
      </w:pPr>
      <w:r>
        <w:rPr>
          <w:rStyle w:val="FootnoteReference"/>
          <w:rFonts w:ascii="Times New Roman" w:hAnsi="Times New Roman"/>
        </w:rPr>
        <w:footnoteRef/>
      </w:r>
      <w:r>
        <w:t xml:space="preserve"> </w:t>
      </w:r>
      <w:r>
        <w:rPr>
          <w:rFonts w:ascii="Times New Roman" w:hAnsi="Times New Roman"/>
          <w:sz w:val="18"/>
        </w:rPr>
        <w:t xml:space="preserve">Il-Pjan ta’ Azzjoni dwar Finanzi Sostenibbli. Disponibbli fuq: </w:t>
      </w:r>
      <w:hyperlink r:id="rId21">
        <w:r>
          <w:rPr>
            <w:rStyle w:val="Hyperlink"/>
            <w:rFonts w:ascii="Times New Roman" w:hAnsi="Times New Roman"/>
            <w:sz w:val="18"/>
          </w:rPr>
          <w:t>https://ec.europa.eu/info/publications/180524-proposal-sustainable-finance_en</w:t>
        </w:r>
      </w:hyperlink>
      <w:r>
        <w:rPr>
          <w:rFonts w:ascii="Times New Roman" w:hAnsi="Times New Roman"/>
          <w:sz w:val="18"/>
        </w:rPr>
        <w:t xml:space="preserve">. </w:t>
      </w:r>
    </w:p>
  </w:footnote>
  <w:footnote w:id="63">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Better World, The report of the Business &amp; Sustainable Development Commission", Jannar 2017.</w:t>
      </w:r>
    </w:p>
  </w:footnote>
  <w:footnote w:id="64">
    <w:p w:rsidR="006A3383" w:rsidRDefault="000262D4">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rPr>
        <w:t xml:space="preserve"> Business and Sustainable Development Commission, "Better Business Better World, The report of the Business &amp; Sustainable Development Commission", Jannar 2017.</w:t>
      </w:r>
      <w:r>
        <w:rPr>
          <w:rFonts w:ascii="Times New Roman" w:hAnsi="Times New Roman"/>
        </w:rPr>
        <w:t xml:space="preserve"> </w:t>
      </w:r>
    </w:p>
  </w:footnote>
  <w:footnote w:id="65">
    <w:p w:rsidR="006A3383" w:rsidRDefault="000262D4">
      <w:pPr>
        <w:pStyle w:val="FootnoteText"/>
        <w:jc w:val="both"/>
        <w:rPr>
          <w:rFonts w:ascii="Times New Roman" w:hAnsi="Times New Roman" w:cs="Times New Roman"/>
          <w:sz w:val="18"/>
          <w:szCs w:val="18"/>
          <w:lang w:val="it-IT"/>
        </w:rPr>
      </w:pPr>
      <w:r>
        <w:rPr>
          <w:rStyle w:val="FootnoteReference"/>
          <w:rFonts w:ascii="Times New Roman" w:hAnsi="Times New Roman"/>
          <w:sz w:val="18"/>
        </w:rPr>
        <w:footnoteRef/>
      </w:r>
      <w:r>
        <w:rPr>
          <w:rFonts w:ascii="Times New Roman" w:hAnsi="Times New Roman"/>
          <w:sz w:val="18"/>
        </w:rPr>
        <w:t xml:space="preserve"> Politiki tat-Tassazzjoni fl-Unjoni Ewropea: Stħarriġ tal-2018. Disponibbli f’:</w:t>
      </w:r>
    </w:p>
    <w:p w:rsidR="006A3383" w:rsidRDefault="002705AE">
      <w:pPr>
        <w:pStyle w:val="FootnoteText"/>
        <w:jc w:val="both"/>
        <w:rPr>
          <w:rFonts w:ascii="Times New Roman" w:hAnsi="Times New Roman" w:cs="Times New Roman"/>
          <w:sz w:val="18"/>
          <w:szCs w:val="18"/>
          <w:lang w:eastAsia="en-GB"/>
        </w:rPr>
      </w:pPr>
      <w:hyperlink r:id="rId22">
        <w:r w:rsidR="000262D4">
          <w:rPr>
            <w:rStyle w:val="Hyperlink"/>
            <w:rFonts w:ascii="Times New Roman" w:hAnsi="Times New Roman"/>
            <w:sz w:val="18"/>
          </w:rPr>
          <w:t>https://ec.europa.eu/taxation_customs/business/company-tax/tax-good-governance/european-semester/tax-policies-european-union-survey_en</w:t>
        </w:r>
      </w:hyperlink>
      <w:r w:rsidR="000262D4">
        <w:rPr>
          <w:rFonts w:ascii="Times New Roman" w:hAnsi="Times New Roman"/>
          <w:sz w:val="18"/>
        </w:rPr>
        <w:t>. F’Diċembru 2018, il-Kummissjoni nediet studju li jagħti ħarsa lejn xejriet kbar ħafna (it-tibdil fil-klima, id-diġitalizzazzjoni, il-popolazzjoni li qed tixjieħ eċċ.) u l-impatt tagħhom fuq l-ekonomiji tal-UE, b’mod partikolari s-sostenibbiltà tas-sistemi tat-taxxa tal-UE.</w:t>
      </w:r>
    </w:p>
  </w:footnote>
  <w:footnote w:id="66">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COM(2019) 8 finali.</w:t>
      </w:r>
    </w:p>
  </w:footnote>
  <w:footnote w:id="67">
    <w:p w:rsidR="006A3383" w:rsidRDefault="000262D4">
      <w:pPr>
        <w:pStyle w:val="FootnoteText"/>
        <w:jc w:val="both"/>
        <w:rPr>
          <w:rFonts w:ascii="Times New Roman" w:hAnsi="Times New Roman" w:cs="Times New Roman"/>
          <w:lang w:val="et-EE"/>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COM(2019) 8 finali.</w:t>
      </w:r>
    </w:p>
  </w:footnote>
  <w:footnote w:id="68">
    <w:p w:rsidR="006A3383" w:rsidRDefault="000262D4">
      <w:pPr>
        <w:pStyle w:val="FootnoteText"/>
        <w:jc w:val="both"/>
        <w:rPr>
          <w:rFonts w:ascii="Times New Roman" w:hAnsi="Times New Roman" w:cs="Times New Roman"/>
          <w:sz w:val="18"/>
          <w:szCs w:val="18"/>
          <w:lang w:val="pt-PT"/>
        </w:rPr>
      </w:pPr>
      <w:r>
        <w:rPr>
          <w:rStyle w:val="FootnoteReference"/>
          <w:rFonts w:ascii="Times New Roman" w:hAnsi="Times New Roman"/>
          <w:sz w:val="18"/>
        </w:rPr>
        <w:footnoteRef/>
      </w:r>
      <w:r>
        <w:rPr>
          <w:rFonts w:ascii="Times New Roman" w:hAnsi="Times New Roman"/>
          <w:sz w:val="18"/>
        </w:rPr>
        <w:t xml:space="preserve"> COM(2019) 8 finali.</w:t>
      </w:r>
    </w:p>
  </w:footnote>
  <w:footnote w:id="69">
    <w:p w:rsidR="006A3383" w:rsidRDefault="000262D4">
      <w:pPr>
        <w:pStyle w:val="FootnoteText"/>
        <w:rPr>
          <w:rFonts w:ascii="Times New Roman" w:hAnsi="Times New Roman" w:cs="Times New Roman"/>
          <w:sz w:val="18"/>
          <w:szCs w:val="18"/>
          <w:lang w:val="pt-PT"/>
        </w:rPr>
      </w:pPr>
      <w:r>
        <w:rPr>
          <w:rStyle w:val="FootnoteReference"/>
        </w:rPr>
        <w:footnoteRef/>
      </w:r>
      <w:r>
        <w:t xml:space="preserve"> </w:t>
      </w:r>
      <w:r>
        <w:rPr>
          <w:rFonts w:ascii="Times New Roman" w:hAnsi="Times New Roman"/>
          <w:sz w:val="18"/>
        </w:rPr>
        <w:t xml:space="preserve">Dierx, Adriaan, Ilzkovitz, Pataracchia, Ratto, Thum-Thysen and Varga (2017), “Does EU competition policy support inclusive growth?”, Journal of Competition Law &amp; Economics, Vol. 13, No. 2.; L-iskeda informattiva tal-OECD dwar kif il-politika tal-kompetizzjoni taffettwa l-eżiti makroekonomiċi (Ottubru 2014); Fabienne Ilzkovitz and Adriaan Dierx, “Ex-post economic evaluation of competition policy enforcement: A review of the literature”, DG Competition, June 2015. </w:t>
      </w:r>
    </w:p>
  </w:footnote>
  <w:footnote w:id="70">
    <w:p w:rsidR="006A3383" w:rsidRDefault="000262D4">
      <w:pPr>
        <w:pStyle w:val="FootnoteText"/>
        <w:jc w:val="both"/>
        <w:rPr>
          <w:rFonts w:ascii="Times New Roman" w:hAnsi="Times New Roman" w:cs="Times New Roman"/>
          <w:sz w:val="18"/>
          <w:szCs w:val="18"/>
        </w:rPr>
      </w:pPr>
      <w:r>
        <w:rPr>
          <w:rFonts w:ascii="Times New Roman" w:hAnsi="Times New Roman"/>
          <w:sz w:val="18"/>
          <w:vertAlign w:val="superscript"/>
        </w:rPr>
        <w:footnoteRef/>
      </w:r>
      <w:r>
        <w:rPr>
          <w:rFonts w:ascii="Times New Roman" w:hAnsi="Times New Roman"/>
          <w:sz w:val="18"/>
          <w:vertAlign w:val="superscript"/>
        </w:rPr>
        <w:t xml:space="preserve"> </w:t>
      </w:r>
      <w:hyperlink r:id="rId23">
        <w:r>
          <w:rPr>
            <w:rStyle w:val="Hyperlink"/>
            <w:rFonts w:ascii="Times New Roman" w:hAnsi="Times New Roman"/>
            <w:sz w:val="18"/>
          </w:rPr>
          <w:t xml:space="preserve">http://ec.europa.eu/competition/state_aid/scoreboard/index_mt.html </w:t>
        </w:r>
      </w:hyperlink>
    </w:p>
    <w:p w:rsidR="006A3383" w:rsidRDefault="006A3383">
      <w:pPr>
        <w:pStyle w:val="FootnoteText"/>
        <w:rPr>
          <w:rFonts w:ascii="Times New Roman" w:hAnsi="Times New Roman" w:cs="Times New Roman"/>
          <w:sz w:val="18"/>
          <w:szCs w:val="18"/>
        </w:rPr>
      </w:pPr>
    </w:p>
  </w:footnote>
  <w:footnote w:id="71">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Id-Direttiva (UE) 2017/828 tal-Parlament Ewropew u tal-Kunsill tas-17 ta’ Mejju 2017 li temenda d-Direttiva </w:t>
      </w:r>
    </w:p>
    <w:p w:rsidR="006A3383" w:rsidRDefault="000262D4">
      <w:pPr>
        <w:pStyle w:val="FootnoteText"/>
        <w:jc w:val="both"/>
        <w:rPr>
          <w:rFonts w:ascii="Times New Roman" w:hAnsi="Times New Roman" w:cs="Times New Roman"/>
          <w:sz w:val="18"/>
          <w:szCs w:val="18"/>
          <w:lang w:val="en"/>
        </w:rPr>
      </w:pPr>
      <w:r>
        <w:rPr>
          <w:rFonts w:ascii="Times New Roman" w:hAnsi="Times New Roman"/>
          <w:sz w:val="18"/>
        </w:rPr>
        <w:t xml:space="preserve">    2007/36/KE rigward l-inkoraġġiment ta’ involviment fit-tul tal-azzjonisti (Test b’rilevanza għaż-ŻEE)</w:t>
      </w:r>
    </w:p>
  </w:footnote>
  <w:footnote w:id="72">
    <w:p w:rsidR="006A3383" w:rsidRDefault="000262D4">
      <w:pPr>
        <w:pStyle w:val="FootnoteText"/>
      </w:pPr>
      <w:r>
        <w:rPr>
          <w:rStyle w:val="FootnoteReference"/>
          <w:rFonts w:ascii="Times New Roman" w:hAnsi="Times New Roman"/>
          <w:sz w:val="18"/>
        </w:rPr>
        <w:footnoteRef/>
      </w:r>
      <w:r>
        <w:rPr>
          <w:rFonts w:ascii="Times New Roman" w:hAnsi="Times New Roman"/>
          <w:sz w:val="18"/>
        </w:rPr>
        <w:t xml:space="preserve"> Id-Direttiva 2014/95/UE tal-Parlament Ewropew u tal-Kunsill tat-22 ta' Ottubru 2014 li temenda d-Direttiva 2013/34/UE fir-rigward tad-divulgazzjoni ta' informazzjoni mhux finanzjarja u dwar id-diversità minn ċerti impriżi u gruppi kbar (Test b’rilevanza għaż-ŻEE).</w:t>
      </w:r>
    </w:p>
  </w:footnote>
  <w:footnote w:id="73">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Ir-Regolament (UE) 2017/821 dwar il-Minerali ta’ Kunflitt.</w:t>
      </w:r>
    </w:p>
  </w:footnote>
  <w:footnote w:id="74">
    <w:p w:rsidR="006A3383" w:rsidRDefault="000262D4">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w:t>
      </w:r>
      <w:hyperlink r:id="rId24" w:anchor="investment">
        <w:r>
          <w:rPr>
            <w:rStyle w:val="Hyperlink"/>
            <w:rFonts w:ascii="Times New Roman" w:hAnsi="Times New Roman"/>
            <w:sz w:val="18"/>
          </w:rPr>
          <w:t>https://ec.europa.eu/info/publications/180524-proposal-sustainable-finance_en#investment</w:t>
        </w:r>
      </w:hyperlink>
      <w:r>
        <w:rPr>
          <w:rFonts w:ascii="Times New Roman" w:hAnsi="Times New Roman"/>
          <w:sz w:val="18"/>
        </w:rPr>
        <w:t>.  Stampa aktar komprensiva tal-progress riċenti tal-UE dwar is-CSR/RBC u dwar in-Negozju u d-Drittijiet tal-Bniedem ser jiġu ppreżentati kmieni fl-2019 fil-kuntest tal-Jiem Industrijali tal-UE.</w:t>
      </w:r>
    </w:p>
  </w:footnote>
  <w:footnote w:id="75">
    <w:p w:rsidR="006A3383" w:rsidRDefault="000262D4">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Il-Kamerun, il-Kosta tal-Avorju, il-Ghana, u l-pajjiżi FSE SADC huma l-Botswana, il-Lesoto, il-Mozambique, in-Namibja, l-Afrika t’Isfel u s-Swaziland.</w:t>
      </w:r>
    </w:p>
  </w:footnote>
  <w:footnote w:id="76">
    <w:p w:rsidR="006A3383" w:rsidRDefault="000262D4">
      <w:pPr>
        <w:pStyle w:val="FootnoteText"/>
        <w:rPr>
          <w:rFonts w:ascii="Arial" w:hAnsi="Arial" w:cs="Arial"/>
          <w:sz w:val="18"/>
          <w:szCs w:val="18"/>
        </w:rPr>
      </w:pPr>
      <w:r>
        <w:rPr>
          <w:rStyle w:val="FootnoteReference"/>
          <w:rFonts w:ascii="Arial" w:hAnsi="Arial"/>
          <w:sz w:val="18"/>
        </w:rPr>
        <w:footnoteRef/>
      </w:r>
      <w:r>
        <w:rPr>
          <w:rFonts w:ascii="Arial" w:hAnsi="Arial"/>
          <w:sz w:val="18"/>
        </w:rPr>
        <w:t xml:space="preserve"> </w:t>
      </w:r>
      <w:r>
        <w:rPr>
          <w:rFonts w:ascii="Times New Roman" w:hAnsi="Times New Roman"/>
          <w:sz w:val="18"/>
        </w:rPr>
        <w:t>Dokument informali tas-servizz tal-Kummissjoni. Disponibbli f’:</w:t>
      </w:r>
      <w:r>
        <w:rPr>
          <w:rFonts w:ascii="Arial" w:hAnsi="Arial"/>
          <w:sz w:val="18"/>
        </w:rPr>
        <w:t xml:space="preserve"> </w:t>
      </w:r>
      <w:hyperlink r:id="rId25">
        <w:r>
          <w:rPr>
            <w:rFonts w:ascii="Times New Roman" w:hAnsi="Times New Roman"/>
            <w:sz w:val="18"/>
          </w:rPr>
          <w:t>http://trade.ec.europa.eu/doclib/docs/2018/february/tradoc_156618.pdf</w:t>
        </w:r>
      </w:hyperlink>
      <w:r>
        <w:rPr>
          <w:rFonts w:ascii="Times New Roman" w:hAnsi="Times New Roman"/>
          <w:sz w:val="18"/>
        </w:rPr>
        <w:t>.</w:t>
      </w:r>
      <w:r>
        <w:rPr>
          <w:rFonts w:ascii="Arial" w:hAnsi="Arial"/>
          <w:sz w:val="18"/>
        </w:rPr>
        <w:t xml:space="preserve"> </w:t>
      </w:r>
    </w:p>
  </w:footnote>
  <w:footnote w:id="77">
    <w:p w:rsidR="006A3383" w:rsidRDefault="000262D4">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Il-progress huwa deskritt fir-rapport tal-UE dwar il-koerenza tal-politika għall-iżvilupp tal-2019, ippubblikat flimkien ma’ dan id-Dokument ta’ Riflessjoni: Id-Dokument ta' Ħidma tal-Persunal tal-Kummissjoni (2019)20.</w:t>
      </w:r>
    </w:p>
  </w:footnote>
  <w:footnote w:id="78">
    <w:p w:rsidR="006A3383" w:rsidRDefault="000262D4">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vertAlign w:val="superscript"/>
        </w:rPr>
        <w:footnoteRef/>
      </w:r>
      <w:r>
        <w:rPr>
          <w:rStyle w:val="Funotenzeichen"/>
          <w:rFonts w:ascii="Times New Roman" w:hAnsi="Times New Roman"/>
          <w:sz w:val="18"/>
        </w:rPr>
        <w:t xml:space="preserve"> </w:t>
      </w:r>
      <w:r>
        <w:rPr>
          <w:rFonts w:ascii="Times New Roman" w:hAnsi="Times New Roman"/>
          <w:sz w:val="18"/>
        </w:rPr>
        <w:t>COM(2018) 703 finali.</w:t>
      </w:r>
      <w:r>
        <w:rPr>
          <w:rFonts w:ascii="Times New Roman" w:hAnsi="Times New Roman"/>
          <w:sz w:val="24"/>
        </w:rPr>
        <w:t xml:space="preserve"> </w:t>
      </w:r>
      <w:r>
        <w:rPr>
          <w:rStyle w:val="Funotenzeichen"/>
          <w:rFonts w:ascii="Times New Roman" w:hAnsi="Times New Roman"/>
          <w:sz w:val="18"/>
        </w:rPr>
        <w:t xml:space="preserve">Disponibbli f’: </w:t>
      </w:r>
      <w:hyperlink r:id="rId26">
        <w:r>
          <w:rPr>
            <w:rStyle w:val="Hyperlink"/>
            <w:rFonts w:ascii="Times New Roman" w:hAnsi="Times New Roman"/>
            <w:sz w:val="18"/>
          </w:rPr>
          <w:t>https://ec.europa.eu/info/sites/info/files/communication-principles-subsidiarity-proportionality-strengthening-role-policymaking_mt.pdf</w:t>
        </w:r>
      </w:hyperlink>
      <w:r>
        <w:rPr>
          <w:rStyle w:val="Funotenzeichen"/>
          <w:rFonts w:ascii="Times New Roman" w:hAnsi="Times New Roman"/>
          <w:sz w:val="18"/>
        </w:rPr>
        <w:t xml:space="preserve"> u </w:t>
      </w:r>
      <w:hyperlink r:id="rId27">
        <w:r>
          <w:rPr>
            <w:rStyle w:val="Hyperlink"/>
            <w:rFonts w:ascii="Times New Roman" w:hAnsi="Times New Roman"/>
            <w:sz w:val="18"/>
          </w:rPr>
          <w:t xml:space="preserve">https://ec.europa.eu/commission/priorities/democratic-change/better-regulation/task-force-subsidiarity-proportionality-and-doing-less-more-efficiently_mt. </w:t>
        </w:r>
      </w:hyperlink>
    </w:p>
  </w:footnote>
  <w:footnote w:id="79">
    <w:p w:rsidR="006A3383" w:rsidRDefault="000262D4">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rPr>
        <w:footnoteRef/>
      </w:r>
      <w:r>
        <w:rPr>
          <w:rFonts w:ascii="Times New Roman" w:hAnsi="Times New Roman"/>
          <w:sz w:val="18"/>
        </w:rPr>
        <w:t xml:space="preserve"> Disponibbli f’: </w:t>
      </w:r>
      <w:hyperlink r:id="rId28">
        <w:r>
          <w:rPr>
            <w:rStyle w:val="Hyperlink"/>
            <w:rFonts w:ascii="Times New Roman" w:hAnsi="Times New Roman"/>
            <w:sz w:val="18"/>
          </w:rPr>
          <w:t>https://ec.europa.eu/info/strategy/international-strategies/global-topics/sustainable-development-goals/multi-stakeholder-platform-sdgs_en</w:t>
        </w:r>
      </w:hyperlink>
      <w:r>
        <w:rPr>
          <w:rStyle w:val="Hyperlink"/>
          <w:rFonts w:ascii="Times New Roman" w:hAnsi="Times New Roman"/>
          <w:sz w:val="18"/>
        </w:rPr>
        <w:t>.</w:t>
      </w:r>
      <w:r>
        <w:rPr>
          <w:rFonts w:ascii="Times New Roman" w:hAnsi="Times New Roman"/>
          <w:sz w:val="18"/>
        </w:rPr>
        <w:t xml:space="preserve"> </w:t>
      </w:r>
    </w:p>
  </w:footnote>
  <w:footnote w:id="80">
    <w:p w:rsidR="006A3383" w:rsidRDefault="000262D4">
      <w:pPr>
        <w:pStyle w:val="FootnoteText"/>
        <w:rPr>
          <w:lang w:val="et-EE"/>
        </w:rPr>
      </w:pPr>
      <w:r>
        <w:rPr>
          <w:rStyle w:val="FootnoteReference"/>
        </w:rPr>
        <w:footnoteRef/>
      </w:r>
      <w:r>
        <w:t xml:space="preserve"> </w:t>
      </w:r>
      <w:r>
        <w:rPr>
          <w:rFonts w:ascii="Times New Roman" w:hAnsi="Times New Roman"/>
          <w:sz w:val="18"/>
        </w:rPr>
        <w:t>B’aktar minn EUR 37 biljun ingranati mill-bidu tagħha f’Settembru 2017, tinsab fit-triq it-tajba biex tingrana l-objettiv tal-2020 ta’ EUR 44 biljun ta’ investimenti għall-iżvilupp sostenibbli sal-2020.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D4" w:rsidRPr="000262D4" w:rsidRDefault="000262D4" w:rsidP="000262D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D4" w:rsidRPr="000262D4" w:rsidRDefault="000262D4" w:rsidP="000262D4">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2D4" w:rsidRPr="000262D4" w:rsidRDefault="000262D4" w:rsidP="000262D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383" w:rsidRDefault="006A3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56828FF"/>
    <w:multiLevelType w:val="hybridMultilevel"/>
    <w:tmpl w:val="6874C3E6"/>
    <w:lvl w:ilvl="0" w:tplc="1C44C978">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495604"/>
    <w:multiLevelType w:val="multilevel"/>
    <w:tmpl w:val="D9A2BAF6"/>
    <w:name w:val="Points"/>
    <w:lvl w:ilvl="0">
      <w:start w:val="1"/>
      <w:numFmt w:val="decimal"/>
      <w:pStyle w:val="Point123"/>
      <w:lvlText w:val="%1."/>
      <w:lvlJc w:val="left"/>
      <w:pPr>
        <w:tabs>
          <w:tab w:val="num" w:pos="567"/>
        </w:tabs>
        <w:ind w:left="567" w:hanging="567"/>
      </w:pPr>
      <w:rPr>
        <w:i w:val="0"/>
        <w:iCs w:val="0"/>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3"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073D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3C78B8"/>
    <w:multiLevelType w:val="multilevel"/>
    <w:tmpl w:val="69822B1A"/>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bullet"/>
      <w:pStyle w:val="Point2number"/>
      <w:lvlText w:val=""/>
      <w:lvlJc w:val="left"/>
      <w:pPr>
        <w:tabs>
          <w:tab w:val="num" w:pos="2127"/>
        </w:tabs>
        <w:ind w:left="2127" w:hanging="567"/>
      </w:pPr>
      <w:rPr>
        <w:rFonts w:ascii="Symbol" w:hAnsi="Symbol" w:hint="default"/>
      </w:r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25711C91"/>
    <w:multiLevelType w:val="hybridMultilevel"/>
    <w:tmpl w:val="7F2E7A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636BD"/>
    <w:multiLevelType w:val="hybridMultilevel"/>
    <w:tmpl w:val="79704C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D2B08B5"/>
    <w:multiLevelType w:val="hybridMultilevel"/>
    <w:tmpl w:val="C194DC5C"/>
    <w:lvl w:ilvl="0" w:tplc="DB3E55B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922FE"/>
    <w:multiLevelType w:val="hybridMultilevel"/>
    <w:tmpl w:val="5BA2DBF6"/>
    <w:lvl w:ilvl="0" w:tplc="706669E2">
      <w:start w:val="1"/>
      <w:numFmt w:val="bullet"/>
      <w:lvlText w:val="+"/>
      <w:lvlJc w:val="left"/>
      <w:pPr>
        <w:ind w:left="502" w:hanging="360"/>
      </w:pPr>
      <w:rPr>
        <w:rFonts w:ascii="Symbol" w:hAnsi="Symbol" w:hint="default"/>
      </w:rPr>
    </w:lvl>
    <w:lvl w:ilvl="1" w:tplc="E6BE864C">
      <w:numFmt w:val="bullet"/>
      <w:lvlText w:val="-"/>
      <w:lvlJc w:val="left"/>
      <w:pPr>
        <w:ind w:left="862" w:hanging="360"/>
      </w:pPr>
      <w:rPr>
        <w:rFonts w:ascii="Times New Roman" w:eastAsiaTheme="minorHAnsi" w:hAnsi="Times New Roman" w:cs="Times New Roman"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0" w15:restartNumberingAfterBreak="0">
    <w:nsid w:val="32A75C7D"/>
    <w:multiLevelType w:val="multilevel"/>
    <w:tmpl w:val="040C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1E459F"/>
    <w:multiLevelType w:val="hybridMultilevel"/>
    <w:tmpl w:val="63784F18"/>
    <w:lvl w:ilvl="0" w:tplc="F7B21E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296594"/>
    <w:multiLevelType w:val="hybridMultilevel"/>
    <w:tmpl w:val="9CACF41C"/>
    <w:lvl w:ilvl="0" w:tplc="0809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46629E"/>
    <w:multiLevelType w:val="hybridMultilevel"/>
    <w:tmpl w:val="ADE233A4"/>
    <w:lvl w:ilvl="0" w:tplc="F7B21E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C31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081862"/>
    <w:multiLevelType w:val="hybridMultilevel"/>
    <w:tmpl w:val="54DABC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7142D"/>
    <w:multiLevelType w:val="hybridMultilevel"/>
    <w:tmpl w:val="908813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BD22F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25B67FE"/>
    <w:multiLevelType w:val="hybridMultilevel"/>
    <w:tmpl w:val="5CEC2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9428BC"/>
    <w:multiLevelType w:val="hybridMultilevel"/>
    <w:tmpl w:val="F8427E1C"/>
    <w:lvl w:ilvl="0" w:tplc="08090001">
      <w:start w:val="1"/>
      <w:numFmt w:val="bullet"/>
      <w:lvlText w:val=""/>
      <w:lvlJc w:val="left"/>
      <w:pPr>
        <w:ind w:left="-1701" w:hanging="360"/>
      </w:pPr>
      <w:rPr>
        <w:rFonts w:ascii="Symbol" w:hAnsi="Symbol" w:hint="default"/>
      </w:rPr>
    </w:lvl>
    <w:lvl w:ilvl="1" w:tplc="08090003">
      <w:start w:val="1"/>
      <w:numFmt w:val="bullet"/>
      <w:lvlText w:val="o"/>
      <w:lvlJc w:val="left"/>
      <w:pPr>
        <w:ind w:left="-981" w:hanging="360"/>
      </w:pPr>
      <w:rPr>
        <w:rFonts w:ascii="Courier New" w:hAnsi="Courier New" w:cs="Courier New" w:hint="default"/>
      </w:rPr>
    </w:lvl>
    <w:lvl w:ilvl="2" w:tplc="08090005">
      <w:start w:val="1"/>
      <w:numFmt w:val="bullet"/>
      <w:lvlText w:val=""/>
      <w:lvlJc w:val="left"/>
      <w:pPr>
        <w:ind w:left="-261" w:hanging="360"/>
      </w:pPr>
      <w:rPr>
        <w:rFonts w:ascii="Wingdings" w:hAnsi="Wingdings" w:hint="default"/>
      </w:rPr>
    </w:lvl>
    <w:lvl w:ilvl="3" w:tplc="08090001">
      <w:start w:val="1"/>
      <w:numFmt w:val="bullet"/>
      <w:lvlText w:val=""/>
      <w:lvlJc w:val="left"/>
      <w:pPr>
        <w:ind w:left="459" w:hanging="360"/>
      </w:pPr>
      <w:rPr>
        <w:rFonts w:ascii="Symbol" w:hAnsi="Symbol" w:hint="default"/>
      </w:rPr>
    </w:lvl>
    <w:lvl w:ilvl="4" w:tplc="08090003">
      <w:start w:val="1"/>
      <w:numFmt w:val="bullet"/>
      <w:lvlText w:val="o"/>
      <w:lvlJc w:val="left"/>
      <w:pPr>
        <w:ind w:left="1179" w:hanging="360"/>
      </w:pPr>
      <w:rPr>
        <w:rFonts w:ascii="Courier New" w:hAnsi="Courier New" w:cs="Courier New" w:hint="default"/>
      </w:rPr>
    </w:lvl>
    <w:lvl w:ilvl="5" w:tplc="08090005">
      <w:start w:val="1"/>
      <w:numFmt w:val="bullet"/>
      <w:lvlText w:val=""/>
      <w:lvlJc w:val="left"/>
      <w:pPr>
        <w:ind w:left="1899" w:hanging="360"/>
      </w:pPr>
      <w:rPr>
        <w:rFonts w:ascii="Wingdings" w:hAnsi="Wingdings" w:hint="default"/>
      </w:rPr>
    </w:lvl>
    <w:lvl w:ilvl="6" w:tplc="08090001">
      <w:start w:val="1"/>
      <w:numFmt w:val="bullet"/>
      <w:lvlText w:val=""/>
      <w:lvlJc w:val="left"/>
      <w:pPr>
        <w:ind w:left="2619" w:hanging="360"/>
      </w:pPr>
      <w:rPr>
        <w:rFonts w:ascii="Symbol" w:hAnsi="Symbol" w:hint="default"/>
      </w:rPr>
    </w:lvl>
    <w:lvl w:ilvl="7" w:tplc="08090003">
      <w:start w:val="1"/>
      <w:numFmt w:val="bullet"/>
      <w:lvlText w:val="o"/>
      <w:lvlJc w:val="left"/>
      <w:pPr>
        <w:ind w:left="3339" w:hanging="360"/>
      </w:pPr>
      <w:rPr>
        <w:rFonts w:ascii="Courier New" w:hAnsi="Courier New" w:cs="Courier New" w:hint="default"/>
      </w:rPr>
    </w:lvl>
    <w:lvl w:ilvl="8" w:tplc="08090005">
      <w:start w:val="1"/>
      <w:numFmt w:val="bullet"/>
      <w:lvlText w:val=""/>
      <w:lvlJc w:val="left"/>
      <w:pPr>
        <w:ind w:left="4059" w:hanging="360"/>
      </w:pPr>
      <w:rPr>
        <w:rFonts w:ascii="Wingdings" w:hAnsi="Wingdings" w:hint="default"/>
      </w:rPr>
    </w:lvl>
  </w:abstractNum>
  <w:num w:numId="1">
    <w:abstractNumId w:val="16"/>
  </w:num>
  <w:num w:numId="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3"/>
  </w:num>
  <w:num w:numId="6">
    <w:abstractNumId w:val="7"/>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19"/>
  </w:num>
  <w:num w:numId="12">
    <w:abstractNumId w:val="12"/>
  </w:num>
  <w:num w:numId="13">
    <w:abstractNumId w:val="1"/>
  </w:num>
  <w:num w:numId="14">
    <w:abstractNumId w:val="4"/>
  </w:num>
  <w:num w:numId="15">
    <w:abstractNumId w:val="10"/>
  </w:num>
  <w:num w:numId="16">
    <w:abstractNumId w:val="4"/>
  </w:num>
  <w:num w:numId="17">
    <w:abstractNumId w:val="17"/>
  </w:num>
  <w:num w:numId="18">
    <w:abstractNumId w:val="1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8"/>
  </w:num>
  <w:num w:numId="34">
    <w:abstractNumId w:val="4"/>
  </w:num>
  <w:num w:numId="35">
    <w:abstractNumId w:val="4"/>
  </w:num>
  <w:num w:numId="36">
    <w:abstractNumId w:val="4"/>
  </w:num>
  <w:num w:numId="37">
    <w:abstractNumId w:val="4"/>
  </w:num>
  <w:num w:numId="38">
    <w:abstractNumId w:val="4"/>
  </w:num>
  <w:num w:numId="3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hideSpellingErrors/>
  <w:hideGrammaticalErrors/>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3505DE2-E389-424F-9C70-8FD6A69D6DA1"/>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ussell, "/>
    <w:docVar w:name="LW_EMISSION_SUFFIX" w:val=" "/>
    <w:docVar w:name="LW_ID_DOCTYPE_NONLW" w:val="CP-035"/>
    <w:docVar w:name="LW_LANGUE" w:val="MT"/>
    <w:docVar w:name="LW_LEVEL_OF_SENSITIVITY" w:val="Standard treatment"/>
    <w:docVar w:name="LW_NOM.INST" w:val="IL-KUMMISSJONI EWROPEA"/>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ejn Ewropa Sostenibbli sal-2030"/>
    <w:docVar w:name="LW_TYPE.DOC.CP" w:val="Dokument ta' Riflessjoni"/>
  </w:docVars>
  <w:rsids>
    <w:rsidRoot w:val="006A3383"/>
    <w:rsid w:val="000262D4"/>
    <w:rsid w:val="002705AE"/>
    <w:rsid w:val="006A338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t-MT" w:eastAsia="mt-MT" w:bidi="mt-MT"/>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u w:val="single"/>
    </w:r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Footnote TextCSR,ft,Footnote,Fußnote,o,5_G"/>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Footnote TextCSR Char,ft Char"/>
    <w:basedOn w:val="DefaultParagraphFont"/>
    <w:link w:val="FootnoteText"/>
    <w:uiPriority w:val="99"/>
    <w:rPr>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ftref"/>
    <w:basedOn w:val="DefaultParagraphFont"/>
    <w:uiPriority w:val="99"/>
    <w:unhideWhenUsed/>
    <w:qFormat/>
    <w:rPr>
      <w:vertAlign w:val="superscript"/>
    </w:rPr>
  </w:style>
  <w:style w:type="character" w:customStyle="1" w:styleId="reference-text">
    <w:name w:val="reference-text"/>
    <w:basedOn w:val="DefaultParagraphFont"/>
  </w:style>
  <w:style w:type="paragraph" w:customStyle="1" w:styleId="t-body-text">
    <w:name w:val="t-body-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ilfuvd">
    <w:name w:val="ilfuvd"/>
    <w:basedOn w:val="DefaultParagraphFont"/>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paragraph" w:customStyle="1" w:styleId="SUPERSChar">
    <w:name w:val="SUPERS Char"/>
    <w:basedOn w:val="Normal"/>
    <w:uiPriority w:val="99"/>
    <w:pPr>
      <w:spacing w:after="0" w:line="240" w:lineRule="auto"/>
      <w:jc w:val="both"/>
    </w:pPr>
    <w:rPr>
      <w:vertAlign w:val="superscript"/>
    </w:rPr>
  </w:style>
  <w:style w:type="character" w:customStyle="1" w:styleId="None">
    <w:name w:val="None"/>
  </w:style>
  <w:style w:type="paragraph" w:customStyle="1" w:styleId="Default">
    <w:name w:val="Default"/>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TOCHeading">
    <w:name w:val="TOC Heading"/>
    <w:basedOn w:val="Heading1"/>
    <w:next w:val="Normal"/>
    <w:uiPriority w:val="39"/>
    <w:unhideWhenUsed/>
    <w:qFormat/>
    <w:pPr>
      <w:numPr>
        <w:numId w:val="0"/>
      </w:numPr>
      <w:outlineLvl w:val="9"/>
    </w:pPr>
  </w:style>
  <w:style w:type="paragraph" w:styleId="TOC1">
    <w:name w:val="toc 1"/>
    <w:basedOn w:val="Normal"/>
    <w:next w:val="Normal"/>
    <w:autoRedefine/>
    <w:uiPriority w:val="39"/>
    <w:unhideWhenUsed/>
    <w:pPr>
      <w:tabs>
        <w:tab w:val="left" w:pos="440"/>
        <w:tab w:val="right" w:leader="dot" w:pos="9016"/>
      </w:tabs>
      <w:spacing w:before="120" w:after="100"/>
      <w:jc w:val="both"/>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A2">
    <w:name w:val="A2"/>
    <w:uiPriority w:val="99"/>
    <w:rPr>
      <w:rFonts w:cs="EC Square Sans Pro"/>
      <w:color w:val="000000"/>
      <w:sz w:val="20"/>
      <w:szCs w:val="20"/>
    </w:rPr>
  </w:style>
  <w:style w:type="paragraph" w:customStyle="1" w:styleId="Pa1">
    <w:name w:val="Pa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1">
    <w:name w:val="A1"/>
    <w:uiPriority w:val="99"/>
    <w:rPr>
      <w:rFonts w:cs="EC Square Sans Pro"/>
      <w:color w:val="000000"/>
      <w:sz w:val="20"/>
      <w:szCs w:val="20"/>
    </w:rPr>
  </w:style>
  <w:style w:type="paragraph" w:customStyle="1" w:styleId="Pa11">
    <w:name w:val="Pa1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0">
    <w:name w:val="A0"/>
    <w:uiPriority w:val="99"/>
    <w:rPr>
      <w:rFonts w:cs="EC Square Sans Pro"/>
      <w:color w:val="000000"/>
      <w:sz w:val="26"/>
      <w:szCs w:val="26"/>
    </w:rPr>
  </w:style>
  <w:style w:type="paragraph" w:styleId="TOC2">
    <w:name w:val="toc 2"/>
    <w:basedOn w:val="Normal"/>
    <w:next w:val="Normal"/>
    <w:autoRedefine/>
    <w:uiPriority w:val="39"/>
    <w:unhideWhenUsed/>
    <w:pPr>
      <w:tabs>
        <w:tab w:val="left" w:pos="1100"/>
        <w:tab w:val="right" w:leader="dot" w:pos="9016"/>
      </w:tabs>
      <w:spacing w:before="120" w:after="120" w:line="240" w:lineRule="auto"/>
      <w:ind w:left="442"/>
    </w:p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mt-MT"/>
    </w:rPr>
  </w:style>
  <w:style w:type="paragraph" w:customStyle="1" w:styleId="Footnotesrefs">
    <w:name w:val="Footnotes refs"/>
    <w:basedOn w:val="Normal"/>
    <w:uiPriority w:val="99"/>
    <w:pPr>
      <w:spacing w:after="0" w:line="240" w:lineRule="exact"/>
    </w:pPr>
    <w:rPr>
      <w:vertAlign w:val="superscript"/>
    </w:rPr>
  </w:style>
  <w:style w:type="paragraph" w:styleId="TOC3">
    <w:name w:val="toc 3"/>
    <w:basedOn w:val="Normal"/>
    <w:next w:val="Normal"/>
    <w:autoRedefine/>
    <w:uiPriority w:val="39"/>
    <w:unhideWhenUsed/>
    <w:pPr>
      <w:spacing w:after="100"/>
      <w:ind w:left="440"/>
    </w:pPr>
  </w:style>
  <w:style w:type="character" w:customStyle="1" w:styleId="footnotereference0">
    <w:name w:val="footnotereference"/>
    <w:basedOn w:val="DefaultParagraphFont"/>
  </w:style>
  <w:style w:type="paragraph" w:customStyle="1" w:styleId="Body">
    <w:name w:val="Body"/>
    <w:pPr>
      <w:widowControl w:val="0"/>
      <w:pBdr>
        <w:top w:val="nil"/>
        <w:left w:val="nil"/>
        <w:bottom w:val="nil"/>
        <w:right w:val="nil"/>
        <w:between w:val="nil"/>
        <w:bar w:val="nil"/>
      </w:pBdr>
      <w:spacing w:after="120" w:line="240" w:lineRule="auto"/>
      <w:jc w:val="both"/>
    </w:pPr>
    <w:rPr>
      <w:rFonts w:ascii="Calibri" w:eastAsia="Calibri" w:hAnsi="Calibri" w:cs="Calibri"/>
      <w:color w:val="000000"/>
      <w:kern w:val="2"/>
      <w:sz w:val="24"/>
      <w:szCs w:val="24"/>
      <w:u w:color="000000"/>
      <w:bdr w:val="nil"/>
    </w:rPr>
  </w:style>
  <w:style w:type="paragraph" w:customStyle="1" w:styleId="Point0number">
    <w:name w:val="Point 0 (number)"/>
    <w:basedOn w:val="Normal"/>
    <w:pPr>
      <w:numPr>
        <w:numId w:val="2"/>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2"/>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2"/>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2"/>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2"/>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2"/>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2"/>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2"/>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2"/>
      </w:numPr>
      <w:spacing w:before="120" w:after="120" w:line="240" w:lineRule="auto"/>
      <w:jc w:val="both"/>
    </w:pPr>
    <w:rPr>
      <w:rFonts w:ascii="Times New Roman" w:hAnsi="Times New Roman" w:cs="Times New Roman"/>
      <w:sz w:val="24"/>
    </w:rPr>
  </w:style>
  <w:style w:type="character" w:customStyle="1" w:styleId="highlight">
    <w:name w:val="highlight"/>
    <w:basedOn w:val="DefaultParagraphFont"/>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A6">
    <w:name w:val="A6"/>
    <w:uiPriority w:val="99"/>
    <w:rPr>
      <w:rFonts w:cs="Garamond"/>
      <w:color w:val="000000"/>
      <w:sz w:val="22"/>
      <w:szCs w:val="22"/>
    </w:rPr>
  </w:style>
  <w:style w:type="paragraph" w:customStyle="1" w:styleId="Pointabc">
    <w:name w:val="Point abc"/>
    <w:basedOn w:val="Normal"/>
    <w:pPr>
      <w:numPr>
        <w:ilvl w:val="1"/>
        <w:numId w:val="8"/>
      </w:numPr>
      <w:spacing w:before="120" w:after="120" w:line="360" w:lineRule="auto"/>
    </w:pPr>
    <w:rPr>
      <w:rFonts w:ascii="Times New Roman" w:hAnsi="Times New Roman" w:cs="Times New Roman"/>
      <w:sz w:val="24"/>
      <w:szCs w:val="24"/>
    </w:rPr>
  </w:style>
  <w:style w:type="paragraph" w:customStyle="1" w:styleId="Pointabc1">
    <w:name w:val="Point abc (1)"/>
    <w:basedOn w:val="Normal"/>
    <w:pPr>
      <w:numPr>
        <w:ilvl w:val="3"/>
        <w:numId w:val="8"/>
      </w:numPr>
      <w:spacing w:before="120" w:after="120" w:line="360" w:lineRule="auto"/>
    </w:pPr>
    <w:rPr>
      <w:rFonts w:ascii="Times New Roman" w:hAnsi="Times New Roman" w:cs="Times New Roman"/>
      <w:sz w:val="24"/>
      <w:szCs w:val="24"/>
    </w:rPr>
  </w:style>
  <w:style w:type="paragraph" w:customStyle="1" w:styleId="Pointabc2">
    <w:name w:val="Point abc (2)"/>
    <w:basedOn w:val="Normal"/>
    <w:pPr>
      <w:numPr>
        <w:ilvl w:val="5"/>
        <w:numId w:val="8"/>
      </w:numPr>
      <w:spacing w:before="120" w:after="120" w:line="360" w:lineRule="auto"/>
    </w:pPr>
    <w:rPr>
      <w:rFonts w:ascii="Times New Roman" w:hAnsi="Times New Roman" w:cs="Times New Roman"/>
      <w:sz w:val="24"/>
      <w:szCs w:val="24"/>
    </w:rPr>
  </w:style>
  <w:style w:type="paragraph" w:customStyle="1" w:styleId="Pointabc3">
    <w:name w:val="Point abc (3)"/>
    <w:basedOn w:val="Normal"/>
    <w:pPr>
      <w:numPr>
        <w:ilvl w:val="7"/>
        <w:numId w:val="8"/>
      </w:numPr>
      <w:spacing w:before="120" w:after="120" w:line="360" w:lineRule="auto"/>
    </w:pPr>
    <w:rPr>
      <w:rFonts w:ascii="Times New Roman" w:hAnsi="Times New Roman" w:cs="Times New Roman"/>
      <w:sz w:val="24"/>
      <w:szCs w:val="24"/>
    </w:rPr>
  </w:style>
  <w:style w:type="paragraph" w:customStyle="1" w:styleId="Pointabc4">
    <w:name w:val="Point abc (4)"/>
    <w:basedOn w:val="Normal"/>
    <w:pPr>
      <w:numPr>
        <w:ilvl w:val="8"/>
        <w:numId w:val="8"/>
      </w:numPr>
      <w:spacing w:before="120" w:after="120" w:line="360" w:lineRule="auto"/>
    </w:pPr>
    <w:rPr>
      <w:rFonts w:ascii="Times New Roman" w:hAnsi="Times New Roman" w:cs="Times New Roman"/>
      <w:sz w:val="24"/>
      <w:szCs w:val="24"/>
    </w:rPr>
  </w:style>
  <w:style w:type="paragraph" w:customStyle="1" w:styleId="Point123">
    <w:name w:val="Point 123"/>
    <w:basedOn w:val="Normal"/>
    <w:pPr>
      <w:numPr>
        <w:numId w:val="8"/>
      </w:numPr>
      <w:spacing w:before="120" w:after="120" w:line="360" w:lineRule="auto"/>
    </w:pPr>
    <w:rPr>
      <w:rFonts w:ascii="Times New Roman" w:hAnsi="Times New Roman" w:cs="Times New Roman"/>
      <w:sz w:val="24"/>
      <w:szCs w:val="24"/>
    </w:rPr>
  </w:style>
  <w:style w:type="paragraph" w:customStyle="1" w:styleId="Point1231">
    <w:name w:val="Point 123 (1)"/>
    <w:basedOn w:val="Normal"/>
    <w:pPr>
      <w:numPr>
        <w:ilvl w:val="2"/>
        <w:numId w:val="8"/>
      </w:numPr>
      <w:spacing w:before="120" w:after="120" w:line="360" w:lineRule="auto"/>
    </w:pPr>
    <w:rPr>
      <w:rFonts w:ascii="Times New Roman" w:hAnsi="Times New Roman" w:cs="Times New Roman"/>
      <w:sz w:val="24"/>
      <w:szCs w:val="24"/>
    </w:rPr>
  </w:style>
  <w:style w:type="paragraph" w:customStyle="1" w:styleId="Point1232">
    <w:name w:val="Point 123 (2)"/>
    <w:basedOn w:val="Normal"/>
    <w:pPr>
      <w:numPr>
        <w:ilvl w:val="4"/>
        <w:numId w:val="8"/>
      </w:numPr>
      <w:spacing w:before="120" w:after="120" w:line="360" w:lineRule="auto"/>
    </w:pPr>
    <w:rPr>
      <w:rFonts w:ascii="Times New Roman" w:hAnsi="Times New Roman" w:cs="Times New Roman"/>
      <w:sz w:val="24"/>
      <w:szCs w:val="24"/>
    </w:rPr>
  </w:style>
  <w:style w:type="paragraph" w:customStyle="1" w:styleId="Point1233">
    <w:name w:val="Point 123 (3)"/>
    <w:basedOn w:val="Normal"/>
    <w:pPr>
      <w:numPr>
        <w:ilvl w:val="6"/>
        <w:numId w:val="8"/>
      </w:numPr>
      <w:spacing w:before="120" w:after="120" w:line="360" w:lineRule="auto"/>
    </w:pPr>
    <w:rPr>
      <w:rFonts w:ascii="Times New Roman" w:hAnsi="Times New Roman" w:cs="Times New Roman"/>
      <w:sz w:val="24"/>
      <w:szCs w:val="24"/>
    </w:rPr>
  </w:style>
  <w:style w:type="paragraph" w:customStyle="1" w:styleId="Briefinglist1">
    <w:name w:val="Briefing list 1"/>
    <w:basedOn w:val="Normal"/>
    <w:link w:val="Briefinglist1Char"/>
    <w:qFormat/>
    <w:locked/>
    <w:pPr>
      <w:keepLines/>
      <w:numPr>
        <w:numId w:val="9"/>
      </w:numPr>
      <w:spacing w:after="120" w:line="240" w:lineRule="auto"/>
      <w:jc w:val="both"/>
    </w:pPr>
    <w:rPr>
      <w:rFonts w:ascii="Arial" w:eastAsia="Times New Roman" w:hAnsi="Arial" w:cs="Arial"/>
      <w:szCs w:val="24"/>
    </w:rPr>
  </w:style>
  <w:style w:type="character" w:customStyle="1" w:styleId="Briefinglist1Char">
    <w:name w:val="Briefing list 1 Char"/>
    <w:link w:val="Briefinglist1"/>
    <w:locked/>
    <w:rPr>
      <w:rFonts w:ascii="Arial" w:eastAsia="Times New Roman" w:hAnsi="Arial" w:cs="Arial"/>
      <w:szCs w:val="24"/>
    </w:rPr>
  </w:style>
  <w:style w:type="character" w:customStyle="1" w:styleId="st1">
    <w:name w:val="st1"/>
    <w:basedOn w:val="DefaultParagraphFont"/>
  </w:style>
  <w:style w:type="paragraph" w:customStyle="1" w:styleId="p1">
    <w:name w:val="p1"/>
    <w:basedOn w:val="Normal"/>
    <w:pPr>
      <w:spacing w:after="0" w:line="240" w:lineRule="auto"/>
    </w:pPr>
    <w:rPr>
      <w:rFonts w:ascii="Times New Roman" w:hAnsi="Times New Roman" w:cs="Times New Roman"/>
      <w:sz w:val="17"/>
      <w:szCs w:val="17"/>
    </w:rPr>
  </w:style>
  <w:style w:type="character" w:customStyle="1" w:styleId="Funotenzeichen">
    <w:name w:val="Fußnotenzeichen"/>
  </w:style>
  <w:style w:type="character" w:styleId="SubtleEmphasis">
    <w:name w:val="Subtle Emphasis"/>
    <w:basedOn w:val="DefaultParagraphFont"/>
    <w:uiPriority w:val="19"/>
    <w:qFormat/>
    <w:rPr>
      <w:i/>
      <w:iCs/>
      <w:color w:val="404040" w:themeColor="text1" w:themeTint="BF"/>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customStyle="1" w:styleId="apple-converted-space">
    <w:name w:val="apple-converted-space"/>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numbering" w:customStyle="1" w:styleId="Style1">
    <w:name w:val="Style1"/>
    <w:uiPriority w:val="99"/>
    <w:pPr>
      <w:numPr>
        <w:numId w:val="15"/>
      </w:numPr>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customStyle="1" w:styleId="Bodytext2">
    <w:name w:val="Body text (2)"/>
    <w:basedOn w:val="DefaultParagraphFont"/>
    <w:rPr>
      <w:rFonts w:ascii="Times New Roman" w:eastAsia="Times New Roman" w:hAnsi="Times New Roman" w:cs="Times New Roman" w:hint="default"/>
      <w:b w:val="0"/>
      <w:bCs w:val="0"/>
      <w:i w:val="0"/>
      <w:iCs w:val="0"/>
      <w:smallCaps w:val="0"/>
      <w:strike w:val="0"/>
      <w:dstrike w:val="0"/>
      <w:color w:val="4B4C4D"/>
      <w:spacing w:val="0"/>
      <w:w w:val="100"/>
      <w:position w:val="0"/>
      <w:sz w:val="20"/>
      <w:szCs w:val="20"/>
      <w:u w:val="none"/>
      <w:effect w:val="none"/>
      <w:lang w:val="mt-MT" w:eastAsia="mt-MT" w:bidi="mt-MT"/>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9856">
      <w:bodyDiv w:val="1"/>
      <w:marLeft w:val="0"/>
      <w:marRight w:val="0"/>
      <w:marTop w:val="0"/>
      <w:marBottom w:val="0"/>
      <w:divBdr>
        <w:top w:val="none" w:sz="0" w:space="0" w:color="auto"/>
        <w:left w:val="none" w:sz="0" w:space="0" w:color="auto"/>
        <w:bottom w:val="none" w:sz="0" w:space="0" w:color="auto"/>
        <w:right w:val="none" w:sz="0" w:space="0" w:color="auto"/>
      </w:divBdr>
      <w:divsChild>
        <w:div w:id="1517890503">
          <w:marLeft w:val="0"/>
          <w:marRight w:val="0"/>
          <w:marTop w:val="0"/>
          <w:marBottom w:val="0"/>
          <w:divBdr>
            <w:top w:val="none" w:sz="0" w:space="0" w:color="auto"/>
            <w:left w:val="none" w:sz="0" w:space="0" w:color="auto"/>
            <w:bottom w:val="none" w:sz="0" w:space="0" w:color="auto"/>
            <w:right w:val="none" w:sz="0" w:space="0" w:color="auto"/>
          </w:divBdr>
        </w:div>
        <w:div w:id="94986296">
          <w:marLeft w:val="0"/>
          <w:marRight w:val="0"/>
          <w:marTop w:val="0"/>
          <w:marBottom w:val="0"/>
          <w:divBdr>
            <w:top w:val="none" w:sz="0" w:space="0" w:color="auto"/>
            <w:left w:val="none" w:sz="0" w:space="0" w:color="auto"/>
            <w:bottom w:val="none" w:sz="0" w:space="0" w:color="auto"/>
            <w:right w:val="none" w:sz="0" w:space="0" w:color="auto"/>
          </w:divBdr>
        </w:div>
        <w:div w:id="1723554900">
          <w:marLeft w:val="0"/>
          <w:marRight w:val="0"/>
          <w:marTop w:val="0"/>
          <w:marBottom w:val="0"/>
          <w:divBdr>
            <w:top w:val="none" w:sz="0" w:space="0" w:color="auto"/>
            <w:left w:val="none" w:sz="0" w:space="0" w:color="auto"/>
            <w:bottom w:val="none" w:sz="0" w:space="0" w:color="auto"/>
            <w:right w:val="none" w:sz="0" w:space="0" w:color="auto"/>
          </w:divBdr>
        </w:div>
        <w:div w:id="353575927">
          <w:marLeft w:val="0"/>
          <w:marRight w:val="0"/>
          <w:marTop w:val="0"/>
          <w:marBottom w:val="0"/>
          <w:divBdr>
            <w:top w:val="none" w:sz="0" w:space="0" w:color="auto"/>
            <w:left w:val="none" w:sz="0" w:space="0" w:color="auto"/>
            <w:bottom w:val="none" w:sz="0" w:space="0" w:color="auto"/>
            <w:right w:val="none" w:sz="0" w:space="0" w:color="auto"/>
          </w:divBdr>
        </w:div>
        <w:div w:id="1198659721">
          <w:marLeft w:val="0"/>
          <w:marRight w:val="0"/>
          <w:marTop w:val="0"/>
          <w:marBottom w:val="0"/>
          <w:divBdr>
            <w:top w:val="none" w:sz="0" w:space="0" w:color="auto"/>
            <w:left w:val="none" w:sz="0" w:space="0" w:color="auto"/>
            <w:bottom w:val="none" w:sz="0" w:space="0" w:color="auto"/>
            <w:right w:val="none" w:sz="0" w:space="0" w:color="auto"/>
          </w:divBdr>
        </w:div>
        <w:div w:id="1416052767">
          <w:marLeft w:val="0"/>
          <w:marRight w:val="0"/>
          <w:marTop w:val="0"/>
          <w:marBottom w:val="0"/>
          <w:divBdr>
            <w:top w:val="none" w:sz="0" w:space="0" w:color="auto"/>
            <w:left w:val="none" w:sz="0" w:space="0" w:color="auto"/>
            <w:bottom w:val="none" w:sz="0" w:space="0" w:color="auto"/>
            <w:right w:val="none" w:sz="0" w:space="0" w:color="auto"/>
          </w:divBdr>
        </w:div>
      </w:divsChild>
    </w:div>
    <w:div w:id="70203729">
      <w:bodyDiv w:val="1"/>
      <w:marLeft w:val="0"/>
      <w:marRight w:val="0"/>
      <w:marTop w:val="0"/>
      <w:marBottom w:val="0"/>
      <w:divBdr>
        <w:top w:val="none" w:sz="0" w:space="0" w:color="auto"/>
        <w:left w:val="none" w:sz="0" w:space="0" w:color="auto"/>
        <w:bottom w:val="none" w:sz="0" w:space="0" w:color="auto"/>
        <w:right w:val="none" w:sz="0" w:space="0" w:color="auto"/>
      </w:divBdr>
    </w:div>
    <w:div w:id="79569246">
      <w:bodyDiv w:val="1"/>
      <w:marLeft w:val="0"/>
      <w:marRight w:val="0"/>
      <w:marTop w:val="0"/>
      <w:marBottom w:val="0"/>
      <w:divBdr>
        <w:top w:val="none" w:sz="0" w:space="0" w:color="auto"/>
        <w:left w:val="none" w:sz="0" w:space="0" w:color="auto"/>
        <w:bottom w:val="none" w:sz="0" w:space="0" w:color="auto"/>
        <w:right w:val="none" w:sz="0" w:space="0" w:color="auto"/>
      </w:divBdr>
      <w:divsChild>
        <w:div w:id="1788426890">
          <w:marLeft w:val="0"/>
          <w:marRight w:val="0"/>
          <w:marTop w:val="0"/>
          <w:marBottom w:val="0"/>
          <w:divBdr>
            <w:top w:val="none" w:sz="0" w:space="0" w:color="auto"/>
            <w:left w:val="none" w:sz="0" w:space="0" w:color="auto"/>
            <w:bottom w:val="none" w:sz="0" w:space="0" w:color="auto"/>
            <w:right w:val="none" w:sz="0" w:space="0" w:color="auto"/>
          </w:divBdr>
        </w:div>
        <w:div w:id="1552377440">
          <w:marLeft w:val="0"/>
          <w:marRight w:val="0"/>
          <w:marTop w:val="0"/>
          <w:marBottom w:val="0"/>
          <w:divBdr>
            <w:top w:val="none" w:sz="0" w:space="0" w:color="auto"/>
            <w:left w:val="none" w:sz="0" w:space="0" w:color="auto"/>
            <w:bottom w:val="none" w:sz="0" w:space="0" w:color="auto"/>
            <w:right w:val="none" w:sz="0" w:space="0" w:color="auto"/>
          </w:divBdr>
        </w:div>
        <w:div w:id="112020268">
          <w:marLeft w:val="0"/>
          <w:marRight w:val="0"/>
          <w:marTop w:val="0"/>
          <w:marBottom w:val="0"/>
          <w:divBdr>
            <w:top w:val="none" w:sz="0" w:space="0" w:color="auto"/>
            <w:left w:val="none" w:sz="0" w:space="0" w:color="auto"/>
            <w:bottom w:val="none" w:sz="0" w:space="0" w:color="auto"/>
            <w:right w:val="none" w:sz="0" w:space="0" w:color="auto"/>
          </w:divBdr>
        </w:div>
        <w:div w:id="1764111534">
          <w:marLeft w:val="0"/>
          <w:marRight w:val="0"/>
          <w:marTop w:val="0"/>
          <w:marBottom w:val="0"/>
          <w:divBdr>
            <w:top w:val="none" w:sz="0" w:space="0" w:color="auto"/>
            <w:left w:val="none" w:sz="0" w:space="0" w:color="auto"/>
            <w:bottom w:val="none" w:sz="0" w:space="0" w:color="auto"/>
            <w:right w:val="none" w:sz="0" w:space="0" w:color="auto"/>
          </w:divBdr>
        </w:div>
        <w:div w:id="54494862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463929937">
          <w:marLeft w:val="0"/>
          <w:marRight w:val="0"/>
          <w:marTop w:val="0"/>
          <w:marBottom w:val="0"/>
          <w:divBdr>
            <w:top w:val="none" w:sz="0" w:space="0" w:color="auto"/>
            <w:left w:val="none" w:sz="0" w:space="0" w:color="auto"/>
            <w:bottom w:val="none" w:sz="0" w:space="0" w:color="auto"/>
            <w:right w:val="none" w:sz="0" w:space="0" w:color="auto"/>
          </w:divBdr>
        </w:div>
        <w:div w:id="1887640602">
          <w:marLeft w:val="0"/>
          <w:marRight w:val="0"/>
          <w:marTop w:val="0"/>
          <w:marBottom w:val="0"/>
          <w:divBdr>
            <w:top w:val="none" w:sz="0" w:space="0" w:color="auto"/>
            <w:left w:val="none" w:sz="0" w:space="0" w:color="auto"/>
            <w:bottom w:val="none" w:sz="0" w:space="0" w:color="auto"/>
            <w:right w:val="none" w:sz="0" w:space="0" w:color="auto"/>
          </w:divBdr>
        </w:div>
        <w:div w:id="606234735">
          <w:marLeft w:val="0"/>
          <w:marRight w:val="0"/>
          <w:marTop w:val="0"/>
          <w:marBottom w:val="0"/>
          <w:divBdr>
            <w:top w:val="none" w:sz="0" w:space="0" w:color="auto"/>
            <w:left w:val="none" w:sz="0" w:space="0" w:color="auto"/>
            <w:bottom w:val="none" w:sz="0" w:space="0" w:color="auto"/>
            <w:right w:val="none" w:sz="0" w:space="0" w:color="auto"/>
          </w:divBdr>
        </w:div>
        <w:div w:id="561647277">
          <w:marLeft w:val="0"/>
          <w:marRight w:val="0"/>
          <w:marTop w:val="0"/>
          <w:marBottom w:val="0"/>
          <w:divBdr>
            <w:top w:val="none" w:sz="0" w:space="0" w:color="auto"/>
            <w:left w:val="none" w:sz="0" w:space="0" w:color="auto"/>
            <w:bottom w:val="none" w:sz="0" w:space="0" w:color="auto"/>
            <w:right w:val="none" w:sz="0" w:space="0" w:color="auto"/>
          </w:divBdr>
        </w:div>
        <w:div w:id="320934330">
          <w:marLeft w:val="0"/>
          <w:marRight w:val="0"/>
          <w:marTop w:val="0"/>
          <w:marBottom w:val="0"/>
          <w:divBdr>
            <w:top w:val="none" w:sz="0" w:space="0" w:color="auto"/>
            <w:left w:val="none" w:sz="0" w:space="0" w:color="auto"/>
            <w:bottom w:val="none" w:sz="0" w:space="0" w:color="auto"/>
            <w:right w:val="none" w:sz="0" w:space="0" w:color="auto"/>
          </w:divBdr>
        </w:div>
        <w:div w:id="404887136">
          <w:marLeft w:val="0"/>
          <w:marRight w:val="0"/>
          <w:marTop w:val="0"/>
          <w:marBottom w:val="0"/>
          <w:divBdr>
            <w:top w:val="none" w:sz="0" w:space="0" w:color="auto"/>
            <w:left w:val="none" w:sz="0" w:space="0" w:color="auto"/>
            <w:bottom w:val="none" w:sz="0" w:space="0" w:color="auto"/>
            <w:right w:val="none" w:sz="0" w:space="0" w:color="auto"/>
          </w:divBdr>
        </w:div>
        <w:div w:id="1918784636">
          <w:marLeft w:val="0"/>
          <w:marRight w:val="0"/>
          <w:marTop w:val="0"/>
          <w:marBottom w:val="0"/>
          <w:divBdr>
            <w:top w:val="none" w:sz="0" w:space="0" w:color="auto"/>
            <w:left w:val="none" w:sz="0" w:space="0" w:color="auto"/>
            <w:bottom w:val="none" w:sz="0" w:space="0" w:color="auto"/>
            <w:right w:val="none" w:sz="0" w:space="0" w:color="auto"/>
          </w:divBdr>
        </w:div>
        <w:div w:id="742801251">
          <w:marLeft w:val="0"/>
          <w:marRight w:val="0"/>
          <w:marTop w:val="0"/>
          <w:marBottom w:val="0"/>
          <w:divBdr>
            <w:top w:val="none" w:sz="0" w:space="0" w:color="auto"/>
            <w:left w:val="none" w:sz="0" w:space="0" w:color="auto"/>
            <w:bottom w:val="none" w:sz="0" w:space="0" w:color="auto"/>
            <w:right w:val="none" w:sz="0" w:space="0" w:color="auto"/>
          </w:divBdr>
        </w:div>
        <w:div w:id="1313679261">
          <w:marLeft w:val="0"/>
          <w:marRight w:val="0"/>
          <w:marTop w:val="0"/>
          <w:marBottom w:val="0"/>
          <w:divBdr>
            <w:top w:val="none" w:sz="0" w:space="0" w:color="auto"/>
            <w:left w:val="none" w:sz="0" w:space="0" w:color="auto"/>
            <w:bottom w:val="none" w:sz="0" w:space="0" w:color="auto"/>
            <w:right w:val="none" w:sz="0" w:space="0" w:color="auto"/>
          </w:divBdr>
        </w:div>
        <w:div w:id="963729271">
          <w:marLeft w:val="0"/>
          <w:marRight w:val="0"/>
          <w:marTop w:val="0"/>
          <w:marBottom w:val="0"/>
          <w:divBdr>
            <w:top w:val="none" w:sz="0" w:space="0" w:color="auto"/>
            <w:left w:val="none" w:sz="0" w:space="0" w:color="auto"/>
            <w:bottom w:val="none" w:sz="0" w:space="0" w:color="auto"/>
            <w:right w:val="none" w:sz="0" w:space="0" w:color="auto"/>
          </w:divBdr>
        </w:div>
        <w:div w:id="219635284">
          <w:marLeft w:val="0"/>
          <w:marRight w:val="0"/>
          <w:marTop w:val="0"/>
          <w:marBottom w:val="0"/>
          <w:divBdr>
            <w:top w:val="none" w:sz="0" w:space="0" w:color="auto"/>
            <w:left w:val="none" w:sz="0" w:space="0" w:color="auto"/>
            <w:bottom w:val="none" w:sz="0" w:space="0" w:color="auto"/>
            <w:right w:val="none" w:sz="0" w:space="0" w:color="auto"/>
          </w:divBdr>
        </w:div>
        <w:div w:id="1887835205">
          <w:marLeft w:val="0"/>
          <w:marRight w:val="0"/>
          <w:marTop w:val="0"/>
          <w:marBottom w:val="0"/>
          <w:divBdr>
            <w:top w:val="none" w:sz="0" w:space="0" w:color="auto"/>
            <w:left w:val="none" w:sz="0" w:space="0" w:color="auto"/>
            <w:bottom w:val="none" w:sz="0" w:space="0" w:color="auto"/>
            <w:right w:val="none" w:sz="0" w:space="0" w:color="auto"/>
          </w:divBdr>
        </w:div>
        <w:div w:id="821043776">
          <w:marLeft w:val="0"/>
          <w:marRight w:val="0"/>
          <w:marTop w:val="0"/>
          <w:marBottom w:val="0"/>
          <w:divBdr>
            <w:top w:val="none" w:sz="0" w:space="0" w:color="auto"/>
            <w:left w:val="none" w:sz="0" w:space="0" w:color="auto"/>
            <w:bottom w:val="none" w:sz="0" w:space="0" w:color="auto"/>
            <w:right w:val="none" w:sz="0" w:space="0" w:color="auto"/>
          </w:divBdr>
        </w:div>
        <w:div w:id="1930653286">
          <w:marLeft w:val="0"/>
          <w:marRight w:val="0"/>
          <w:marTop w:val="0"/>
          <w:marBottom w:val="0"/>
          <w:divBdr>
            <w:top w:val="none" w:sz="0" w:space="0" w:color="auto"/>
            <w:left w:val="none" w:sz="0" w:space="0" w:color="auto"/>
            <w:bottom w:val="none" w:sz="0" w:space="0" w:color="auto"/>
            <w:right w:val="none" w:sz="0" w:space="0" w:color="auto"/>
          </w:divBdr>
        </w:div>
        <w:div w:id="1528445211">
          <w:marLeft w:val="0"/>
          <w:marRight w:val="0"/>
          <w:marTop w:val="0"/>
          <w:marBottom w:val="0"/>
          <w:divBdr>
            <w:top w:val="none" w:sz="0" w:space="0" w:color="auto"/>
            <w:left w:val="none" w:sz="0" w:space="0" w:color="auto"/>
            <w:bottom w:val="none" w:sz="0" w:space="0" w:color="auto"/>
            <w:right w:val="none" w:sz="0" w:space="0" w:color="auto"/>
          </w:divBdr>
        </w:div>
        <w:div w:id="1291596638">
          <w:marLeft w:val="0"/>
          <w:marRight w:val="0"/>
          <w:marTop w:val="0"/>
          <w:marBottom w:val="0"/>
          <w:divBdr>
            <w:top w:val="none" w:sz="0" w:space="0" w:color="auto"/>
            <w:left w:val="none" w:sz="0" w:space="0" w:color="auto"/>
            <w:bottom w:val="none" w:sz="0" w:space="0" w:color="auto"/>
            <w:right w:val="none" w:sz="0" w:space="0" w:color="auto"/>
          </w:divBdr>
        </w:div>
        <w:div w:id="797341445">
          <w:marLeft w:val="0"/>
          <w:marRight w:val="0"/>
          <w:marTop w:val="0"/>
          <w:marBottom w:val="0"/>
          <w:divBdr>
            <w:top w:val="none" w:sz="0" w:space="0" w:color="auto"/>
            <w:left w:val="none" w:sz="0" w:space="0" w:color="auto"/>
            <w:bottom w:val="none" w:sz="0" w:space="0" w:color="auto"/>
            <w:right w:val="none" w:sz="0" w:space="0" w:color="auto"/>
          </w:divBdr>
        </w:div>
        <w:div w:id="734276271">
          <w:marLeft w:val="0"/>
          <w:marRight w:val="0"/>
          <w:marTop w:val="0"/>
          <w:marBottom w:val="0"/>
          <w:divBdr>
            <w:top w:val="none" w:sz="0" w:space="0" w:color="auto"/>
            <w:left w:val="none" w:sz="0" w:space="0" w:color="auto"/>
            <w:bottom w:val="none" w:sz="0" w:space="0" w:color="auto"/>
            <w:right w:val="none" w:sz="0" w:space="0" w:color="auto"/>
          </w:divBdr>
        </w:div>
        <w:div w:id="73628113">
          <w:marLeft w:val="0"/>
          <w:marRight w:val="0"/>
          <w:marTop w:val="0"/>
          <w:marBottom w:val="0"/>
          <w:divBdr>
            <w:top w:val="none" w:sz="0" w:space="0" w:color="auto"/>
            <w:left w:val="none" w:sz="0" w:space="0" w:color="auto"/>
            <w:bottom w:val="none" w:sz="0" w:space="0" w:color="auto"/>
            <w:right w:val="none" w:sz="0" w:space="0" w:color="auto"/>
          </w:divBdr>
        </w:div>
        <w:div w:id="1948847845">
          <w:marLeft w:val="0"/>
          <w:marRight w:val="0"/>
          <w:marTop w:val="0"/>
          <w:marBottom w:val="0"/>
          <w:divBdr>
            <w:top w:val="none" w:sz="0" w:space="0" w:color="auto"/>
            <w:left w:val="none" w:sz="0" w:space="0" w:color="auto"/>
            <w:bottom w:val="none" w:sz="0" w:space="0" w:color="auto"/>
            <w:right w:val="none" w:sz="0" w:space="0" w:color="auto"/>
          </w:divBdr>
        </w:div>
        <w:div w:id="68114091">
          <w:marLeft w:val="0"/>
          <w:marRight w:val="0"/>
          <w:marTop w:val="0"/>
          <w:marBottom w:val="0"/>
          <w:divBdr>
            <w:top w:val="none" w:sz="0" w:space="0" w:color="auto"/>
            <w:left w:val="none" w:sz="0" w:space="0" w:color="auto"/>
            <w:bottom w:val="none" w:sz="0" w:space="0" w:color="auto"/>
            <w:right w:val="none" w:sz="0" w:space="0" w:color="auto"/>
          </w:divBdr>
        </w:div>
        <w:div w:id="2134248384">
          <w:marLeft w:val="0"/>
          <w:marRight w:val="0"/>
          <w:marTop w:val="0"/>
          <w:marBottom w:val="0"/>
          <w:divBdr>
            <w:top w:val="none" w:sz="0" w:space="0" w:color="auto"/>
            <w:left w:val="none" w:sz="0" w:space="0" w:color="auto"/>
            <w:bottom w:val="none" w:sz="0" w:space="0" w:color="auto"/>
            <w:right w:val="none" w:sz="0" w:space="0" w:color="auto"/>
          </w:divBdr>
        </w:div>
        <w:div w:id="1633555719">
          <w:marLeft w:val="0"/>
          <w:marRight w:val="0"/>
          <w:marTop w:val="0"/>
          <w:marBottom w:val="0"/>
          <w:divBdr>
            <w:top w:val="none" w:sz="0" w:space="0" w:color="auto"/>
            <w:left w:val="none" w:sz="0" w:space="0" w:color="auto"/>
            <w:bottom w:val="none" w:sz="0" w:space="0" w:color="auto"/>
            <w:right w:val="none" w:sz="0" w:space="0" w:color="auto"/>
          </w:divBdr>
        </w:div>
        <w:div w:id="1051734649">
          <w:marLeft w:val="0"/>
          <w:marRight w:val="0"/>
          <w:marTop w:val="0"/>
          <w:marBottom w:val="0"/>
          <w:divBdr>
            <w:top w:val="none" w:sz="0" w:space="0" w:color="auto"/>
            <w:left w:val="none" w:sz="0" w:space="0" w:color="auto"/>
            <w:bottom w:val="none" w:sz="0" w:space="0" w:color="auto"/>
            <w:right w:val="none" w:sz="0" w:space="0" w:color="auto"/>
          </w:divBdr>
        </w:div>
        <w:div w:id="1895851663">
          <w:marLeft w:val="0"/>
          <w:marRight w:val="0"/>
          <w:marTop w:val="0"/>
          <w:marBottom w:val="0"/>
          <w:divBdr>
            <w:top w:val="none" w:sz="0" w:space="0" w:color="auto"/>
            <w:left w:val="none" w:sz="0" w:space="0" w:color="auto"/>
            <w:bottom w:val="none" w:sz="0" w:space="0" w:color="auto"/>
            <w:right w:val="none" w:sz="0" w:space="0" w:color="auto"/>
          </w:divBdr>
        </w:div>
        <w:div w:id="517473845">
          <w:marLeft w:val="0"/>
          <w:marRight w:val="0"/>
          <w:marTop w:val="0"/>
          <w:marBottom w:val="0"/>
          <w:divBdr>
            <w:top w:val="none" w:sz="0" w:space="0" w:color="auto"/>
            <w:left w:val="none" w:sz="0" w:space="0" w:color="auto"/>
            <w:bottom w:val="none" w:sz="0" w:space="0" w:color="auto"/>
            <w:right w:val="none" w:sz="0" w:space="0" w:color="auto"/>
          </w:divBdr>
        </w:div>
        <w:div w:id="382098223">
          <w:marLeft w:val="0"/>
          <w:marRight w:val="0"/>
          <w:marTop w:val="0"/>
          <w:marBottom w:val="0"/>
          <w:divBdr>
            <w:top w:val="none" w:sz="0" w:space="0" w:color="auto"/>
            <w:left w:val="none" w:sz="0" w:space="0" w:color="auto"/>
            <w:bottom w:val="none" w:sz="0" w:space="0" w:color="auto"/>
            <w:right w:val="none" w:sz="0" w:space="0" w:color="auto"/>
          </w:divBdr>
        </w:div>
        <w:div w:id="902377677">
          <w:marLeft w:val="0"/>
          <w:marRight w:val="0"/>
          <w:marTop w:val="0"/>
          <w:marBottom w:val="0"/>
          <w:divBdr>
            <w:top w:val="none" w:sz="0" w:space="0" w:color="auto"/>
            <w:left w:val="none" w:sz="0" w:space="0" w:color="auto"/>
            <w:bottom w:val="none" w:sz="0" w:space="0" w:color="auto"/>
            <w:right w:val="none" w:sz="0" w:space="0" w:color="auto"/>
          </w:divBdr>
        </w:div>
        <w:div w:id="1134324828">
          <w:marLeft w:val="0"/>
          <w:marRight w:val="0"/>
          <w:marTop w:val="0"/>
          <w:marBottom w:val="0"/>
          <w:divBdr>
            <w:top w:val="none" w:sz="0" w:space="0" w:color="auto"/>
            <w:left w:val="none" w:sz="0" w:space="0" w:color="auto"/>
            <w:bottom w:val="none" w:sz="0" w:space="0" w:color="auto"/>
            <w:right w:val="none" w:sz="0" w:space="0" w:color="auto"/>
          </w:divBdr>
        </w:div>
        <w:div w:id="1019425631">
          <w:marLeft w:val="0"/>
          <w:marRight w:val="0"/>
          <w:marTop w:val="0"/>
          <w:marBottom w:val="0"/>
          <w:divBdr>
            <w:top w:val="none" w:sz="0" w:space="0" w:color="auto"/>
            <w:left w:val="none" w:sz="0" w:space="0" w:color="auto"/>
            <w:bottom w:val="none" w:sz="0" w:space="0" w:color="auto"/>
            <w:right w:val="none" w:sz="0" w:space="0" w:color="auto"/>
          </w:divBdr>
        </w:div>
        <w:div w:id="1637029540">
          <w:marLeft w:val="0"/>
          <w:marRight w:val="0"/>
          <w:marTop w:val="0"/>
          <w:marBottom w:val="0"/>
          <w:divBdr>
            <w:top w:val="none" w:sz="0" w:space="0" w:color="auto"/>
            <w:left w:val="none" w:sz="0" w:space="0" w:color="auto"/>
            <w:bottom w:val="none" w:sz="0" w:space="0" w:color="auto"/>
            <w:right w:val="none" w:sz="0" w:space="0" w:color="auto"/>
          </w:divBdr>
        </w:div>
        <w:div w:id="435059410">
          <w:marLeft w:val="0"/>
          <w:marRight w:val="0"/>
          <w:marTop w:val="0"/>
          <w:marBottom w:val="0"/>
          <w:divBdr>
            <w:top w:val="none" w:sz="0" w:space="0" w:color="auto"/>
            <w:left w:val="none" w:sz="0" w:space="0" w:color="auto"/>
            <w:bottom w:val="none" w:sz="0" w:space="0" w:color="auto"/>
            <w:right w:val="none" w:sz="0" w:space="0" w:color="auto"/>
          </w:divBdr>
        </w:div>
        <w:div w:id="1940750144">
          <w:marLeft w:val="0"/>
          <w:marRight w:val="0"/>
          <w:marTop w:val="0"/>
          <w:marBottom w:val="0"/>
          <w:divBdr>
            <w:top w:val="none" w:sz="0" w:space="0" w:color="auto"/>
            <w:left w:val="none" w:sz="0" w:space="0" w:color="auto"/>
            <w:bottom w:val="none" w:sz="0" w:space="0" w:color="auto"/>
            <w:right w:val="none" w:sz="0" w:space="0" w:color="auto"/>
          </w:divBdr>
        </w:div>
        <w:div w:id="1855922774">
          <w:marLeft w:val="0"/>
          <w:marRight w:val="0"/>
          <w:marTop w:val="0"/>
          <w:marBottom w:val="0"/>
          <w:divBdr>
            <w:top w:val="none" w:sz="0" w:space="0" w:color="auto"/>
            <w:left w:val="none" w:sz="0" w:space="0" w:color="auto"/>
            <w:bottom w:val="none" w:sz="0" w:space="0" w:color="auto"/>
            <w:right w:val="none" w:sz="0" w:space="0" w:color="auto"/>
          </w:divBdr>
        </w:div>
        <w:div w:id="1444954820">
          <w:marLeft w:val="0"/>
          <w:marRight w:val="0"/>
          <w:marTop w:val="0"/>
          <w:marBottom w:val="0"/>
          <w:divBdr>
            <w:top w:val="none" w:sz="0" w:space="0" w:color="auto"/>
            <w:left w:val="none" w:sz="0" w:space="0" w:color="auto"/>
            <w:bottom w:val="none" w:sz="0" w:space="0" w:color="auto"/>
            <w:right w:val="none" w:sz="0" w:space="0" w:color="auto"/>
          </w:divBdr>
        </w:div>
        <w:div w:id="2070377947">
          <w:marLeft w:val="0"/>
          <w:marRight w:val="0"/>
          <w:marTop w:val="0"/>
          <w:marBottom w:val="0"/>
          <w:divBdr>
            <w:top w:val="none" w:sz="0" w:space="0" w:color="auto"/>
            <w:left w:val="none" w:sz="0" w:space="0" w:color="auto"/>
            <w:bottom w:val="none" w:sz="0" w:space="0" w:color="auto"/>
            <w:right w:val="none" w:sz="0" w:space="0" w:color="auto"/>
          </w:divBdr>
        </w:div>
        <w:div w:id="1886871911">
          <w:marLeft w:val="0"/>
          <w:marRight w:val="0"/>
          <w:marTop w:val="0"/>
          <w:marBottom w:val="0"/>
          <w:divBdr>
            <w:top w:val="none" w:sz="0" w:space="0" w:color="auto"/>
            <w:left w:val="none" w:sz="0" w:space="0" w:color="auto"/>
            <w:bottom w:val="none" w:sz="0" w:space="0" w:color="auto"/>
            <w:right w:val="none" w:sz="0" w:space="0" w:color="auto"/>
          </w:divBdr>
        </w:div>
        <w:div w:id="1508397001">
          <w:marLeft w:val="0"/>
          <w:marRight w:val="0"/>
          <w:marTop w:val="0"/>
          <w:marBottom w:val="0"/>
          <w:divBdr>
            <w:top w:val="none" w:sz="0" w:space="0" w:color="auto"/>
            <w:left w:val="none" w:sz="0" w:space="0" w:color="auto"/>
            <w:bottom w:val="none" w:sz="0" w:space="0" w:color="auto"/>
            <w:right w:val="none" w:sz="0" w:space="0" w:color="auto"/>
          </w:divBdr>
        </w:div>
        <w:div w:id="1945571642">
          <w:marLeft w:val="0"/>
          <w:marRight w:val="0"/>
          <w:marTop w:val="0"/>
          <w:marBottom w:val="0"/>
          <w:divBdr>
            <w:top w:val="none" w:sz="0" w:space="0" w:color="auto"/>
            <w:left w:val="none" w:sz="0" w:space="0" w:color="auto"/>
            <w:bottom w:val="none" w:sz="0" w:space="0" w:color="auto"/>
            <w:right w:val="none" w:sz="0" w:space="0" w:color="auto"/>
          </w:divBdr>
        </w:div>
        <w:div w:id="1727299116">
          <w:marLeft w:val="0"/>
          <w:marRight w:val="0"/>
          <w:marTop w:val="0"/>
          <w:marBottom w:val="0"/>
          <w:divBdr>
            <w:top w:val="none" w:sz="0" w:space="0" w:color="auto"/>
            <w:left w:val="none" w:sz="0" w:space="0" w:color="auto"/>
            <w:bottom w:val="none" w:sz="0" w:space="0" w:color="auto"/>
            <w:right w:val="none" w:sz="0" w:space="0" w:color="auto"/>
          </w:divBdr>
        </w:div>
        <w:div w:id="2118137058">
          <w:marLeft w:val="0"/>
          <w:marRight w:val="0"/>
          <w:marTop w:val="0"/>
          <w:marBottom w:val="0"/>
          <w:divBdr>
            <w:top w:val="none" w:sz="0" w:space="0" w:color="auto"/>
            <w:left w:val="none" w:sz="0" w:space="0" w:color="auto"/>
            <w:bottom w:val="none" w:sz="0" w:space="0" w:color="auto"/>
            <w:right w:val="none" w:sz="0" w:space="0" w:color="auto"/>
          </w:divBdr>
        </w:div>
        <w:div w:id="1198397162">
          <w:marLeft w:val="0"/>
          <w:marRight w:val="0"/>
          <w:marTop w:val="0"/>
          <w:marBottom w:val="0"/>
          <w:divBdr>
            <w:top w:val="none" w:sz="0" w:space="0" w:color="auto"/>
            <w:left w:val="none" w:sz="0" w:space="0" w:color="auto"/>
            <w:bottom w:val="none" w:sz="0" w:space="0" w:color="auto"/>
            <w:right w:val="none" w:sz="0" w:space="0" w:color="auto"/>
          </w:divBdr>
        </w:div>
        <w:div w:id="218320004">
          <w:marLeft w:val="0"/>
          <w:marRight w:val="0"/>
          <w:marTop w:val="0"/>
          <w:marBottom w:val="0"/>
          <w:divBdr>
            <w:top w:val="none" w:sz="0" w:space="0" w:color="auto"/>
            <w:left w:val="none" w:sz="0" w:space="0" w:color="auto"/>
            <w:bottom w:val="none" w:sz="0" w:space="0" w:color="auto"/>
            <w:right w:val="none" w:sz="0" w:space="0" w:color="auto"/>
          </w:divBdr>
        </w:div>
        <w:div w:id="222831370">
          <w:marLeft w:val="0"/>
          <w:marRight w:val="0"/>
          <w:marTop w:val="0"/>
          <w:marBottom w:val="0"/>
          <w:divBdr>
            <w:top w:val="none" w:sz="0" w:space="0" w:color="auto"/>
            <w:left w:val="none" w:sz="0" w:space="0" w:color="auto"/>
            <w:bottom w:val="none" w:sz="0" w:space="0" w:color="auto"/>
            <w:right w:val="none" w:sz="0" w:space="0" w:color="auto"/>
          </w:divBdr>
        </w:div>
        <w:div w:id="1455711846">
          <w:marLeft w:val="0"/>
          <w:marRight w:val="0"/>
          <w:marTop w:val="0"/>
          <w:marBottom w:val="0"/>
          <w:divBdr>
            <w:top w:val="none" w:sz="0" w:space="0" w:color="auto"/>
            <w:left w:val="none" w:sz="0" w:space="0" w:color="auto"/>
            <w:bottom w:val="none" w:sz="0" w:space="0" w:color="auto"/>
            <w:right w:val="none" w:sz="0" w:space="0" w:color="auto"/>
          </w:divBdr>
        </w:div>
        <w:div w:id="1925214761">
          <w:marLeft w:val="0"/>
          <w:marRight w:val="0"/>
          <w:marTop w:val="0"/>
          <w:marBottom w:val="0"/>
          <w:divBdr>
            <w:top w:val="none" w:sz="0" w:space="0" w:color="auto"/>
            <w:left w:val="none" w:sz="0" w:space="0" w:color="auto"/>
            <w:bottom w:val="none" w:sz="0" w:space="0" w:color="auto"/>
            <w:right w:val="none" w:sz="0" w:space="0" w:color="auto"/>
          </w:divBdr>
        </w:div>
        <w:div w:id="1220290529">
          <w:marLeft w:val="0"/>
          <w:marRight w:val="0"/>
          <w:marTop w:val="0"/>
          <w:marBottom w:val="0"/>
          <w:divBdr>
            <w:top w:val="none" w:sz="0" w:space="0" w:color="auto"/>
            <w:left w:val="none" w:sz="0" w:space="0" w:color="auto"/>
            <w:bottom w:val="none" w:sz="0" w:space="0" w:color="auto"/>
            <w:right w:val="none" w:sz="0" w:space="0" w:color="auto"/>
          </w:divBdr>
        </w:div>
        <w:div w:id="139659191">
          <w:marLeft w:val="0"/>
          <w:marRight w:val="0"/>
          <w:marTop w:val="0"/>
          <w:marBottom w:val="0"/>
          <w:divBdr>
            <w:top w:val="none" w:sz="0" w:space="0" w:color="auto"/>
            <w:left w:val="none" w:sz="0" w:space="0" w:color="auto"/>
            <w:bottom w:val="none" w:sz="0" w:space="0" w:color="auto"/>
            <w:right w:val="none" w:sz="0" w:space="0" w:color="auto"/>
          </w:divBdr>
        </w:div>
        <w:div w:id="2011519847">
          <w:marLeft w:val="0"/>
          <w:marRight w:val="0"/>
          <w:marTop w:val="0"/>
          <w:marBottom w:val="0"/>
          <w:divBdr>
            <w:top w:val="none" w:sz="0" w:space="0" w:color="auto"/>
            <w:left w:val="none" w:sz="0" w:space="0" w:color="auto"/>
            <w:bottom w:val="none" w:sz="0" w:space="0" w:color="auto"/>
            <w:right w:val="none" w:sz="0" w:space="0" w:color="auto"/>
          </w:divBdr>
        </w:div>
        <w:div w:id="558053216">
          <w:marLeft w:val="0"/>
          <w:marRight w:val="0"/>
          <w:marTop w:val="0"/>
          <w:marBottom w:val="0"/>
          <w:divBdr>
            <w:top w:val="none" w:sz="0" w:space="0" w:color="auto"/>
            <w:left w:val="none" w:sz="0" w:space="0" w:color="auto"/>
            <w:bottom w:val="none" w:sz="0" w:space="0" w:color="auto"/>
            <w:right w:val="none" w:sz="0" w:space="0" w:color="auto"/>
          </w:divBdr>
        </w:div>
      </w:divsChild>
    </w:div>
    <w:div w:id="99372737">
      <w:bodyDiv w:val="1"/>
      <w:marLeft w:val="0"/>
      <w:marRight w:val="0"/>
      <w:marTop w:val="0"/>
      <w:marBottom w:val="0"/>
      <w:divBdr>
        <w:top w:val="none" w:sz="0" w:space="0" w:color="auto"/>
        <w:left w:val="none" w:sz="0" w:space="0" w:color="auto"/>
        <w:bottom w:val="none" w:sz="0" w:space="0" w:color="auto"/>
        <w:right w:val="none" w:sz="0" w:space="0" w:color="auto"/>
      </w:divBdr>
    </w:div>
    <w:div w:id="110980620">
      <w:bodyDiv w:val="1"/>
      <w:marLeft w:val="0"/>
      <w:marRight w:val="0"/>
      <w:marTop w:val="0"/>
      <w:marBottom w:val="0"/>
      <w:divBdr>
        <w:top w:val="none" w:sz="0" w:space="0" w:color="auto"/>
        <w:left w:val="none" w:sz="0" w:space="0" w:color="auto"/>
        <w:bottom w:val="none" w:sz="0" w:space="0" w:color="auto"/>
        <w:right w:val="none" w:sz="0" w:space="0" w:color="auto"/>
      </w:divBdr>
      <w:divsChild>
        <w:div w:id="104693244">
          <w:marLeft w:val="0"/>
          <w:marRight w:val="0"/>
          <w:marTop w:val="0"/>
          <w:marBottom w:val="0"/>
          <w:divBdr>
            <w:top w:val="none" w:sz="0" w:space="0" w:color="auto"/>
            <w:left w:val="none" w:sz="0" w:space="0" w:color="auto"/>
            <w:bottom w:val="none" w:sz="0" w:space="0" w:color="auto"/>
            <w:right w:val="none" w:sz="0" w:space="0" w:color="auto"/>
          </w:divBdr>
        </w:div>
        <w:div w:id="1449616925">
          <w:marLeft w:val="0"/>
          <w:marRight w:val="0"/>
          <w:marTop w:val="0"/>
          <w:marBottom w:val="0"/>
          <w:divBdr>
            <w:top w:val="none" w:sz="0" w:space="0" w:color="auto"/>
            <w:left w:val="none" w:sz="0" w:space="0" w:color="auto"/>
            <w:bottom w:val="none" w:sz="0" w:space="0" w:color="auto"/>
            <w:right w:val="none" w:sz="0" w:space="0" w:color="auto"/>
          </w:divBdr>
        </w:div>
        <w:div w:id="433212557">
          <w:marLeft w:val="0"/>
          <w:marRight w:val="0"/>
          <w:marTop w:val="0"/>
          <w:marBottom w:val="0"/>
          <w:divBdr>
            <w:top w:val="none" w:sz="0" w:space="0" w:color="auto"/>
            <w:left w:val="none" w:sz="0" w:space="0" w:color="auto"/>
            <w:bottom w:val="none" w:sz="0" w:space="0" w:color="auto"/>
            <w:right w:val="none" w:sz="0" w:space="0" w:color="auto"/>
          </w:divBdr>
        </w:div>
        <w:div w:id="1824393289">
          <w:marLeft w:val="0"/>
          <w:marRight w:val="0"/>
          <w:marTop w:val="0"/>
          <w:marBottom w:val="0"/>
          <w:divBdr>
            <w:top w:val="none" w:sz="0" w:space="0" w:color="auto"/>
            <w:left w:val="none" w:sz="0" w:space="0" w:color="auto"/>
            <w:bottom w:val="none" w:sz="0" w:space="0" w:color="auto"/>
            <w:right w:val="none" w:sz="0" w:space="0" w:color="auto"/>
          </w:divBdr>
        </w:div>
        <w:div w:id="1452017550">
          <w:marLeft w:val="0"/>
          <w:marRight w:val="0"/>
          <w:marTop w:val="0"/>
          <w:marBottom w:val="0"/>
          <w:divBdr>
            <w:top w:val="none" w:sz="0" w:space="0" w:color="auto"/>
            <w:left w:val="none" w:sz="0" w:space="0" w:color="auto"/>
            <w:bottom w:val="none" w:sz="0" w:space="0" w:color="auto"/>
            <w:right w:val="none" w:sz="0" w:space="0" w:color="auto"/>
          </w:divBdr>
        </w:div>
        <w:div w:id="1475484107">
          <w:marLeft w:val="0"/>
          <w:marRight w:val="0"/>
          <w:marTop w:val="0"/>
          <w:marBottom w:val="0"/>
          <w:divBdr>
            <w:top w:val="none" w:sz="0" w:space="0" w:color="auto"/>
            <w:left w:val="none" w:sz="0" w:space="0" w:color="auto"/>
            <w:bottom w:val="none" w:sz="0" w:space="0" w:color="auto"/>
            <w:right w:val="none" w:sz="0" w:space="0" w:color="auto"/>
          </w:divBdr>
        </w:div>
        <w:div w:id="69235543">
          <w:marLeft w:val="0"/>
          <w:marRight w:val="0"/>
          <w:marTop w:val="0"/>
          <w:marBottom w:val="0"/>
          <w:divBdr>
            <w:top w:val="none" w:sz="0" w:space="0" w:color="auto"/>
            <w:left w:val="none" w:sz="0" w:space="0" w:color="auto"/>
            <w:bottom w:val="none" w:sz="0" w:space="0" w:color="auto"/>
            <w:right w:val="none" w:sz="0" w:space="0" w:color="auto"/>
          </w:divBdr>
        </w:div>
        <w:div w:id="2829939">
          <w:marLeft w:val="0"/>
          <w:marRight w:val="0"/>
          <w:marTop w:val="0"/>
          <w:marBottom w:val="0"/>
          <w:divBdr>
            <w:top w:val="none" w:sz="0" w:space="0" w:color="auto"/>
            <w:left w:val="none" w:sz="0" w:space="0" w:color="auto"/>
            <w:bottom w:val="none" w:sz="0" w:space="0" w:color="auto"/>
            <w:right w:val="none" w:sz="0" w:space="0" w:color="auto"/>
          </w:divBdr>
        </w:div>
        <w:div w:id="306665875">
          <w:marLeft w:val="0"/>
          <w:marRight w:val="0"/>
          <w:marTop w:val="0"/>
          <w:marBottom w:val="0"/>
          <w:divBdr>
            <w:top w:val="none" w:sz="0" w:space="0" w:color="auto"/>
            <w:left w:val="none" w:sz="0" w:space="0" w:color="auto"/>
            <w:bottom w:val="none" w:sz="0" w:space="0" w:color="auto"/>
            <w:right w:val="none" w:sz="0" w:space="0" w:color="auto"/>
          </w:divBdr>
        </w:div>
        <w:div w:id="196282979">
          <w:marLeft w:val="0"/>
          <w:marRight w:val="0"/>
          <w:marTop w:val="0"/>
          <w:marBottom w:val="0"/>
          <w:divBdr>
            <w:top w:val="none" w:sz="0" w:space="0" w:color="auto"/>
            <w:left w:val="none" w:sz="0" w:space="0" w:color="auto"/>
            <w:bottom w:val="none" w:sz="0" w:space="0" w:color="auto"/>
            <w:right w:val="none" w:sz="0" w:space="0" w:color="auto"/>
          </w:divBdr>
        </w:div>
        <w:div w:id="52314534">
          <w:marLeft w:val="0"/>
          <w:marRight w:val="0"/>
          <w:marTop w:val="0"/>
          <w:marBottom w:val="0"/>
          <w:divBdr>
            <w:top w:val="none" w:sz="0" w:space="0" w:color="auto"/>
            <w:left w:val="none" w:sz="0" w:space="0" w:color="auto"/>
            <w:bottom w:val="none" w:sz="0" w:space="0" w:color="auto"/>
            <w:right w:val="none" w:sz="0" w:space="0" w:color="auto"/>
          </w:divBdr>
        </w:div>
      </w:divsChild>
    </w:div>
    <w:div w:id="139541664">
      <w:bodyDiv w:val="1"/>
      <w:marLeft w:val="0"/>
      <w:marRight w:val="0"/>
      <w:marTop w:val="0"/>
      <w:marBottom w:val="0"/>
      <w:divBdr>
        <w:top w:val="none" w:sz="0" w:space="0" w:color="auto"/>
        <w:left w:val="none" w:sz="0" w:space="0" w:color="auto"/>
        <w:bottom w:val="none" w:sz="0" w:space="0" w:color="auto"/>
        <w:right w:val="none" w:sz="0" w:space="0" w:color="auto"/>
      </w:divBdr>
    </w:div>
    <w:div w:id="157231353">
      <w:bodyDiv w:val="1"/>
      <w:marLeft w:val="0"/>
      <w:marRight w:val="0"/>
      <w:marTop w:val="0"/>
      <w:marBottom w:val="0"/>
      <w:divBdr>
        <w:top w:val="none" w:sz="0" w:space="0" w:color="auto"/>
        <w:left w:val="none" w:sz="0" w:space="0" w:color="auto"/>
        <w:bottom w:val="none" w:sz="0" w:space="0" w:color="auto"/>
        <w:right w:val="none" w:sz="0" w:space="0" w:color="auto"/>
      </w:divBdr>
    </w:div>
    <w:div w:id="164247645">
      <w:bodyDiv w:val="1"/>
      <w:marLeft w:val="0"/>
      <w:marRight w:val="0"/>
      <w:marTop w:val="0"/>
      <w:marBottom w:val="0"/>
      <w:divBdr>
        <w:top w:val="none" w:sz="0" w:space="0" w:color="auto"/>
        <w:left w:val="none" w:sz="0" w:space="0" w:color="auto"/>
        <w:bottom w:val="none" w:sz="0" w:space="0" w:color="auto"/>
        <w:right w:val="none" w:sz="0" w:space="0" w:color="auto"/>
      </w:divBdr>
      <w:divsChild>
        <w:div w:id="1177502558">
          <w:marLeft w:val="0"/>
          <w:marRight w:val="0"/>
          <w:marTop w:val="0"/>
          <w:marBottom w:val="0"/>
          <w:divBdr>
            <w:top w:val="none" w:sz="0" w:space="0" w:color="auto"/>
            <w:left w:val="none" w:sz="0" w:space="0" w:color="auto"/>
            <w:bottom w:val="none" w:sz="0" w:space="0" w:color="auto"/>
            <w:right w:val="none" w:sz="0" w:space="0" w:color="auto"/>
          </w:divBdr>
        </w:div>
        <w:div w:id="170880255">
          <w:marLeft w:val="0"/>
          <w:marRight w:val="0"/>
          <w:marTop w:val="0"/>
          <w:marBottom w:val="0"/>
          <w:divBdr>
            <w:top w:val="none" w:sz="0" w:space="0" w:color="auto"/>
            <w:left w:val="none" w:sz="0" w:space="0" w:color="auto"/>
            <w:bottom w:val="none" w:sz="0" w:space="0" w:color="auto"/>
            <w:right w:val="none" w:sz="0" w:space="0" w:color="auto"/>
          </w:divBdr>
        </w:div>
      </w:divsChild>
    </w:div>
    <w:div w:id="184367169">
      <w:bodyDiv w:val="1"/>
      <w:marLeft w:val="0"/>
      <w:marRight w:val="0"/>
      <w:marTop w:val="0"/>
      <w:marBottom w:val="0"/>
      <w:divBdr>
        <w:top w:val="none" w:sz="0" w:space="0" w:color="auto"/>
        <w:left w:val="none" w:sz="0" w:space="0" w:color="auto"/>
        <w:bottom w:val="none" w:sz="0" w:space="0" w:color="auto"/>
        <w:right w:val="none" w:sz="0" w:space="0" w:color="auto"/>
      </w:divBdr>
    </w:div>
    <w:div w:id="185681282">
      <w:bodyDiv w:val="1"/>
      <w:marLeft w:val="0"/>
      <w:marRight w:val="0"/>
      <w:marTop w:val="0"/>
      <w:marBottom w:val="0"/>
      <w:divBdr>
        <w:top w:val="none" w:sz="0" w:space="0" w:color="auto"/>
        <w:left w:val="none" w:sz="0" w:space="0" w:color="auto"/>
        <w:bottom w:val="none" w:sz="0" w:space="0" w:color="auto"/>
        <w:right w:val="none" w:sz="0" w:space="0" w:color="auto"/>
      </w:divBdr>
    </w:div>
    <w:div w:id="186330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759">
          <w:marLeft w:val="0"/>
          <w:marRight w:val="0"/>
          <w:marTop w:val="0"/>
          <w:marBottom w:val="0"/>
          <w:divBdr>
            <w:top w:val="none" w:sz="0" w:space="0" w:color="auto"/>
            <w:left w:val="none" w:sz="0" w:space="0" w:color="auto"/>
            <w:bottom w:val="none" w:sz="0" w:space="0" w:color="auto"/>
            <w:right w:val="none" w:sz="0" w:space="0" w:color="auto"/>
          </w:divBdr>
          <w:divsChild>
            <w:div w:id="1965692979">
              <w:marLeft w:val="0"/>
              <w:marRight w:val="0"/>
              <w:marTop w:val="0"/>
              <w:marBottom w:val="0"/>
              <w:divBdr>
                <w:top w:val="none" w:sz="0" w:space="0" w:color="auto"/>
                <w:left w:val="none" w:sz="0" w:space="0" w:color="auto"/>
                <w:bottom w:val="none" w:sz="0" w:space="0" w:color="auto"/>
                <w:right w:val="none" w:sz="0" w:space="0" w:color="auto"/>
              </w:divBdr>
              <w:divsChild>
                <w:div w:id="37896386">
                  <w:marLeft w:val="0"/>
                  <w:marRight w:val="0"/>
                  <w:marTop w:val="0"/>
                  <w:marBottom w:val="0"/>
                  <w:divBdr>
                    <w:top w:val="none" w:sz="0" w:space="0" w:color="auto"/>
                    <w:left w:val="none" w:sz="0" w:space="0" w:color="auto"/>
                    <w:bottom w:val="none" w:sz="0" w:space="0" w:color="auto"/>
                    <w:right w:val="none" w:sz="0" w:space="0" w:color="auto"/>
                  </w:divBdr>
                  <w:divsChild>
                    <w:div w:id="960647410">
                      <w:marLeft w:val="0"/>
                      <w:marRight w:val="0"/>
                      <w:marTop w:val="0"/>
                      <w:marBottom w:val="0"/>
                      <w:divBdr>
                        <w:top w:val="none" w:sz="0" w:space="0" w:color="auto"/>
                        <w:left w:val="none" w:sz="0" w:space="0" w:color="auto"/>
                        <w:bottom w:val="none" w:sz="0" w:space="0" w:color="auto"/>
                        <w:right w:val="none" w:sz="0" w:space="0" w:color="auto"/>
                      </w:divBdr>
                      <w:divsChild>
                        <w:div w:id="1640720086">
                          <w:marLeft w:val="0"/>
                          <w:marRight w:val="0"/>
                          <w:marTop w:val="0"/>
                          <w:marBottom w:val="0"/>
                          <w:divBdr>
                            <w:top w:val="none" w:sz="0" w:space="0" w:color="auto"/>
                            <w:left w:val="none" w:sz="0" w:space="0" w:color="auto"/>
                            <w:bottom w:val="none" w:sz="0" w:space="0" w:color="auto"/>
                            <w:right w:val="none" w:sz="0" w:space="0" w:color="auto"/>
                          </w:divBdr>
                          <w:divsChild>
                            <w:div w:id="1299452458">
                              <w:marLeft w:val="0"/>
                              <w:marRight w:val="0"/>
                              <w:marTop w:val="0"/>
                              <w:marBottom w:val="0"/>
                              <w:divBdr>
                                <w:top w:val="none" w:sz="0" w:space="0" w:color="auto"/>
                                <w:left w:val="none" w:sz="0" w:space="0" w:color="auto"/>
                                <w:bottom w:val="none" w:sz="0" w:space="0" w:color="auto"/>
                                <w:right w:val="none" w:sz="0" w:space="0" w:color="auto"/>
                              </w:divBdr>
                              <w:divsChild>
                                <w:div w:id="405424078">
                                  <w:marLeft w:val="0"/>
                                  <w:marRight w:val="0"/>
                                  <w:marTop w:val="0"/>
                                  <w:marBottom w:val="0"/>
                                  <w:divBdr>
                                    <w:top w:val="none" w:sz="0" w:space="0" w:color="auto"/>
                                    <w:left w:val="none" w:sz="0" w:space="0" w:color="auto"/>
                                    <w:bottom w:val="none" w:sz="0" w:space="0" w:color="auto"/>
                                    <w:right w:val="none" w:sz="0" w:space="0" w:color="auto"/>
                                  </w:divBdr>
                                  <w:divsChild>
                                    <w:div w:id="558127384">
                                      <w:marLeft w:val="0"/>
                                      <w:marRight w:val="0"/>
                                      <w:marTop w:val="0"/>
                                      <w:marBottom w:val="0"/>
                                      <w:divBdr>
                                        <w:top w:val="none" w:sz="0" w:space="0" w:color="auto"/>
                                        <w:left w:val="none" w:sz="0" w:space="0" w:color="auto"/>
                                        <w:bottom w:val="none" w:sz="0" w:space="0" w:color="auto"/>
                                        <w:right w:val="none" w:sz="0" w:space="0" w:color="auto"/>
                                      </w:divBdr>
                                      <w:divsChild>
                                        <w:div w:id="1419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543273">
      <w:bodyDiv w:val="1"/>
      <w:marLeft w:val="0"/>
      <w:marRight w:val="0"/>
      <w:marTop w:val="0"/>
      <w:marBottom w:val="0"/>
      <w:divBdr>
        <w:top w:val="none" w:sz="0" w:space="0" w:color="auto"/>
        <w:left w:val="none" w:sz="0" w:space="0" w:color="auto"/>
        <w:bottom w:val="none" w:sz="0" w:space="0" w:color="auto"/>
        <w:right w:val="none" w:sz="0" w:space="0" w:color="auto"/>
      </w:divBdr>
    </w:div>
    <w:div w:id="251085928">
      <w:bodyDiv w:val="1"/>
      <w:marLeft w:val="0"/>
      <w:marRight w:val="0"/>
      <w:marTop w:val="0"/>
      <w:marBottom w:val="0"/>
      <w:divBdr>
        <w:top w:val="none" w:sz="0" w:space="0" w:color="auto"/>
        <w:left w:val="none" w:sz="0" w:space="0" w:color="auto"/>
        <w:bottom w:val="none" w:sz="0" w:space="0" w:color="auto"/>
        <w:right w:val="none" w:sz="0" w:space="0" w:color="auto"/>
      </w:divBdr>
    </w:div>
    <w:div w:id="292949125">
      <w:bodyDiv w:val="1"/>
      <w:marLeft w:val="0"/>
      <w:marRight w:val="0"/>
      <w:marTop w:val="0"/>
      <w:marBottom w:val="0"/>
      <w:divBdr>
        <w:top w:val="none" w:sz="0" w:space="0" w:color="auto"/>
        <w:left w:val="none" w:sz="0" w:space="0" w:color="auto"/>
        <w:bottom w:val="none" w:sz="0" w:space="0" w:color="auto"/>
        <w:right w:val="none" w:sz="0" w:space="0" w:color="auto"/>
      </w:divBdr>
    </w:div>
    <w:div w:id="308559150">
      <w:bodyDiv w:val="1"/>
      <w:marLeft w:val="0"/>
      <w:marRight w:val="0"/>
      <w:marTop w:val="0"/>
      <w:marBottom w:val="0"/>
      <w:divBdr>
        <w:top w:val="none" w:sz="0" w:space="0" w:color="auto"/>
        <w:left w:val="none" w:sz="0" w:space="0" w:color="auto"/>
        <w:bottom w:val="none" w:sz="0" w:space="0" w:color="auto"/>
        <w:right w:val="none" w:sz="0" w:space="0" w:color="auto"/>
      </w:divBdr>
    </w:div>
    <w:div w:id="327103456">
      <w:bodyDiv w:val="1"/>
      <w:marLeft w:val="0"/>
      <w:marRight w:val="0"/>
      <w:marTop w:val="0"/>
      <w:marBottom w:val="0"/>
      <w:divBdr>
        <w:top w:val="none" w:sz="0" w:space="0" w:color="auto"/>
        <w:left w:val="none" w:sz="0" w:space="0" w:color="auto"/>
        <w:bottom w:val="none" w:sz="0" w:space="0" w:color="auto"/>
        <w:right w:val="none" w:sz="0" w:space="0" w:color="auto"/>
      </w:divBdr>
      <w:divsChild>
        <w:div w:id="1219976659">
          <w:marLeft w:val="0"/>
          <w:marRight w:val="0"/>
          <w:marTop w:val="0"/>
          <w:marBottom w:val="0"/>
          <w:divBdr>
            <w:top w:val="none" w:sz="0" w:space="0" w:color="auto"/>
            <w:left w:val="none" w:sz="0" w:space="0" w:color="auto"/>
            <w:bottom w:val="none" w:sz="0" w:space="0" w:color="auto"/>
            <w:right w:val="none" w:sz="0" w:space="0" w:color="auto"/>
          </w:divBdr>
          <w:divsChild>
            <w:div w:id="1286236349">
              <w:marLeft w:val="0"/>
              <w:marRight w:val="0"/>
              <w:marTop w:val="0"/>
              <w:marBottom w:val="450"/>
              <w:divBdr>
                <w:top w:val="none" w:sz="0" w:space="0" w:color="auto"/>
                <w:left w:val="none" w:sz="0" w:space="0" w:color="auto"/>
                <w:bottom w:val="none" w:sz="0" w:space="0" w:color="auto"/>
                <w:right w:val="none" w:sz="0" w:space="0" w:color="auto"/>
              </w:divBdr>
              <w:divsChild>
                <w:div w:id="1102725663">
                  <w:marLeft w:val="0"/>
                  <w:marRight w:val="0"/>
                  <w:marTop w:val="0"/>
                  <w:marBottom w:val="0"/>
                  <w:divBdr>
                    <w:top w:val="none" w:sz="0" w:space="0" w:color="auto"/>
                    <w:left w:val="none" w:sz="0" w:space="0" w:color="auto"/>
                    <w:bottom w:val="none" w:sz="0" w:space="0" w:color="auto"/>
                    <w:right w:val="none" w:sz="0" w:space="0" w:color="auto"/>
                  </w:divBdr>
                  <w:divsChild>
                    <w:div w:id="492453020">
                      <w:marLeft w:val="-225"/>
                      <w:marRight w:val="-225"/>
                      <w:marTop w:val="0"/>
                      <w:marBottom w:val="0"/>
                      <w:divBdr>
                        <w:top w:val="none" w:sz="0" w:space="0" w:color="auto"/>
                        <w:left w:val="none" w:sz="0" w:space="0" w:color="auto"/>
                        <w:bottom w:val="none" w:sz="0" w:space="0" w:color="auto"/>
                        <w:right w:val="none" w:sz="0" w:space="0" w:color="auto"/>
                      </w:divBdr>
                      <w:divsChild>
                        <w:div w:id="817069839">
                          <w:marLeft w:val="0"/>
                          <w:marRight w:val="0"/>
                          <w:marTop w:val="0"/>
                          <w:marBottom w:val="0"/>
                          <w:divBdr>
                            <w:top w:val="none" w:sz="0" w:space="0" w:color="auto"/>
                            <w:left w:val="none" w:sz="0" w:space="0" w:color="auto"/>
                            <w:bottom w:val="none" w:sz="0" w:space="0" w:color="auto"/>
                            <w:right w:val="none" w:sz="0" w:space="0" w:color="auto"/>
                          </w:divBdr>
                          <w:divsChild>
                            <w:div w:id="1857110989">
                              <w:marLeft w:val="0"/>
                              <w:marRight w:val="0"/>
                              <w:marTop w:val="0"/>
                              <w:marBottom w:val="0"/>
                              <w:divBdr>
                                <w:top w:val="none" w:sz="0" w:space="0" w:color="auto"/>
                                <w:left w:val="none" w:sz="0" w:space="0" w:color="auto"/>
                                <w:bottom w:val="none" w:sz="0" w:space="0" w:color="auto"/>
                                <w:right w:val="none" w:sz="0" w:space="0" w:color="auto"/>
                              </w:divBdr>
                              <w:divsChild>
                                <w:div w:id="1658070739">
                                  <w:marLeft w:val="-225"/>
                                  <w:marRight w:val="-225"/>
                                  <w:marTop w:val="0"/>
                                  <w:marBottom w:val="0"/>
                                  <w:divBdr>
                                    <w:top w:val="none" w:sz="0" w:space="0" w:color="auto"/>
                                    <w:left w:val="none" w:sz="0" w:space="0" w:color="auto"/>
                                    <w:bottom w:val="none" w:sz="0" w:space="0" w:color="auto"/>
                                    <w:right w:val="none" w:sz="0" w:space="0" w:color="auto"/>
                                  </w:divBdr>
                                  <w:divsChild>
                                    <w:div w:id="632828564">
                                      <w:marLeft w:val="0"/>
                                      <w:marRight w:val="0"/>
                                      <w:marTop w:val="0"/>
                                      <w:marBottom w:val="0"/>
                                      <w:divBdr>
                                        <w:top w:val="none" w:sz="0" w:space="0" w:color="auto"/>
                                        <w:left w:val="none" w:sz="0" w:space="0" w:color="auto"/>
                                        <w:bottom w:val="none" w:sz="0" w:space="0" w:color="auto"/>
                                        <w:right w:val="none" w:sz="0" w:space="0" w:color="auto"/>
                                      </w:divBdr>
                                      <w:divsChild>
                                        <w:div w:id="1793862089">
                                          <w:marLeft w:val="0"/>
                                          <w:marRight w:val="0"/>
                                          <w:marTop w:val="0"/>
                                          <w:marBottom w:val="0"/>
                                          <w:divBdr>
                                            <w:top w:val="none" w:sz="0" w:space="0" w:color="auto"/>
                                            <w:left w:val="none" w:sz="0" w:space="0" w:color="auto"/>
                                            <w:bottom w:val="none" w:sz="0" w:space="0" w:color="auto"/>
                                            <w:right w:val="none" w:sz="0" w:space="0" w:color="auto"/>
                                          </w:divBdr>
                                          <w:divsChild>
                                            <w:div w:id="1823083587">
                                              <w:marLeft w:val="0"/>
                                              <w:marRight w:val="0"/>
                                              <w:marTop w:val="0"/>
                                              <w:marBottom w:val="0"/>
                                              <w:divBdr>
                                                <w:top w:val="none" w:sz="0" w:space="0" w:color="auto"/>
                                                <w:left w:val="none" w:sz="0" w:space="0" w:color="auto"/>
                                                <w:bottom w:val="none" w:sz="0" w:space="0" w:color="auto"/>
                                                <w:right w:val="none" w:sz="0" w:space="0" w:color="auto"/>
                                              </w:divBdr>
                                              <w:divsChild>
                                                <w:div w:id="622855164">
                                                  <w:marLeft w:val="0"/>
                                                  <w:marRight w:val="0"/>
                                                  <w:marTop w:val="0"/>
                                                  <w:marBottom w:val="0"/>
                                                  <w:divBdr>
                                                    <w:top w:val="none" w:sz="0" w:space="0" w:color="auto"/>
                                                    <w:left w:val="none" w:sz="0" w:space="0" w:color="auto"/>
                                                    <w:bottom w:val="none" w:sz="0" w:space="0" w:color="auto"/>
                                                    <w:right w:val="none" w:sz="0" w:space="0" w:color="auto"/>
                                                  </w:divBdr>
                                                  <w:divsChild>
                                                    <w:div w:id="1730181533">
                                                      <w:marLeft w:val="0"/>
                                                      <w:marRight w:val="0"/>
                                                      <w:marTop w:val="0"/>
                                                      <w:marBottom w:val="0"/>
                                                      <w:divBdr>
                                                        <w:top w:val="none" w:sz="0" w:space="0" w:color="auto"/>
                                                        <w:left w:val="none" w:sz="0" w:space="0" w:color="auto"/>
                                                        <w:bottom w:val="none" w:sz="0" w:space="0" w:color="auto"/>
                                                        <w:right w:val="none" w:sz="0" w:space="0" w:color="auto"/>
                                                      </w:divBdr>
                                                      <w:divsChild>
                                                        <w:div w:id="712383472">
                                                          <w:marLeft w:val="0"/>
                                                          <w:marRight w:val="0"/>
                                                          <w:marTop w:val="0"/>
                                                          <w:marBottom w:val="0"/>
                                                          <w:divBdr>
                                                            <w:top w:val="none" w:sz="0" w:space="0" w:color="auto"/>
                                                            <w:left w:val="none" w:sz="0" w:space="0" w:color="auto"/>
                                                            <w:bottom w:val="none" w:sz="0" w:space="0" w:color="auto"/>
                                                            <w:right w:val="none" w:sz="0" w:space="0" w:color="auto"/>
                                                          </w:divBdr>
                                                          <w:divsChild>
                                                            <w:div w:id="1738280395">
                                                              <w:marLeft w:val="0"/>
                                                              <w:marRight w:val="0"/>
                                                              <w:marTop w:val="0"/>
                                                              <w:marBottom w:val="0"/>
                                                              <w:divBdr>
                                                                <w:top w:val="none" w:sz="0" w:space="0" w:color="auto"/>
                                                                <w:left w:val="none" w:sz="0" w:space="0" w:color="auto"/>
                                                                <w:bottom w:val="none" w:sz="0" w:space="0" w:color="auto"/>
                                                                <w:right w:val="none" w:sz="0" w:space="0" w:color="auto"/>
                                                              </w:divBdr>
                                                              <w:divsChild>
                                                                <w:div w:id="15791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081421">
      <w:bodyDiv w:val="1"/>
      <w:marLeft w:val="0"/>
      <w:marRight w:val="0"/>
      <w:marTop w:val="0"/>
      <w:marBottom w:val="0"/>
      <w:divBdr>
        <w:top w:val="none" w:sz="0" w:space="0" w:color="auto"/>
        <w:left w:val="none" w:sz="0" w:space="0" w:color="auto"/>
        <w:bottom w:val="none" w:sz="0" w:space="0" w:color="auto"/>
        <w:right w:val="none" w:sz="0" w:space="0" w:color="auto"/>
      </w:divBdr>
    </w:div>
    <w:div w:id="398675067">
      <w:bodyDiv w:val="1"/>
      <w:marLeft w:val="0"/>
      <w:marRight w:val="0"/>
      <w:marTop w:val="0"/>
      <w:marBottom w:val="0"/>
      <w:divBdr>
        <w:top w:val="none" w:sz="0" w:space="0" w:color="auto"/>
        <w:left w:val="none" w:sz="0" w:space="0" w:color="auto"/>
        <w:bottom w:val="none" w:sz="0" w:space="0" w:color="auto"/>
        <w:right w:val="none" w:sz="0" w:space="0" w:color="auto"/>
      </w:divBdr>
    </w:div>
    <w:div w:id="402527269">
      <w:bodyDiv w:val="1"/>
      <w:marLeft w:val="0"/>
      <w:marRight w:val="0"/>
      <w:marTop w:val="0"/>
      <w:marBottom w:val="0"/>
      <w:divBdr>
        <w:top w:val="none" w:sz="0" w:space="0" w:color="auto"/>
        <w:left w:val="none" w:sz="0" w:space="0" w:color="auto"/>
        <w:bottom w:val="none" w:sz="0" w:space="0" w:color="auto"/>
        <w:right w:val="none" w:sz="0" w:space="0" w:color="auto"/>
      </w:divBdr>
    </w:div>
    <w:div w:id="406001176">
      <w:bodyDiv w:val="1"/>
      <w:marLeft w:val="0"/>
      <w:marRight w:val="0"/>
      <w:marTop w:val="0"/>
      <w:marBottom w:val="0"/>
      <w:divBdr>
        <w:top w:val="none" w:sz="0" w:space="0" w:color="auto"/>
        <w:left w:val="none" w:sz="0" w:space="0" w:color="auto"/>
        <w:bottom w:val="none" w:sz="0" w:space="0" w:color="auto"/>
        <w:right w:val="none" w:sz="0" w:space="0" w:color="auto"/>
      </w:divBdr>
      <w:divsChild>
        <w:div w:id="1330789200">
          <w:marLeft w:val="0"/>
          <w:marRight w:val="0"/>
          <w:marTop w:val="0"/>
          <w:marBottom w:val="0"/>
          <w:divBdr>
            <w:top w:val="none" w:sz="0" w:space="0" w:color="auto"/>
            <w:left w:val="none" w:sz="0" w:space="0" w:color="auto"/>
            <w:bottom w:val="none" w:sz="0" w:space="0" w:color="auto"/>
            <w:right w:val="none" w:sz="0" w:space="0" w:color="auto"/>
          </w:divBdr>
          <w:divsChild>
            <w:div w:id="1993867870">
              <w:marLeft w:val="0"/>
              <w:marRight w:val="0"/>
              <w:marTop w:val="0"/>
              <w:marBottom w:val="450"/>
              <w:divBdr>
                <w:top w:val="none" w:sz="0" w:space="0" w:color="auto"/>
                <w:left w:val="none" w:sz="0" w:space="0" w:color="auto"/>
                <w:bottom w:val="none" w:sz="0" w:space="0" w:color="auto"/>
                <w:right w:val="none" w:sz="0" w:space="0" w:color="auto"/>
              </w:divBdr>
              <w:divsChild>
                <w:div w:id="1210652556">
                  <w:marLeft w:val="0"/>
                  <w:marRight w:val="0"/>
                  <w:marTop w:val="0"/>
                  <w:marBottom w:val="0"/>
                  <w:divBdr>
                    <w:top w:val="none" w:sz="0" w:space="0" w:color="auto"/>
                    <w:left w:val="none" w:sz="0" w:space="0" w:color="auto"/>
                    <w:bottom w:val="none" w:sz="0" w:space="0" w:color="auto"/>
                    <w:right w:val="none" w:sz="0" w:space="0" w:color="auto"/>
                  </w:divBdr>
                  <w:divsChild>
                    <w:div w:id="1061709523">
                      <w:marLeft w:val="-225"/>
                      <w:marRight w:val="-225"/>
                      <w:marTop w:val="0"/>
                      <w:marBottom w:val="0"/>
                      <w:divBdr>
                        <w:top w:val="none" w:sz="0" w:space="0" w:color="auto"/>
                        <w:left w:val="none" w:sz="0" w:space="0" w:color="auto"/>
                        <w:bottom w:val="none" w:sz="0" w:space="0" w:color="auto"/>
                        <w:right w:val="none" w:sz="0" w:space="0" w:color="auto"/>
                      </w:divBdr>
                      <w:divsChild>
                        <w:div w:id="1544710473">
                          <w:marLeft w:val="0"/>
                          <w:marRight w:val="0"/>
                          <w:marTop w:val="0"/>
                          <w:marBottom w:val="0"/>
                          <w:divBdr>
                            <w:top w:val="none" w:sz="0" w:space="0" w:color="auto"/>
                            <w:left w:val="none" w:sz="0" w:space="0" w:color="auto"/>
                            <w:bottom w:val="none" w:sz="0" w:space="0" w:color="auto"/>
                            <w:right w:val="none" w:sz="0" w:space="0" w:color="auto"/>
                          </w:divBdr>
                          <w:divsChild>
                            <w:div w:id="1403791328">
                              <w:marLeft w:val="0"/>
                              <w:marRight w:val="0"/>
                              <w:marTop w:val="0"/>
                              <w:marBottom w:val="0"/>
                              <w:divBdr>
                                <w:top w:val="none" w:sz="0" w:space="0" w:color="auto"/>
                                <w:left w:val="none" w:sz="0" w:space="0" w:color="auto"/>
                                <w:bottom w:val="none" w:sz="0" w:space="0" w:color="auto"/>
                                <w:right w:val="none" w:sz="0" w:space="0" w:color="auto"/>
                              </w:divBdr>
                              <w:divsChild>
                                <w:div w:id="108164079">
                                  <w:marLeft w:val="-225"/>
                                  <w:marRight w:val="-225"/>
                                  <w:marTop w:val="0"/>
                                  <w:marBottom w:val="0"/>
                                  <w:divBdr>
                                    <w:top w:val="none" w:sz="0" w:space="0" w:color="auto"/>
                                    <w:left w:val="none" w:sz="0" w:space="0" w:color="auto"/>
                                    <w:bottom w:val="none" w:sz="0" w:space="0" w:color="auto"/>
                                    <w:right w:val="none" w:sz="0" w:space="0" w:color="auto"/>
                                  </w:divBdr>
                                  <w:divsChild>
                                    <w:div w:id="934050154">
                                      <w:marLeft w:val="0"/>
                                      <w:marRight w:val="0"/>
                                      <w:marTop w:val="0"/>
                                      <w:marBottom w:val="0"/>
                                      <w:divBdr>
                                        <w:top w:val="none" w:sz="0" w:space="0" w:color="auto"/>
                                        <w:left w:val="none" w:sz="0" w:space="0" w:color="auto"/>
                                        <w:bottom w:val="none" w:sz="0" w:space="0" w:color="auto"/>
                                        <w:right w:val="none" w:sz="0" w:space="0" w:color="auto"/>
                                      </w:divBdr>
                                      <w:divsChild>
                                        <w:div w:id="1881091190">
                                          <w:marLeft w:val="0"/>
                                          <w:marRight w:val="0"/>
                                          <w:marTop w:val="0"/>
                                          <w:marBottom w:val="0"/>
                                          <w:divBdr>
                                            <w:top w:val="none" w:sz="0" w:space="0" w:color="auto"/>
                                            <w:left w:val="none" w:sz="0" w:space="0" w:color="auto"/>
                                            <w:bottom w:val="none" w:sz="0" w:space="0" w:color="auto"/>
                                            <w:right w:val="none" w:sz="0" w:space="0" w:color="auto"/>
                                          </w:divBdr>
                                          <w:divsChild>
                                            <w:div w:id="968901760">
                                              <w:marLeft w:val="0"/>
                                              <w:marRight w:val="0"/>
                                              <w:marTop w:val="0"/>
                                              <w:marBottom w:val="0"/>
                                              <w:divBdr>
                                                <w:top w:val="none" w:sz="0" w:space="0" w:color="auto"/>
                                                <w:left w:val="none" w:sz="0" w:space="0" w:color="auto"/>
                                                <w:bottom w:val="none" w:sz="0" w:space="0" w:color="auto"/>
                                                <w:right w:val="none" w:sz="0" w:space="0" w:color="auto"/>
                                              </w:divBdr>
                                              <w:divsChild>
                                                <w:div w:id="1934973303">
                                                  <w:marLeft w:val="0"/>
                                                  <w:marRight w:val="0"/>
                                                  <w:marTop w:val="0"/>
                                                  <w:marBottom w:val="0"/>
                                                  <w:divBdr>
                                                    <w:top w:val="none" w:sz="0" w:space="0" w:color="auto"/>
                                                    <w:left w:val="none" w:sz="0" w:space="0" w:color="auto"/>
                                                    <w:bottom w:val="none" w:sz="0" w:space="0" w:color="auto"/>
                                                    <w:right w:val="none" w:sz="0" w:space="0" w:color="auto"/>
                                                  </w:divBdr>
                                                  <w:divsChild>
                                                    <w:div w:id="2039962073">
                                                      <w:marLeft w:val="0"/>
                                                      <w:marRight w:val="0"/>
                                                      <w:marTop w:val="0"/>
                                                      <w:marBottom w:val="0"/>
                                                      <w:divBdr>
                                                        <w:top w:val="none" w:sz="0" w:space="0" w:color="auto"/>
                                                        <w:left w:val="none" w:sz="0" w:space="0" w:color="auto"/>
                                                        <w:bottom w:val="none" w:sz="0" w:space="0" w:color="auto"/>
                                                        <w:right w:val="none" w:sz="0" w:space="0" w:color="auto"/>
                                                      </w:divBdr>
                                                      <w:divsChild>
                                                        <w:div w:id="1625186627">
                                                          <w:marLeft w:val="0"/>
                                                          <w:marRight w:val="0"/>
                                                          <w:marTop w:val="0"/>
                                                          <w:marBottom w:val="0"/>
                                                          <w:divBdr>
                                                            <w:top w:val="none" w:sz="0" w:space="0" w:color="auto"/>
                                                            <w:left w:val="none" w:sz="0" w:space="0" w:color="auto"/>
                                                            <w:bottom w:val="none" w:sz="0" w:space="0" w:color="auto"/>
                                                            <w:right w:val="none" w:sz="0" w:space="0" w:color="auto"/>
                                                          </w:divBdr>
                                                          <w:divsChild>
                                                            <w:div w:id="685135247">
                                                              <w:marLeft w:val="0"/>
                                                              <w:marRight w:val="0"/>
                                                              <w:marTop w:val="0"/>
                                                              <w:marBottom w:val="0"/>
                                                              <w:divBdr>
                                                                <w:top w:val="none" w:sz="0" w:space="0" w:color="auto"/>
                                                                <w:left w:val="none" w:sz="0" w:space="0" w:color="auto"/>
                                                                <w:bottom w:val="none" w:sz="0" w:space="0" w:color="auto"/>
                                                                <w:right w:val="none" w:sz="0" w:space="0" w:color="auto"/>
                                                              </w:divBdr>
                                                              <w:divsChild>
                                                                <w:div w:id="5817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37718">
      <w:bodyDiv w:val="1"/>
      <w:marLeft w:val="0"/>
      <w:marRight w:val="0"/>
      <w:marTop w:val="0"/>
      <w:marBottom w:val="0"/>
      <w:divBdr>
        <w:top w:val="none" w:sz="0" w:space="0" w:color="auto"/>
        <w:left w:val="none" w:sz="0" w:space="0" w:color="auto"/>
        <w:bottom w:val="none" w:sz="0" w:space="0" w:color="auto"/>
        <w:right w:val="none" w:sz="0" w:space="0" w:color="auto"/>
      </w:divBdr>
      <w:divsChild>
        <w:div w:id="801846721">
          <w:marLeft w:val="0"/>
          <w:marRight w:val="0"/>
          <w:marTop w:val="0"/>
          <w:marBottom w:val="0"/>
          <w:divBdr>
            <w:top w:val="none" w:sz="0" w:space="0" w:color="auto"/>
            <w:left w:val="none" w:sz="0" w:space="0" w:color="auto"/>
            <w:bottom w:val="none" w:sz="0" w:space="0" w:color="auto"/>
            <w:right w:val="none" w:sz="0" w:space="0" w:color="auto"/>
          </w:divBdr>
        </w:div>
        <w:div w:id="853496198">
          <w:marLeft w:val="0"/>
          <w:marRight w:val="0"/>
          <w:marTop w:val="0"/>
          <w:marBottom w:val="0"/>
          <w:divBdr>
            <w:top w:val="none" w:sz="0" w:space="0" w:color="auto"/>
            <w:left w:val="none" w:sz="0" w:space="0" w:color="auto"/>
            <w:bottom w:val="none" w:sz="0" w:space="0" w:color="auto"/>
            <w:right w:val="none" w:sz="0" w:space="0" w:color="auto"/>
          </w:divBdr>
        </w:div>
        <w:div w:id="728384984">
          <w:marLeft w:val="0"/>
          <w:marRight w:val="0"/>
          <w:marTop w:val="0"/>
          <w:marBottom w:val="0"/>
          <w:divBdr>
            <w:top w:val="none" w:sz="0" w:space="0" w:color="auto"/>
            <w:left w:val="none" w:sz="0" w:space="0" w:color="auto"/>
            <w:bottom w:val="none" w:sz="0" w:space="0" w:color="auto"/>
            <w:right w:val="none" w:sz="0" w:space="0" w:color="auto"/>
          </w:divBdr>
        </w:div>
      </w:divsChild>
    </w:div>
    <w:div w:id="446972928">
      <w:bodyDiv w:val="1"/>
      <w:marLeft w:val="0"/>
      <w:marRight w:val="0"/>
      <w:marTop w:val="0"/>
      <w:marBottom w:val="0"/>
      <w:divBdr>
        <w:top w:val="none" w:sz="0" w:space="0" w:color="auto"/>
        <w:left w:val="none" w:sz="0" w:space="0" w:color="auto"/>
        <w:bottom w:val="none" w:sz="0" w:space="0" w:color="auto"/>
        <w:right w:val="none" w:sz="0" w:space="0" w:color="auto"/>
      </w:divBdr>
    </w:div>
    <w:div w:id="470706787">
      <w:bodyDiv w:val="1"/>
      <w:marLeft w:val="0"/>
      <w:marRight w:val="0"/>
      <w:marTop w:val="0"/>
      <w:marBottom w:val="0"/>
      <w:divBdr>
        <w:top w:val="none" w:sz="0" w:space="0" w:color="auto"/>
        <w:left w:val="none" w:sz="0" w:space="0" w:color="auto"/>
        <w:bottom w:val="none" w:sz="0" w:space="0" w:color="auto"/>
        <w:right w:val="none" w:sz="0" w:space="0" w:color="auto"/>
      </w:divBdr>
      <w:divsChild>
        <w:div w:id="1635676539">
          <w:marLeft w:val="0"/>
          <w:marRight w:val="0"/>
          <w:marTop w:val="0"/>
          <w:marBottom w:val="0"/>
          <w:divBdr>
            <w:top w:val="none" w:sz="0" w:space="0" w:color="auto"/>
            <w:left w:val="none" w:sz="0" w:space="0" w:color="auto"/>
            <w:bottom w:val="none" w:sz="0" w:space="0" w:color="auto"/>
            <w:right w:val="none" w:sz="0" w:space="0" w:color="auto"/>
          </w:divBdr>
          <w:divsChild>
            <w:div w:id="725108677">
              <w:marLeft w:val="0"/>
              <w:marRight w:val="0"/>
              <w:marTop w:val="0"/>
              <w:marBottom w:val="150"/>
              <w:divBdr>
                <w:top w:val="none" w:sz="0" w:space="0" w:color="auto"/>
                <w:left w:val="none" w:sz="0" w:space="0" w:color="auto"/>
                <w:bottom w:val="none" w:sz="0" w:space="0" w:color="auto"/>
                <w:right w:val="none" w:sz="0" w:space="0" w:color="auto"/>
              </w:divBdr>
              <w:divsChild>
                <w:div w:id="400179596">
                  <w:marLeft w:val="0"/>
                  <w:marRight w:val="0"/>
                  <w:marTop w:val="0"/>
                  <w:marBottom w:val="0"/>
                  <w:divBdr>
                    <w:top w:val="none" w:sz="0" w:space="0" w:color="auto"/>
                    <w:left w:val="none" w:sz="0" w:space="0" w:color="auto"/>
                    <w:bottom w:val="none" w:sz="0" w:space="0" w:color="auto"/>
                    <w:right w:val="none" w:sz="0" w:space="0" w:color="auto"/>
                  </w:divBdr>
                  <w:divsChild>
                    <w:div w:id="1858618263">
                      <w:marLeft w:val="0"/>
                      <w:marRight w:val="0"/>
                      <w:marTop w:val="0"/>
                      <w:marBottom w:val="0"/>
                      <w:divBdr>
                        <w:top w:val="none" w:sz="0" w:space="0" w:color="auto"/>
                        <w:left w:val="none" w:sz="0" w:space="0" w:color="auto"/>
                        <w:bottom w:val="none" w:sz="0" w:space="0" w:color="auto"/>
                        <w:right w:val="none" w:sz="0" w:space="0" w:color="auto"/>
                      </w:divBdr>
                      <w:divsChild>
                        <w:div w:id="1645886708">
                          <w:marLeft w:val="0"/>
                          <w:marRight w:val="0"/>
                          <w:marTop w:val="0"/>
                          <w:marBottom w:val="0"/>
                          <w:divBdr>
                            <w:top w:val="none" w:sz="0" w:space="0" w:color="auto"/>
                            <w:left w:val="none" w:sz="0" w:space="0" w:color="auto"/>
                            <w:bottom w:val="none" w:sz="0" w:space="0" w:color="auto"/>
                            <w:right w:val="none" w:sz="0" w:space="0" w:color="auto"/>
                          </w:divBdr>
                          <w:divsChild>
                            <w:div w:id="1214198880">
                              <w:marLeft w:val="0"/>
                              <w:marRight w:val="0"/>
                              <w:marTop w:val="0"/>
                              <w:marBottom w:val="0"/>
                              <w:divBdr>
                                <w:top w:val="none" w:sz="0" w:space="0" w:color="auto"/>
                                <w:left w:val="none" w:sz="0" w:space="0" w:color="auto"/>
                                <w:bottom w:val="none" w:sz="0" w:space="0" w:color="auto"/>
                                <w:right w:val="none" w:sz="0" w:space="0" w:color="auto"/>
                              </w:divBdr>
                              <w:divsChild>
                                <w:div w:id="1288849328">
                                  <w:marLeft w:val="0"/>
                                  <w:marRight w:val="-3600"/>
                                  <w:marTop w:val="150"/>
                                  <w:marBottom w:val="0"/>
                                  <w:divBdr>
                                    <w:top w:val="none" w:sz="0" w:space="0" w:color="auto"/>
                                    <w:left w:val="none" w:sz="0" w:space="0" w:color="auto"/>
                                    <w:bottom w:val="none" w:sz="0" w:space="0" w:color="auto"/>
                                    <w:right w:val="none" w:sz="0" w:space="0" w:color="auto"/>
                                  </w:divBdr>
                                  <w:divsChild>
                                    <w:div w:id="1284918493">
                                      <w:marLeft w:val="0"/>
                                      <w:marRight w:val="3600"/>
                                      <w:marTop w:val="0"/>
                                      <w:marBottom w:val="0"/>
                                      <w:divBdr>
                                        <w:top w:val="none" w:sz="0" w:space="0" w:color="auto"/>
                                        <w:left w:val="none" w:sz="0" w:space="0" w:color="auto"/>
                                        <w:bottom w:val="none" w:sz="0" w:space="0" w:color="auto"/>
                                        <w:right w:val="none" w:sz="0" w:space="0" w:color="auto"/>
                                      </w:divBdr>
                                      <w:divsChild>
                                        <w:div w:id="208149641">
                                          <w:marLeft w:val="0"/>
                                          <w:marRight w:val="0"/>
                                          <w:marTop w:val="0"/>
                                          <w:marBottom w:val="0"/>
                                          <w:divBdr>
                                            <w:top w:val="none" w:sz="0" w:space="0" w:color="auto"/>
                                            <w:left w:val="none" w:sz="0" w:space="0" w:color="auto"/>
                                            <w:bottom w:val="none" w:sz="0" w:space="0" w:color="auto"/>
                                            <w:right w:val="none" w:sz="0" w:space="0" w:color="auto"/>
                                          </w:divBdr>
                                          <w:divsChild>
                                            <w:div w:id="362441452">
                                              <w:marLeft w:val="0"/>
                                              <w:marRight w:val="0"/>
                                              <w:marTop w:val="0"/>
                                              <w:marBottom w:val="0"/>
                                              <w:divBdr>
                                                <w:top w:val="none" w:sz="0" w:space="0" w:color="auto"/>
                                                <w:left w:val="none" w:sz="0" w:space="0" w:color="auto"/>
                                                <w:bottom w:val="none" w:sz="0" w:space="0" w:color="auto"/>
                                                <w:right w:val="none" w:sz="0" w:space="0" w:color="auto"/>
                                              </w:divBdr>
                                              <w:divsChild>
                                                <w:div w:id="1610506471">
                                                  <w:marLeft w:val="0"/>
                                                  <w:marRight w:val="0"/>
                                                  <w:marTop w:val="0"/>
                                                  <w:marBottom w:val="0"/>
                                                  <w:divBdr>
                                                    <w:top w:val="none" w:sz="0" w:space="0" w:color="auto"/>
                                                    <w:left w:val="none" w:sz="0" w:space="0" w:color="auto"/>
                                                    <w:bottom w:val="none" w:sz="0" w:space="0" w:color="auto"/>
                                                    <w:right w:val="none" w:sz="0" w:space="0" w:color="auto"/>
                                                  </w:divBdr>
                                                  <w:divsChild>
                                                    <w:div w:id="455493593">
                                                      <w:marLeft w:val="0"/>
                                                      <w:marRight w:val="0"/>
                                                      <w:marTop w:val="0"/>
                                                      <w:marBottom w:val="0"/>
                                                      <w:divBdr>
                                                        <w:top w:val="none" w:sz="0" w:space="0" w:color="auto"/>
                                                        <w:left w:val="none" w:sz="0" w:space="0" w:color="auto"/>
                                                        <w:bottom w:val="none" w:sz="0" w:space="0" w:color="auto"/>
                                                        <w:right w:val="none" w:sz="0" w:space="0" w:color="auto"/>
                                                      </w:divBdr>
                                                      <w:divsChild>
                                                        <w:div w:id="682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514787">
      <w:bodyDiv w:val="1"/>
      <w:marLeft w:val="0"/>
      <w:marRight w:val="0"/>
      <w:marTop w:val="0"/>
      <w:marBottom w:val="0"/>
      <w:divBdr>
        <w:top w:val="none" w:sz="0" w:space="0" w:color="auto"/>
        <w:left w:val="none" w:sz="0" w:space="0" w:color="auto"/>
        <w:bottom w:val="none" w:sz="0" w:space="0" w:color="auto"/>
        <w:right w:val="none" w:sz="0" w:space="0" w:color="auto"/>
      </w:divBdr>
    </w:div>
    <w:div w:id="575744209">
      <w:bodyDiv w:val="1"/>
      <w:marLeft w:val="0"/>
      <w:marRight w:val="0"/>
      <w:marTop w:val="0"/>
      <w:marBottom w:val="0"/>
      <w:divBdr>
        <w:top w:val="none" w:sz="0" w:space="0" w:color="auto"/>
        <w:left w:val="none" w:sz="0" w:space="0" w:color="auto"/>
        <w:bottom w:val="none" w:sz="0" w:space="0" w:color="auto"/>
        <w:right w:val="none" w:sz="0" w:space="0" w:color="auto"/>
      </w:divBdr>
      <w:divsChild>
        <w:div w:id="2019962093">
          <w:marLeft w:val="0"/>
          <w:marRight w:val="0"/>
          <w:marTop w:val="0"/>
          <w:marBottom w:val="0"/>
          <w:divBdr>
            <w:top w:val="none" w:sz="0" w:space="0" w:color="auto"/>
            <w:left w:val="none" w:sz="0" w:space="0" w:color="auto"/>
            <w:bottom w:val="none" w:sz="0" w:space="0" w:color="auto"/>
            <w:right w:val="none" w:sz="0" w:space="0" w:color="auto"/>
          </w:divBdr>
          <w:divsChild>
            <w:div w:id="1858034007">
              <w:marLeft w:val="0"/>
              <w:marRight w:val="0"/>
              <w:marTop w:val="0"/>
              <w:marBottom w:val="0"/>
              <w:divBdr>
                <w:top w:val="none" w:sz="0" w:space="0" w:color="auto"/>
                <w:left w:val="none" w:sz="0" w:space="0" w:color="auto"/>
                <w:bottom w:val="none" w:sz="0" w:space="0" w:color="auto"/>
                <w:right w:val="none" w:sz="0" w:space="0" w:color="auto"/>
              </w:divBdr>
              <w:divsChild>
                <w:div w:id="1388721546">
                  <w:marLeft w:val="0"/>
                  <w:marRight w:val="0"/>
                  <w:marTop w:val="0"/>
                  <w:marBottom w:val="0"/>
                  <w:divBdr>
                    <w:top w:val="none" w:sz="0" w:space="0" w:color="auto"/>
                    <w:left w:val="none" w:sz="0" w:space="0" w:color="auto"/>
                    <w:bottom w:val="none" w:sz="0" w:space="0" w:color="auto"/>
                    <w:right w:val="none" w:sz="0" w:space="0" w:color="auto"/>
                  </w:divBdr>
                  <w:divsChild>
                    <w:div w:id="1406414983">
                      <w:marLeft w:val="0"/>
                      <w:marRight w:val="0"/>
                      <w:marTop w:val="0"/>
                      <w:marBottom w:val="0"/>
                      <w:divBdr>
                        <w:top w:val="none" w:sz="0" w:space="0" w:color="auto"/>
                        <w:left w:val="none" w:sz="0" w:space="0" w:color="auto"/>
                        <w:bottom w:val="none" w:sz="0" w:space="0" w:color="auto"/>
                        <w:right w:val="none" w:sz="0" w:space="0" w:color="auto"/>
                      </w:divBdr>
                    </w:div>
                  </w:divsChild>
                </w:div>
                <w:div w:id="203257890">
                  <w:marLeft w:val="0"/>
                  <w:marRight w:val="0"/>
                  <w:marTop w:val="0"/>
                  <w:marBottom w:val="0"/>
                  <w:divBdr>
                    <w:top w:val="none" w:sz="0" w:space="0" w:color="auto"/>
                    <w:left w:val="none" w:sz="0" w:space="0" w:color="auto"/>
                    <w:bottom w:val="none" w:sz="0" w:space="0" w:color="auto"/>
                    <w:right w:val="none" w:sz="0" w:space="0" w:color="auto"/>
                  </w:divBdr>
                  <w:divsChild>
                    <w:div w:id="259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1042">
      <w:bodyDiv w:val="1"/>
      <w:marLeft w:val="0"/>
      <w:marRight w:val="0"/>
      <w:marTop w:val="0"/>
      <w:marBottom w:val="0"/>
      <w:divBdr>
        <w:top w:val="none" w:sz="0" w:space="0" w:color="auto"/>
        <w:left w:val="none" w:sz="0" w:space="0" w:color="auto"/>
        <w:bottom w:val="none" w:sz="0" w:space="0" w:color="auto"/>
        <w:right w:val="none" w:sz="0" w:space="0" w:color="auto"/>
      </w:divBdr>
    </w:div>
    <w:div w:id="594946412">
      <w:bodyDiv w:val="1"/>
      <w:marLeft w:val="0"/>
      <w:marRight w:val="0"/>
      <w:marTop w:val="0"/>
      <w:marBottom w:val="0"/>
      <w:divBdr>
        <w:top w:val="none" w:sz="0" w:space="0" w:color="auto"/>
        <w:left w:val="none" w:sz="0" w:space="0" w:color="auto"/>
        <w:bottom w:val="none" w:sz="0" w:space="0" w:color="auto"/>
        <w:right w:val="none" w:sz="0" w:space="0" w:color="auto"/>
      </w:divBdr>
    </w:div>
    <w:div w:id="607274443">
      <w:bodyDiv w:val="1"/>
      <w:marLeft w:val="0"/>
      <w:marRight w:val="0"/>
      <w:marTop w:val="0"/>
      <w:marBottom w:val="0"/>
      <w:divBdr>
        <w:top w:val="none" w:sz="0" w:space="0" w:color="auto"/>
        <w:left w:val="none" w:sz="0" w:space="0" w:color="auto"/>
        <w:bottom w:val="none" w:sz="0" w:space="0" w:color="auto"/>
        <w:right w:val="none" w:sz="0" w:space="0" w:color="auto"/>
      </w:divBdr>
      <w:divsChild>
        <w:div w:id="2083983992">
          <w:marLeft w:val="0"/>
          <w:marRight w:val="0"/>
          <w:marTop w:val="0"/>
          <w:marBottom w:val="0"/>
          <w:divBdr>
            <w:top w:val="none" w:sz="0" w:space="0" w:color="auto"/>
            <w:left w:val="none" w:sz="0" w:space="0" w:color="auto"/>
            <w:bottom w:val="none" w:sz="0" w:space="0" w:color="auto"/>
            <w:right w:val="none" w:sz="0" w:space="0" w:color="auto"/>
          </w:divBdr>
          <w:divsChild>
            <w:div w:id="1921450658">
              <w:marLeft w:val="-150"/>
              <w:marRight w:val="-150"/>
              <w:marTop w:val="0"/>
              <w:marBottom w:val="0"/>
              <w:divBdr>
                <w:top w:val="none" w:sz="0" w:space="0" w:color="auto"/>
                <w:left w:val="none" w:sz="0" w:space="0" w:color="auto"/>
                <w:bottom w:val="none" w:sz="0" w:space="0" w:color="auto"/>
                <w:right w:val="none" w:sz="0" w:space="0" w:color="auto"/>
              </w:divBdr>
              <w:divsChild>
                <w:div w:id="1905487686">
                  <w:marLeft w:val="0"/>
                  <w:marRight w:val="0"/>
                  <w:marTop w:val="0"/>
                  <w:marBottom w:val="0"/>
                  <w:divBdr>
                    <w:top w:val="none" w:sz="0" w:space="0" w:color="auto"/>
                    <w:left w:val="none" w:sz="0" w:space="0" w:color="auto"/>
                    <w:bottom w:val="none" w:sz="0" w:space="0" w:color="auto"/>
                    <w:right w:val="none" w:sz="0" w:space="0" w:color="auto"/>
                  </w:divBdr>
                  <w:divsChild>
                    <w:div w:id="186724288">
                      <w:marLeft w:val="0"/>
                      <w:marRight w:val="0"/>
                      <w:marTop w:val="0"/>
                      <w:marBottom w:val="0"/>
                      <w:divBdr>
                        <w:top w:val="none" w:sz="0" w:space="0" w:color="auto"/>
                        <w:left w:val="none" w:sz="0" w:space="0" w:color="auto"/>
                        <w:bottom w:val="none" w:sz="0" w:space="0" w:color="auto"/>
                        <w:right w:val="none" w:sz="0" w:space="0" w:color="auto"/>
                      </w:divBdr>
                      <w:divsChild>
                        <w:div w:id="621807750">
                          <w:marLeft w:val="0"/>
                          <w:marRight w:val="0"/>
                          <w:marTop w:val="0"/>
                          <w:marBottom w:val="0"/>
                          <w:divBdr>
                            <w:top w:val="none" w:sz="0" w:space="0" w:color="auto"/>
                            <w:left w:val="none" w:sz="0" w:space="0" w:color="auto"/>
                            <w:bottom w:val="none" w:sz="0" w:space="0" w:color="auto"/>
                            <w:right w:val="none" w:sz="0" w:space="0" w:color="auto"/>
                          </w:divBdr>
                          <w:divsChild>
                            <w:div w:id="522479951">
                              <w:marLeft w:val="0"/>
                              <w:marRight w:val="0"/>
                              <w:marTop w:val="0"/>
                              <w:marBottom w:val="0"/>
                              <w:divBdr>
                                <w:top w:val="none" w:sz="0" w:space="0" w:color="auto"/>
                                <w:left w:val="none" w:sz="0" w:space="0" w:color="auto"/>
                                <w:bottom w:val="none" w:sz="0" w:space="0" w:color="auto"/>
                                <w:right w:val="none" w:sz="0" w:space="0" w:color="auto"/>
                              </w:divBdr>
                              <w:divsChild>
                                <w:div w:id="908225234">
                                  <w:marLeft w:val="0"/>
                                  <w:marRight w:val="0"/>
                                  <w:marTop w:val="0"/>
                                  <w:marBottom w:val="0"/>
                                  <w:divBdr>
                                    <w:top w:val="none" w:sz="0" w:space="0" w:color="auto"/>
                                    <w:left w:val="none" w:sz="0" w:space="0" w:color="auto"/>
                                    <w:bottom w:val="none" w:sz="0" w:space="0" w:color="auto"/>
                                    <w:right w:val="none" w:sz="0" w:space="0" w:color="auto"/>
                                  </w:divBdr>
                                  <w:divsChild>
                                    <w:div w:id="992217417">
                                      <w:marLeft w:val="0"/>
                                      <w:marRight w:val="0"/>
                                      <w:marTop w:val="0"/>
                                      <w:marBottom w:val="0"/>
                                      <w:divBdr>
                                        <w:top w:val="none" w:sz="0" w:space="0" w:color="auto"/>
                                        <w:left w:val="none" w:sz="0" w:space="0" w:color="auto"/>
                                        <w:bottom w:val="none" w:sz="0" w:space="0" w:color="auto"/>
                                        <w:right w:val="none" w:sz="0" w:space="0" w:color="auto"/>
                                      </w:divBdr>
                                      <w:divsChild>
                                        <w:div w:id="1117874248">
                                          <w:marLeft w:val="0"/>
                                          <w:marRight w:val="0"/>
                                          <w:marTop w:val="0"/>
                                          <w:marBottom w:val="0"/>
                                          <w:divBdr>
                                            <w:top w:val="none" w:sz="0" w:space="0" w:color="auto"/>
                                            <w:left w:val="none" w:sz="0" w:space="0" w:color="auto"/>
                                            <w:bottom w:val="none" w:sz="0" w:space="0" w:color="auto"/>
                                            <w:right w:val="none" w:sz="0" w:space="0" w:color="auto"/>
                                          </w:divBdr>
                                          <w:divsChild>
                                            <w:div w:id="2097357004">
                                              <w:marLeft w:val="0"/>
                                              <w:marRight w:val="0"/>
                                              <w:marTop w:val="0"/>
                                              <w:marBottom w:val="0"/>
                                              <w:divBdr>
                                                <w:top w:val="none" w:sz="0" w:space="0" w:color="auto"/>
                                                <w:left w:val="none" w:sz="0" w:space="0" w:color="auto"/>
                                                <w:bottom w:val="none" w:sz="0" w:space="0" w:color="auto"/>
                                                <w:right w:val="none" w:sz="0" w:space="0" w:color="auto"/>
                                              </w:divBdr>
                                              <w:divsChild>
                                                <w:div w:id="749429997">
                                                  <w:marLeft w:val="0"/>
                                                  <w:marRight w:val="0"/>
                                                  <w:marTop w:val="0"/>
                                                  <w:marBottom w:val="0"/>
                                                  <w:divBdr>
                                                    <w:top w:val="none" w:sz="0" w:space="0" w:color="auto"/>
                                                    <w:left w:val="none" w:sz="0" w:space="0" w:color="auto"/>
                                                    <w:bottom w:val="none" w:sz="0" w:space="0" w:color="auto"/>
                                                    <w:right w:val="none" w:sz="0" w:space="0" w:color="auto"/>
                                                  </w:divBdr>
                                                  <w:divsChild>
                                                    <w:div w:id="445082472">
                                                      <w:marLeft w:val="0"/>
                                                      <w:marRight w:val="0"/>
                                                      <w:marTop w:val="0"/>
                                                      <w:marBottom w:val="0"/>
                                                      <w:divBdr>
                                                        <w:top w:val="none" w:sz="0" w:space="0" w:color="auto"/>
                                                        <w:left w:val="none" w:sz="0" w:space="0" w:color="auto"/>
                                                        <w:bottom w:val="none" w:sz="0" w:space="0" w:color="auto"/>
                                                        <w:right w:val="none" w:sz="0" w:space="0" w:color="auto"/>
                                                      </w:divBdr>
                                                      <w:divsChild>
                                                        <w:div w:id="15920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219852">
      <w:bodyDiv w:val="1"/>
      <w:marLeft w:val="0"/>
      <w:marRight w:val="0"/>
      <w:marTop w:val="0"/>
      <w:marBottom w:val="0"/>
      <w:divBdr>
        <w:top w:val="none" w:sz="0" w:space="0" w:color="auto"/>
        <w:left w:val="none" w:sz="0" w:space="0" w:color="auto"/>
        <w:bottom w:val="none" w:sz="0" w:space="0" w:color="auto"/>
        <w:right w:val="none" w:sz="0" w:space="0" w:color="auto"/>
      </w:divBdr>
    </w:div>
    <w:div w:id="640429995">
      <w:bodyDiv w:val="1"/>
      <w:marLeft w:val="0"/>
      <w:marRight w:val="0"/>
      <w:marTop w:val="0"/>
      <w:marBottom w:val="0"/>
      <w:divBdr>
        <w:top w:val="none" w:sz="0" w:space="0" w:color="auto"/>
        <w:left w:val="none" w:sz="0" w:space="0" w:color="auto"/>
        <w:bottom w:val="none" w:sz="0" w:space="0" w:color="auto"/>
        <w:right w:val="none" w:sz="0" w:space="0" w:color="auto"/>
      </w:divBdr>
      <w:divsChild>
        <w:div w:id="465854368">
          <w:marLeft w:val="0"/>
          <w:marRight w:val="0"/>
          <w:marTop w:val="0"/>
          <w:marBottom w:val="0"/>
          <w:divBdr>
            <w:top w:val="none" w:sz="0" w:space="0" w:color="auto"/>
            <w:left w:val="none" w:sz="0" w:space="0" w:color="auto"/>
            <w:bottom w:val="none" w:sz="0" w:space="0" w:color="auto"/>
            <w:right w:val="none" w:sz="0" w:space="0" w:color="auto"/>
          </w:divBdr>
          <w:divsChild>
            <w:div w:id="8652287">
              <w:marLeft w:val="0"/>
              <w:marRight w:val="0"/>
              <w:marTop w:val="0"/>
              <w:marBottom w:val="0"/>
              <w:divBdr>
                <w:top w:val="none" w:sz="0" w:space="0" w:color="auto"/>
                <w:left w:val="none" w:sz="0" w:space="0" w:color="auto"/>
                <w:bottom w:val="none" w:sz="0" w:space="0" w:color="auto"/>
                <w:right w:val="none" w:sz="0" w:space="0" w:color="auto"/>
              </w:divBdr>
              <w:divsChild>
                <w:div w:id="1850944922">
                  <w:marLeft w:val="0"/>
                  <w:marRight w:val="0"/>
                  <w:marTop w:val="0"/>
                  <w:marBottom w:val="0"/>
                  <w:divBdr>
                    <w:top w:val="none" w:sz="0" w:space="0" w:color="auto"/>
                    <w:left w:val="none" w:sz="0" w:space="0" w:color="auto"/>
                    <w:bottom w:val="none" w:sz="0" w:space="0" w:color="auto"/>
                    <w:right w:val="none" w:sz="0" w:space="0" w:color="auto"/>
                  </w:divBdr>
                  <w:divsChild>
                    <w:div w:id="1993487066">
                      <w:marLeft w:val="0"/>
                      <w:marRight w:val="0"/>
                      <w:marTop w:val="0"/>
                      <w:marBottom w:val="0"/>
                      <w:divBdr>
                        <w:top w:val="none" w:sz="0" w:space="0" w:color="auto"/>
                        <w:left w:val="none" w:sz="0" w:space="0" w:color="auto"/>
                        <w:bottom w:val="none" w:sz="0" w:space="0" w:color="auto"/>
                        <w:right w:val="none" w:sz="0" w:space="0" w:color="auto"/>
                      </w:divBdr>
                      <w:divsChild>
                        <w:div w:id="1603612705">
                          <w:marLeft w:val="0"/>
                          <w:marRight w:val="0"/>
                          <w:marTop w:val="0"/>
                          <w:marBottom w:val="0"/>
                          <w:divBdr>
                            <w:top w:val="none" w:sz="0" w:space="0" w:color="auto"/>
                            <w:left w:val="none" w:sz="0" w:space="0" w:color="auto"/>
                            <w:bottom w:val="none" w:sz="0" w:space="0" w:color="auto"/>
                            <w:right w:val="none" w:sz="0" w:space="0" w:color="auto"/>
                          </w:divBdr>
                          <w:divsChild>
                            <w:div w:id="485050522">
                              <w:marLeft w:val="0"/>
                              <w:marRight w:val="0"/>
                              <w:marTop w:val="100"/>
                              <w:marBottom w:val="100"/>
                              <w:divBdr>
                                <w:top w:val="none" w:sz="0" w:space="0" w:color="auto"/>
                                <w:left w:val="none" w:sz="0" w:space="0" w:color="auto"/>
                                <w:bottom w:val="none" w:sz="0" w:space="0" w:color="auto"/>
                                <w:right w:val="none" w:sz="0" w:space="0" w:color="auto"/>
                              </w:divBdr>
                              <w:divsChild>
                                <w:div w:id="1590431092">
                                  <w:marLeft w:val="0"/>
                                  <w:marRight w:val="0"/>
                                  <w:marTop w:val="0"/>
                                  <w:marBottom w:val="0"/>
                                  <w:divBdr>
                                    <w:top w:val="none" w:sz="0" w:space="0" w:color="auto"/>
                                    <w:left w:val="none" w:sz="0" w:space="0" w:color="auto"/>
                                    <w:bottom w:val="none" w:sz="0" w:space="0" w:color="auto"/>
                                    <w:right w:val="none" w:sz="0" w:space="0" w:color="auto"/>
                                  </w:divBdr>
                                  <w:divsChild>
                                    <w:div w:id="673454731">
                                      <w:marLeft w:val="0"/>
                                      <w:marRight w:val="0"/>
                                      <w:marTop w:val="0"/>
                                      <w:marBottom w:val="0"/>
                                      <w:divBdr>
                                        <w:top w:val="none" w:sz="0" w:space="0" w:color="auto"/>
                                        <w:left w:val="none" w:sz="0" w:space="0" w:color="auto"/>
                                        <w:bottom w:val="none" w:sz="0" w:space="0" w:color="auto"/>
                                        <w:right w:val="none" w:sz="0" w:space="0" w:color="auto"/>
                                      </w:divBdr>
                                      <w:divsChild>
                                        <w:div w:id="722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245274">
      <w:bodyDiv w:val="1"/>
      <w:marLeft w:val="0"/>
      <w:marRight w:val="0"/>
      <w:marTop w:val="0"/>
      <w:marBottom w:val="0"/>
      <w:divBdr>
        <w:top w:val="none" w:sz="0" w:space="0" w:color="auto"/>
        <w:left w:val="none" w:sz="0" w:space="0" w:color="auto"/>
        <w:bottom w:val="none" w:sz="0" w:space="0" w:color="auto"/>
        <w:right w:val="none" w:sz="0" w:space="0" w:color="auto"/>
      </w:divBdr>
    </w:div>
    <w:div w:id="654650119">
      <w:bodyDiv w:val="1"/>
      <w:marLeft w:val="0"/>
      <w:marRight w:val="0"/>
      <w:marTop w:val="0"/>
      <w:marBottom w:val="0"/>
      <w:divBdr>
        <w:top w:val="none" w:sz="0" w:space="0" w:color="auto"/>
        <w:left w:val="none" w:sz="0" w:space="0" w:color="auto"/>
        <w:bottom w:val="none" w:sz="0" w:space="0" w:color="auto"/>
        <w:right w:val="none" w:sz="0" w:space="0" w:color="auto"/>
      </w:divBdr>
    </w:div>
    <w:div w:id="681321880">
      <w:bodyDiv w:val="1"/>
      <w:marLeft w:val="0"/>
      <w:marRight w:val="0"/>
      <w:marTop w:val="0"/>
      <w:marBottom w:val="0"/>
      <w:divBdr>
        <w:top w:val="none" w:sz="0" w:space="0" w:color="auto"/>
        <w:left w:val="none" w:sz="0" w:space="0" w:color="auto"/>
        <w:bottom w:val="none" w:sz="0" w:space="0" w:color="auto"/>
        <w:right w:val="none" w:sz="0" w:space="0" w:color="auto"/>
      </w:divBdr>
      <w:divsChild>
        <w:div w:id="1407990612">
          <w:marLeft w:val="0"/>
          <w:marRight w:val="0"/>
          <w:marTop w:val="0"/>
          <w:marBottom w:val="0"/>
          <w:divBdr>
            <w:top w:val="none" w:sz="0" w:space="0" w:color="auto"/>
            <w:left w:val="none" w:sz="0" w:space="0" w:color="auto"/>
            <w:bottom w:val="none" w:sz="0" w:space="0" w:color="auto"/>
            <w:right w:val="none" w:sz="0" w:space="0" w:color="auto"/>
          </w:divBdr>
          <w:divsChild>
            <w:div w:id="1925646909">
              <w:marLeft w:val="0"/>
              <w:marRight w:val="0"/>
              <w:marTop w:val="0"/>
              <w:marBottom w:val="150"/>
              <w:divBdr>
                <w:top w:val="none" w:sz="0" w:space="0" w:color="auto"/>
                <w:left w:val="none" w:sz="0" w:space="0" w:color="auto"/>
                <w:bottom w:val="none" w:sz="0" w:space="0" w:color="auto"/>
                <w:right w:val="none" w:sz="0" w:space="0" w:color="auto"/>
              </w:divBdr>
              <w:divsChild>
                <w:div w:id="1573925180">
                  <w:marLeft w:val="0"/>
                  <w:marRight w:val="0"/>
                  <w:marTop w:val="0"/>
                  <w:marBottom w:val="0"/>
                  <w:divBdr>
                    <w:top w:val="none" w:sz="0" w:space="0" w:color="auto"/>
                    <w:left w:val="none" w:sz="0" w:space="0" w:color="auto"/>
                    <w:bottom w:val="none" w:sz="0" w:space="0" w:color="auto"/>
                    <w:right w:val="none" w:sz="0" w:space="0" w:color="auto"/>
                  </w:divBdr>
                  <w:divsChild>
                    <w:div w:id="24715122">
                      <w:marLeft w:val="0"/>
                      <w:marRight w:val="0"/>
                      <w:marTop w:val="0"/>
                      <w:marBottom w:val="0"/>
                      <w:divBdr>
                        <w:top w:val="none" w:sz="0" w:space="0" w:color="auto"/>
                        <w:left w:val="none" w:sz="0" w:space="0" w:color="auto"/>
                        <w:bottom w:val="none" w:sz="0" w:space="0" w:color="auto"/>
                        <w:right w:val="none" w:sz="0" w:space="0" w:color="auto"/>
                      </w:divBdr>
                      <w:divsChild>
                        <w:div w:id="959068070">
                          <w:marLeft w:val="0"/>
                          <w:marRight w:val="0"/>
                          <w:marTop w:val="0"/>
                          <w:marBottom w:val="0"/>
                          <w:divBdr>
                            <w:top w:val="none" w:sz="0" w:space="0" w:color="auto"/>
                            <w:left w:val="none" w:sz="0" w:space="0" w:color="auto"/>
                            <w:bottom w:val="none" w:sz="0" w:space="0" w:color="auto"/>
                            <w:right w:val="none" w:sz="0" w:space="0" w:color="auto"/>
                          </w:divBdr>
                          <w:divsChild>
                            <w:div w:id="1691562623">
                              <w:marLeft w:val="0"/>
                              <w:marRight w:val="0"/>
                              <w:marTop w:val="0"/>
                              <w:marBottom w:val="0"/>
                              <w:divBdr>
                                <w:top w:val="none" w:sz="0" w:space="0" w:color="auto"/>
                                <w:left w:val="none" w:sz="0" w:space="0" w:color="auto"/>
                                <w:bottom w:val="none" w:sz="0" w:space="0" w:color="auto"/>
                                <w:right w:val="none" w:sz="0" w:space="0" w:color="auto"/>
                              </w:divBdr>
                              <w:divsChild>
                                <w:div w:id="310597644">
                                  <w:marLeft w:val="0"/>
                                  <w:marRight w:val="-3600"/>
                                  <w:marTop w:val="150"/>
                                  <w:marBottom w:val="0"/>
                                  <w:divBdr>
                                    <w:top w:val="none" w:sz="0" w:space="0" w:color="auto"/>
                                    <w:left w:val="none" w:sz="0" w:space="0" w:color="auto"/>
                                    <w:bottom w:val="none" w:sz="0" w:space="0" w:color="auto"/>
                                    <w:right w:val="none" w:sz="0" w:space="0" w:color="auto"/>
                                  </w:divBdr>
                                  <w:divsChild>
                                    <w:div w:id="1005978821">
                                      <w:marLeft w:val="0"/>
                                      <w:marRight w:val="3600"/>
                                      <w:marTop w:val="0"/>
                                      <w:marBottom w:val="0"/>
                                      <w:divBdr>
                                        <w:top w:val="none" w:sz="0" w:space="0" w:color="auto"/>
                                        <w:left w:val="none" w:sz="0" w:space="0" w:color="auto"/>
                                        <w:bottom w:val="none" w:sz="0" w:space="0" w:color="auto"/>
                                        <w:right w:val="none" w:sz="0" w:space="0" w:color="auto"/>
                                      </w:divBdr>
                                      <w:divsChild>
                                        <w:div w:id="581527604">
                                          <w:marLeft w:val="0"/>
                                          <w:marRight w:val="0"/>
                                          <w:marTop w:val="0"/>
                                          <w:marBottom w:val="0"/>
                                          <w:divBdr>
                                            <w:top w:val="none" w:sz="0" w:space="0" w:color="auto"/>
                                            <w:left w:val="none" w:sz="0" w:space="0" w:color="auto"/>
                                            <w:bottom w:val="none" w:sz="0" w:space="0" w:color="auto"/>
                                            <w:right w:val="none" w:sz="0" w:space="0" w:color="auto"/>
                                          </w:divBdr>
                                          <w:divsChild>
                                            <w:div w:id="1922905122">
                                              <w:marLeft w:val="0"/>
                                              <w:marRight w:val="0"/>
                                              <w:marTop w:val="0"/>
                                              <w:marBottom w:val="0"/>
                                              <w:divBdr>
                                                <w:top w:val="none" w:sz="0" w:space="0" w:color="auto"/>
                                                <w:left w:val="none" w:sz="0" w:space="0" w:color="auto"/>
                                                <w:bottom w:val="none" w:sz="0" w:space="0" w:color="auto"/>
                                                <w:right w:val="none" w:sz="0" w:space="0" w:color="auto"/>
                                              </w:divBdr>
                                              <w:divsChild>
                                                <w:div w:id="2061590267">
                                                  <w:marLeft w:val="0"/>
                                                  <w:marRight w:val="0"/>
                                                  <w:marTop w:val="0"/>
                                                  <w:marBottom w:val="0"/>
                                                  <w:divBdr>
                                                    <w:top w:val="none" w:sz="0" w:space="0" w:color="auto"/>
                                                    <w:left w:val="none" w:sz="0" w:space="0" w:color="auto"/>
                                                    <w:bottom w:val="none" w:sz="0" w:space="0" w:color="auto"/>
                                                    <w:right w:val="none" w:sz="0" w:space="0" w:color="auto"/>
                                                  </w:divBdr>
                                                  <w:divsChild>
                                                    <w:div w:id="1323394398">
                                                      <w:marLeft w:val="0"/>
                                                      <w:marRight w:val="0"/>
                                                      <w:marTop w:val="0"/>
                                                      <w:marBottom w:val="0"/>
                                                      <w:divBdr>
                                                        <w:top w:val="none" w:sz="0" w:space="0" w:color="auto"/>
                                                        <w:left w:val="none" w:sz="0" w:space="0" w:color="auto"/>
                                                        <w:bottom w:val="none" w:sz="0" w:space="0" w:color="auto"/>
                                                        <w:right w:val="none" w:sz="0" w:space="0" w:color="auto"/>
                                                      </w:divBdr>
                                                      <w:divsChild>
                                                        <w:div w:id="160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237161">
      <w:bodyDiv w:val="1"/>
      <w:marLeft w:val="0"/>
      <w:marRight w:val="0"/>
      <w:marTop w:val="0"/>
      <w:marBottom w:val="0"/>
      <w:divBdr>
        <w:top w:val="none" w:sz="0" w:space="0" w:color="auto"/>
        <w:left w:val="none" w:sz="0" w:space="0" w:color="auto"/>
        <w:bottom w:val="none" w:sz="0" w:space="0" w:color="auto"/>
        <w:right w:val="none" w:sz="0" w:space="0" w:color="auto"/>
      </w:divBdr>
    </w:div>
    <w:div w:id="698362258">
      <w:bodyDiv w:val="1"/>
      <w:marLeft w:val="0"/>
      <w:marRight w:val="0"/>
      <w:marTop w:val="0"/>
      <w:marBottom w:val="0"/>
      <w:divBdr>
        <w:top w:val="none" w:sz="0" w:space="0" w:color="auto"/>
        <w:left w:val="none" w:sz="0" w:space="0" w:color="auto"/>
        <w:bottom w:val="none" w:sz="0" w:space="0" w:color="auto"/>
        <w:right w:val="none" w:sz="0" w:space="0" w:color="auto"/>
      </w:divBdr>
      <w:divsChild>
        <w:div w:id="1337808473">
          <w:marLeft w:val="0"/>
          <w:marRight w:val="0"/>
          <w:marTop w:val="0"/>
          <w:marBottom w:val="0"/>
          <w:divBdr>
            <w:top w:val="none" w:sz="0" w:space="0" w:color="auto"/>
            <w:left w:val="none" w:sz="0" w:space="0" w:color="auto"/>
            <w:bottom w:val="none" w:sz="0" w:space="0" w:color="auto"/>
            <w:right w:val="none" w:sz="0" w:space="0" w:color="auto"/>
          </w:divBdr>
        </w:div>
        <w:div w:id="773129781">
          <w:marLeft w:val="0"/>
          <w:marRight w:val="0"/>
          <w:marTop w:val="0"/>
          <w:marBottom w:val="0"/>
          <w:divBdr>
            <w:top w:val="none" w:sz="0" w:space="0" w:color="auto"/>
            <w:left w:val="none" w:sz="0" w:space="0" w:color="auto"/>
            <w:bottom w:val="none" w:sz="0" w:space="0" w:color="auto"/>
            <w:right w:val="none" w:sz="0" w:space="0" w:color="auto"/>
          </w:divBdr>
        </w:div>
        <w:div w:id="444539427">
          <w:marLeft w:val="0"/>
          <w:marRight w:val="0"/>
          <w:marTop w:val="0"/>
          <w:marBottom w:val="0"/>
          <w:divBdr>
            <w:top w:val="none" w:sz="0" w:space="0" w:color="auto"/>
            <w:left w:val="none" w:sz="0" w:space="0" w:color="auto"/>
            <w:bottom w:val="none" w:sz="0" w:space="0" w:color="auto"/>
            <w:right w:val="none" w:sz="0" w:space="0" w:color="auto"/>
          </w:divBdr>
        </w:div>
        <w:div w:id="907151056">
          <w:marLeft w:val="0"/>
          <w:marRight w:val="0"/>
          <w:marTop w:val="0"/>
          <w:marBottom w:val="0"/>
          <w:divBdr>
            <w:top w:val="none" w:sz="0" w:space="0" w:color="auto"/>
            <w:left w:val="none" w:sz="0" w:space="0" w:color="auto"/>
            <w:bottom w:val="none" w:sz="0" w:space="0" w:color="auto"/>
            <w:right w:val="none" w:sz="0" w:space="0" w:color="auto"/>
          </w:divBdr>
        </w:div>
        <w:div w:id="1989093321">
          <w:marLeft w:val="0"/>
          <w:marRight w:val="0"/>
          <w:marTop w:val="0"/>
          <w:marBottom w:val="0"/>
          <w:divBdr>
            <w:top w:val="none" w:sz="0" w:space="0" w:color="auto"/>
            <w:left w:val="none" w:sz="0" w:space="0" w:color="auto"/>
            <w:bottom w:val="none" w:sz="0" w:space="0" w:color="auto"/>
            <w:right w:val="none" w:sz="0" w:space="0" w:color="auto"/>
          </w:divBdr>
        </w:div>
        <w:div w:id="1632830122">
          <w:marLeft w:val="0"/>
          <w:marRight w:val="0"/>
          <w:marTop w:val="0"/>
          <w:marBottom w:val="0"/>
          <w:divBdr>
            <w:top w:val="none" w:sz="0" w:space="0" w:color="auto"/>
            <w:left w:val="none" w:sz="0" w:space="0" w:color="auto"/>
            <w:bottom w:val="none" w:sz="0" w:space="0" w:color="auto"/>
            <w:right w:val="none" w:sz="0" w:space="0" w:color="auto"/>
          </w:divBdr>
        </w:div>
        <w:div w:id="1136949038">
          <w:marLeft w:val="0"/>
          <w:marRight w:val="0"/>
          <w:marTop w:val="0"/>
          <w:marBottom w:val="0"/>
          <w:divBdr>
            <w:top w:val="none" w:sz="0" w:space="0" w:color="auto"/>
            <w:left w:val="none" w:sz="0" w:space="0" w:color="auto"/>
            <w:bottom w:val="none" w:sz="0" w:space="0" w:color="auto"/>
            <w:right w:val="none" w:sz="0" w:space="0" w:color="auto"/>
          </w:divBdr>
        </w:div>
        <w:div w:id="1336762181">
          <w:marLeft w:val="0"/>
          <w:marRight w:val="0"/>
          <w:marTop w:val="0"/>
          <w:marBottom w:val="0"/>
          <w:divBdr>
            <w:top w:val="none" w:sz="0" w:space="0" w:color="auto"/>
            <w:left w:val="none" w:sz="0" w:space="0" w:color="auto"/>
            <w:bottom w:val="none" w:sz="0" w:space="0" w:color="auto"/>
            <w:right w:val="none" w:sz="0" w:space="0" w:color="auto"/>
          </w:divBdr>
        </w:div>
        <w:div w:id="218055331">
          <w:marLeft w:val="0"/>
          <w:marRight w:val="0"/>
          <w:marTop w:val="0"/>
          <w:marBottom w:val="0"/>
          <w:divBdr>
            <w:top w:val="none" w:sz="0" w:space="0" w:color="auto"/>
            <w:left w:val="none" w:sz="0" w:space="0" w:color="auto"/>
            <w:bottom w:val="none" w:sz="0" w:space="0" w:color="auto"/>
            <w:right w:val="none" w:sz="0" w:space="0" w:color="auto"/>
          </w:divBdr>
        </w:div>
        <w:div w:id="61145249">
          <w:marLeft w:val="0"/>
          <w:marRight w:val="0"/>
          <w:marTop w:val="0"/>
          <w:marBottom w:val="0"/>
          <w:divBdr>
            <w:top w:val="none" w:sz="0" w:space="0" w:color="auto"/>
            <w:left w:val="none" w:sz="0" w:space="0" w:color="auto"/>
            <w:bottom w:val="none" w:sz="0" w:space="0" w:color="auto"/>
            <w:right w:val="none" w:sz="0" w:space="0" w:color="auto"/>
          </w:divBdr>
        </w:div>
      </w:divsChild>
    </w:div>
    <w:div w:id="706491860">
      <w:bodyDiv w:val="1"/>
      <w:marLeft w:val="0"/>
      <w:marRight w:val="0"/>
      <w:marTop w:val="0"/>
      <w:marBottom w:val="0"/>
      <w:divBdr>
        <w:top w:val="none" w:sz="0" w:space="0" w:color="auto"/>
        <w:left w:val="none" w:sz="0" w:space="0" w:color="auto"/>
        <w:bottom w:val="none" w:sz="0" w:space="0" w:color="auto"/>
        <w:right w:val="none" w:sz="0" w:space="0" w:color="auto"/>
      </w:divBdr>
    </w:div>
    <w:div w:id="751243422">
      <w:bodyDiv w:val="1"/>
      <w:marLeft w:val="0"/>
      <w:marRight w:val="0"/>
      <w:marTop w:val="0"/>
      <w:marBottom w:val="0"/>
      <w:divBdr>
        <w:top w:val="none" w:sz="0" w:space="0" w:color="auto"/>
        <w:left w:val="none" w:sz="0" w:space="0" w:color="auto"/>
        <w:bottom w:val="none" w:sz="0" w:space="0" w:color="auto"/>
        <w:right w:val="none" w:sz="0" w:space="0" w:color="auto"/>
      </w:divBdr>
      <w:divsChild>
        <w:div w:id="1662392197">
          <w:marLeft w:val="0"/>
          <w:marRight w:val="0"/>
          <w:marTop w:val="0"/>
          <w:marBottom w:val="0"/>
          <w:divBdr>
            <w:top w:val="none" w:sz="0" w:space="0" w:color="auto"/>
            <w:left w:val="none" w:sz="0" w:space="0" w:color="auto"/>
            <w:bottom w:val="none" w:sz="0" w:space="0" w:color="auto"/>
            <w:right w:val="none" w:sz="0" w:space="0" w:color="auto"/>
          </w:divBdr>
        </w:div>
        <w:div w:id="1243220182">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2114397304">
          <w:marLeft w:val="0"/>
          <w:marRight w:val="0"/>
          <w:marTop w:val="0"/>
          <w:marBottom w:val="0"/>
          <w:divBdr>
            <w:top w:val="none" w:sz="0" w:space="0" w:color="auto"/>
            <w:left w:val="none" w:sz="0" w:space="0" w:color="auto"/>
            <w:bottom w:val="none" w:sz="0" w:space="0" w:color="auto"/>
            <w:right w:val="none" w:sz="0" w:space="0" w:color="auto"/>
          </w:divBdr>
        </w:div>
        <w:div w:id="274410344">
          <w:marLeft w:val="0"/>
          <w:marRight w:val="0"/>
          <w:marTop w:val="0"/>
          <w:marBottom w:val="0"/>
          <w:divBdr>
            <w:top w:val="none" w:sz="0" w:space="0" w:color="auto"/>
            <w:left w:val="none" w:sz="0" w:space="0" w:color="auto"/>
            <w:bottom w:val="none" w:sz="0" w:space="0" w:color="auto"/>
            <w:right w:val="none" w:sz="0" w:space="0" w:color="auto"/>
          </w:divBdr>
        </w:div>
        <w:div w:id="1013192958">
          <w:marLeft w:val="0"/>
          <w:marRight w:val="0"/>
          <w:marTop w:val="0"/>
          <w:marBottom w:val="0"/>
          <w:divBdr>
            <w:top w:val="none" w:sz="0" w:space="0" w:color="auto"/>
            <w:left w:val="none" w:sz="0" w:space="0" w:color="auto"/>
            <w:bottom w:val="none" w:sz="0" w:space="0" w:color="auto"/>
            <w:right w:val="none" w:sz="0" w:space="0" w:color="auto"/>
          </w:divBdr>
        </w:div>
        <w:div w:id="1331368381">
          <w:marLeft w:val="0"/>
          <w:marRight w:val="0"/>
          <w:marTop w:val="0"/>
          <w:marBottom w:val="0"/>
          <w:divBdr>
            <w:top w:val="none" w:sz="0" w:space="0" w:color="auto"/>
            <w:left w:val="none" w:sz="0" w:space="0" w:color="auto"/>
            <w:bottom w:val="none" w:sz="0" w:space="0" w:color="auto"/>
            <w:right w:val="none" w:sz="0" w:space="0" w:color="auto"/>
          </w:divBdr>
        </w:div>
        <w:div w:id="2069761194">
          <w:marLeft w:val="0"/>
          <w:marRight w:val="0"/>
          <w:marTop w:val="0"/>
          <w:marBottom w:val="0"/>
          <w:divBdr>
            <w:top w:val="none" w:sz="0" w:space="0" w:color="auto"/>
            <w:left w:val="none" w:sz="0" w:space="0" w:color="auto"/>
            <w:bottom w:val="none" w:sz="0" w:space="0" w:color="auto"/>
            <w:right w:val="none" w:sz="0" w:space="0" w:color="auto"/>
          </w:divBdr>
        </w:div>
        <w:div w:id="1570000672">
          <w:marLeft w:val="0"/>
          <w:marRight w:val="0"/>
          <w:marTop w:val="0"/>
          <w:marBottom w:val="0"/>
          <w:divBdr>
            <w:top w:val="none" w:sz="0" w:space="0" w:color="auto"/>
            <w:left w:val="none" w:sz="0" w:space="0" w:color="auto"/>
            <w:bottom w:val="none" w:sz="0" w:space="0" w:color="auto"/>
            <w:right w:val="none" w:sz="0" w:space="0" w:color="auto"/>
          </w:divBdr>
        </w:div>
        <w:div w:id="546259750">
          <w:marLeft w:val="0"/>
          <w:marRight w:val="0"/>
          <w:marTop w:val="0"/>
          <w:marBottom w:val="0"/>
          <w:divBdr>
            <w:top w:val="none" w:sz="0" w:space="0" w:color="auto"/>
            <w:left w:val="none" w:sz="0" w:space="0" w:color="auto"/>
            <w:bottom w:val="none" w:sz="0" w:space="0" w:color="auto"/>
            <w:right w:val="none" w:sz="0" w:space="0" w:color="auto"/>
          </w:divBdr>
        </w:div>
      </w:divsChild>
    </w:div>
    <w:div w:id="765808952">
      <w:bodyDiv w:val="1"/>
      <w:marLeft w:val="0"/>
      <w:marRight w:val="0"/>
      <w:marTop w:val="0"/>
      <w:marBottom w:val="0"/>
      <w:divBdr>
        <w:top w:val="none" w:sz="0" w:space="0" w:color="auto"/>
        <w:left w:val="none" w:sz="0" w:space="0" w:color="auto"/>
        <w:bottom w:val="none" w:sz="0" w:space="0" w:color="auto"/>
        <w:right w:val="none" w:sz="0" w:space="0" w:color="auto"/>
      </w:divBdr>
      <w:divsChild>
        <w:div w:id="68381614">
          <w:marLeft w:val="0"/>
          <w:marRight w:val="0"/>
          <w:marTop w:val="0"/>
          <w:marBottom w:val="0"/>
          <w:divBdr>
            <w:top w:val="none" w:sz="0" w:space="0" w:color="auto"/>
            <w:left w:val="none" w:sz="0" w:space="0" w:color="auto"/>
            <w:bottom w:val="none" w:sz="0" w:space="0" w:color="auto"/>
            <w:right w:val="none" w:sz="0" w:space="0" w:color="auto"/>
          </w:divBdr>
        </w:div>
        <w:div w:id="445344947">
          <w:marLeft w:val="0"/>
          <w:marRight w:val="0"/>
          <w:marTop w:val="0"/>
          <w:marBottom w:val="0"/>
          <w:divBdr>
            <w:top w:val="none" w:sz="0" w:space="0" w:color="auto"/>
            <w:left w:val="none" w:sz="0" w:space="0" w:color="auto"/>
            <w:bottom w:val="none" w:sz="0" w:space="0" w:color="auto"/>
            <w:right w:val="none" w:sz="0" w:space="0" w:color="auto"/>
          </w:divBdr>
        </w:div>
        <w:div w:id="1173956681">
          <w:marLeft w:val="0"/>
          <w:marRight w:val="0"/>
          <w:marTop w:val="0"/>
          <w:marBottom w:val="0"/>
          <w:divBdr>
            <w:top w:val="none" w:sz="0" w:space="0" w:color="auto"/>
            <w:left w:val="none" w:sz="0" w:space="0" w:color="auto"/>
            <w:bottom w:val="none" w:sz="0" w:space="0" w:color="auto"/>
            <w:right w:val="none" w:sz="0" w:space="0" w:color="auto"/>
          </w:divBdr>
        </w:div>
        <w:div w:id="2112626544">
          <w:marLeft w:val="0"/>
          <w:marRight w:val="0"/>
          <w:marTop w:val="0"/>
          <w:marBottom w:val="0"/>
          <w:divBdr>
            <w:top w:val="none" w:sz="0" w:space="0" w:color="auto"/>
            <w:left w:val="none" w:sz="0" w:space="0" w:color="auto"/>
            <w:bottom w:val="none" w:sz="0" w:space="0" w:color="auto"/>
            <w:right w:val="none" w:sz="0" w:space="0" w:color="auto"/>
          </w:divBdr>
        </w:div>
      </w:divsChild>
    </w:div>
    <w:div w:id="796530388">
      <w:bodyDiv w:val="1"/>
      <w:marLeft w:val="0"/>
      <w:marRight w:val="0"/>
      <w:marTop w:val="0"/>
      <w:marBottom w:val="0"/>
      <w:divBdr>
        <w:top w:val="none" w:sz="0" w:space="0" w:color="auto"/>
        <w:left w:val="none" w:sz="0" w:space="0" w:color="auto"/>
        <w:bottom w:val="none" w:sz="0" w:space="0" w:color="auto"/>
        <w:right w:val="none" w:sz="0" w:space="0" w:color="auto"/>
      </w:divBdr>
      <w:divsChild>
        <w:div w:id="2096003046">
          <w:marLeft w:val="0"/>
          <w:marRight w:val="0"/>
          <w:marTop w:val="0"/>
          <w:marBottom w:val="0"/>
          <w:divBdr>
            <w:top w:val="none" w:sz="0" w:space="0" w:color="auto"/>
            <w:left w:val="none" w:sz="0" w:space="0" w:color="auto"/>
            <w:bottom w:val="none" w:sz="0" w:space="0" w:color="auto"/>
            <w:right w:val="none" w:sz="0" w:space="0" w:color="auto"/>
          </w:divBdr>
        </w:div>
        <w:div w:id="1322469225">
          <w:marLeft w:val="0"/>
          <w:marRight w:val="0"/>
          <w:marTop w:val="0"/>
          <w:marBottom w:val="0"/>
          <w:divBdr>
            <w:top w:val="none" w:sz="0" w:space="0" w:color="auto"/>
            <w:left w:val="none" w:sz="0" w:space="0" w:color="auto"/>
            <w:bottom w:val="none" w:sz="0" w:space="0" w:color="auto"/>
            <w:right w:val="none" w:sz="0" w:space="0" w:color="auto"/>
          </w:divBdr>
        </w:div>
      </w:divsChild>
    </w:div>
    <w:div w:id="822238047">
      <w:bodyDiv w:val="1"/>
      <w:marLeft w:val="0"/>
      <w:marRight w:val="0"/>
      <w:marTop w:val="0"/>
      <w:marBottom w:val="0"/>
      <w:divBdr>
        <w:top w:val="none" w:sz="0" w:space="0" w:color="auto"/>
        <w:left w:val="none" w:sz="0" w:space="0" w:color="auto"/>
        <w:bottom w:val="none" w:sz="0" w:space="0" w:color="auto"/>
        <w:right w:val="none" w:sz="0" w:space="0" w:color="auto"/>
      </w:divBdr>
      <w:divsChild>
        <w:div w:id="1707171147">
          <w:marLeft w:val="0"/>
          <w:marRight w:val="0"/>
          <w:marTop w:val="0"/>
          <w:marBottom w:val="0"/>
          <w:divBdr>
            <w:top w:val="none" w:sz="0" w:space="0" w:color="auto"/>
            <w:left w:val="none" w:sz="0" w:space="0" w:color="auto"/>
            <w:bottom w:val="none" w:sz="0" w:space="0" w:color="auto"/>
            <w:right w:val="none" w:sz="0" w:space="0" w:color="auto"/>
          </w:divBdr>
        </w:div>
        <w:div w:id="858005025">
          <w:marLeft w:val="0"/>
          <w:marRight w:val="0"/>
          <w:marTop w:val="0"/>
          <w:marBottom w:val="0"/>
          <w:divBdr>
            <w:top w:val="none" w:sz="0" w:space="0" w:color="auto"/>
            <w:left w:val="none" w:sz="0" w:space="0" w:color="auto"/>
            <w:bottom w:val="none" w:sz="0" w:space="0" w:color="auto"/>
            <w:right w:val="none" w:sz="0" w:space="0" w:color="auto"/>
          </w:divBdr>
        </w:div>
        <w:div w:id="1757170293">
          <w:marLeft w:val="0"/>
          <w:marRight w:val="0"/>
          <w:marTop w:val="0"/>
          <w:marBottom w:val="0"/>
          <w:divBdr>
            <w:top w:val="none" w:sz="0" w:space="0" w:color="auto"/>
            <w:left w:val="none" w:sz="0" w:space="0" w:color="auto"/>
            <w:bottom w:val="none" w:sz="0" w:space="0" w:color="auto"/>
            <w:right w:val="none" w:sz="0" w:space="0" w:color="auto"/>
          </w:divBdr>
        </w:div>
        <w:div w:id="337125610">
          <w:marLeft w:val="0"/>
          <w:marRight w:val="0"/>
          <w:marTop w:val="0"/>
          <w:marBottom w:val="0"/>
          <w:divBdr>
            <w:top w:val="none" w:sz="0" w:space="0" w:color="auto"/>
            <w:left w:val="none" w:sz="0" w:space="0" w:color="auto"/>
            <w:bottom w:val="none" w:sz="0" w:space="0" w:color="auto"/>
            <w:right w:val="none" w:sz="0" w:space="0" w:color="auto"/>
          </w:divBdr>
        </w:div>
        <w:div w:id="1023244184">
          <w:marLeft w:val="0"/>
          <w:marRight w:val="0"/>
          <w:marTop w:val="0"/>
          <w:marBottom w:val="0"/>
          <w:divBdr>
            <w:top w:val="none" w:sz="0" w:space="0" w:color="auto"/>
            <w:left w:val="none" w:sz="0" w:space="0" w:color="auto"/>
            <w:bottom w:val="none" w:sz="0" w:space="0" w:color="auto"/>
            <w:right w:val="none" w:sz="0" w:space="0" w:color="auto"/>
          </w:divBdr>
        </w:div>
      </w:divsChild>
    </w:div>
    <w:div w:id="848177212">
      <w:bodyDiv w:val="1"/>
      <w:marLeft w:val="0"/>
      <w:marRight w:val="0"/>
      <w:marTop w:val="0"/>
      <w:marBottom w:val="0"/>
      <w:divBdr>
        <w:top w:val="none" w:sz="0" w:space="0" w:color="auto"/>
        <w:left w:val="none" w:sz="0" w:space="0" w:color="auto"/>
        <w:bottom w:val="none" w:sz="0" w:space="0" w:color="auto"/>
        <w:right w:val="none" w:sz="0" w:space="0" w:color="auto"/>
      </w:divBdr>
    </w:div>
    <w:div w:id="868686056">
      <w:bodyDiv w:val="1"/>
      <w:marLeft w:val="0"/>
      <w:marRight w:val="0"/>
      <w:marTop w:val="0"/>
      <w:marBottom w:val="0"/>
      <w:divBdr>
        <w:top w:val="none" w:sz="0" w:space="0" w:color="auto"/>
        <w:left w:val="none" w:sz="0" w:space="0" w:color="auto"/>
        <w:bottom w:val="none" w:sz="0" w:space="0" w:color="auto"/>
        <w:right w:val="none" w:sz="0" w:space="0" w:color="auto"/>
      </w:divBdr>
    </w:div>
    <w:div w:id="959266040">
      <w:bodyDiv w:val="1"/>
      <w:marLeft w:val="0"/>
      <w:marRight w:val="0"/>
      <w:marTop w:val="0"/>
      <w:marBottom w:val="0"/>
      <w:divBdr>
        <w:top w:val="none" w:sz="0" w:space="0" w:color="auto"/>
        <w:left w:val="none" w:sz="0" w:space="0" w:color="auto"/>
        <w:bottom w:val="none" w:sz="0" w:space="0" w:color="auto"/>
        <w:right w:val="none" w:sz="0" w:space="0" w:color="auto"/>
      </w:divBdr>
      <w:divsChild>
        <w:div w:id="920529124">
          <w:marLeft w:val="0"/>
          <w:marRight w:val="0"/>
          <w:marTop w:val="0"/>
          <w:marBottom w:val="0"/>
          <w:divBdr>
            <w:top w:val="none" w:sz="0" w:space="0" w:color="auto"/>
            <w:left w:val="none" w:sz="0" w:space="0" w:color="auto"/>
            <w:bottom w:val="none" w:sz="0" w:space="0" w:color="auto"/>
            <w:right w:val="none" w:sz="0" w:space="0" w:color="auto"/>
          </w:divBdr>
          <w:divsChild>
            <w:div w:id="599341582">
              <w:marLeft w:val="0"/>
              <w:marRight w:val="0"/>
              <w:marTop w:val="0"/>
              <w:marBottom w:val="150"/>
              <w:divBdr>
                <w:top w:val="none" w:sz="0" w:space="0" w:color="auto"/>
                <w:left w:val="none" w:sz="0" w:space="0" w:color="auto"/>
                <w:bottom w:val="none" w:sz="0" w:space="0" w:color="auto"/>
                <w:right w:val="none" w:sz="0" w:space="0" w:color="auto"/>
              </w:divBdr>
              <w:divsChild>
                <w:div w:id="612905384">
                  <w:marLeft w:val="0"/>
                  <w:marRight w:val="0"/>
                  <w:marTop w:val="0"/>
                  <w:marBottom w:val="0"/>
                  <w:divBdr>
                    <w:top w:val="none" w:sz="0" w:space="0" w:color="auto"/>
                    <w:left w:val="none" w:sz="0" w:space="0" w:color="auto"/>
                    <w:bottom w:val="none" w:sz="0" w:space="0" w:color="auto"/>
                    <w:right w:val="none" w:sz="0" w:space="0" w:color="auto"/>
                  </w:divBdr>
                  <w:divsChild>
                    <w:div w:id="410011030">
                      <w:marLeft w:val="0"/>
                      <w:marRight w:val="0"/>
                      <w:marTop w:val="0"/>
                      <w:marBottom w:val="0"/>
                      <w:divBdr>
                        <w:top w:val="none" w:sz="0" w:space="0" w:color="auto"/>
                        <w:left w:val="none" w:sz="0" w:space="0" w:color="auto"/>
                        <w:bottom w:val="none" w:sz="0" w:space="0" w:color="auto"/>
                        <w:right w:val="none" w:sz="0" w:space="0" w:color="auto"/>
                      </w:divBdr>
                      <w:divsChild>
                        <w:div w:id="896934221">
                          <w:marLeft w:val="0"/>
                          <w:marRight w:val="0"/>
                          <w:marTop w:val="0"/>
                          <w:marBottom w:val="0"/>
                          <w:divBdr>
                            <w:top w:val="none" w:sz="0" w:space="0" w:color="auto"/>
                            <w:left w:val="none" w:sz="0" w:space="0" w:color="auto"/>
                            <w:bottom w:val="none" w:sz="0" w:space="0" w:color="auto"/>
                            <w:right w:val="none" w:sz="0" w:space="0" w:color="auto"/>
                          </w:divBdr>
                          <w:divsChild>
                            <w:div w:id="52238683">
                              <w:marLeft w:val="0"/>
                              <w:marRight w:val="0"/>
                              <w:marTop w:val="0"/>
                              <w:marBottom w:val="0"/>
                              <w:divBdr>
                                <w:top w:val="none" w:sz="0" w:space="0" w:color="auto"/>
                                <w:left w:val="none" w:sz="0" w:space="0" w:color="auto"/>
                                <w:bottom w:val="none" w:sz="0" w:space="0" w:color="auto"/>
                                <w:right w:val="none" w:sz="0" w:space="0" w:color="auto"/>
                              </w:divBdr>
                              <w:divsChild>
                                <w:div w:id="1871340271">
                                  <w:marLeft w:val="0"/>
                                  <w:marRight w:val="-3600"/>
                                  <w:marTop w:val="150"/>
                                  <w:marBottom w:val="0"/>
                                  <w:divBdr>
                                    <w:top w:val="none" w:sz="0" w:space="0" w:color="auto"/>
                                    <w:left w:val="none" w:sz="0" w:space="0" w:color="auto"/>
                                    <w:bottom w:val="none" w:sz="0" w:space="0" w:color="auto"/>
                                    <w:right w:val="none" w:sz="0" w:space="0" w:color="auto"/>
                                  </w:divBdr>
                                  <w:divsChild>
                                    <w:div w:id="1766415202">
                                      <w:marLeft w:val="0"/>
                                      <w:marRight w:val="3600"/>
                                      <w:marTop w:val="0"/>
                                      <w:marBottom w:val="0"/>
                                      <w:divBdr>
                                        <w:top w:val="none" w:sz="0" w:space="0" w:color="auto"/>
                                        <w:left w:val="none" w:sz="0" w:space="0" w:color="auto"/>
                                        <w:bottom w:val="none" w:sz="0" w:space="0" w:color="auto"/>
                                        <w:right w:val="none" w:sz="0" w:space="0" w:color="auto"/>
                                      </w:divBdr>
                                      <w:divsChild>
                                        <w:div w:id="1501383708">
                                          <w:marLeft w:val="0"/>
                                          <w:marRight w:val="0"/>
                                          <w:marTop w:val="0"/>
                                          <w:marBottom w:val="0"/>
                                          <w:divBdr>
                                            <w:top w:val="none" w:sz="0" w:space="0" w:color="auto"/>
                                            <w:left w:val="none" w:sz="0" w:space="0" w:color="auto"/>
                                            <w:bottom w:val="none" w:sz="0" w:space="0" w:color="auto"/>
                                            <w:right w:val="none" w:sz="0" w:space="0" w:color="auto"/>
                                          </w:divBdr>
                                          <w:divsChild>
                                            <w:div w:id="1364743813">
                                              <w:marLeft w:val="0"/>
                                              <w:marRight w:val="0"/>
                                              <w:marTop w:val="0"/>
                                              <w:marBottom w:val="0"/>
                                              <w:divBdr>
                                                <w:top w:val="none" w:sz="0" w:space="0" w:color="auto"/>
                                                <w:left w:val="none" w:sz="0" w:space="0" w:color="auto"/>
                                                <w:bottom w:val="none" w:sz="0" w:space="0" w:color="auto"/>
                                                <w:right w:val="none" w:sz="0" w:space="0" w:color="auto"/>
                                              </w:divBdr>
                                              <w:divsChild>
                                                <w:div w:id="2064061644">
                                                  <w:marLeft w:val="0"/>
                                                  <w:marRight w:val="0"/>
                                                  <w:marTop w:val="0"/>
                                                  <w:marBottom w:val="0"/>
                                                  <w:divBdr>
                                                    <w:top w:val="none" w:sz="0" w:space="0" w:color="auto"/>
                                                    <w:left w:val="none" w:sz="0" w:space="0" w:color="auto"/>
                                                    <w:bottom w:val="none" w:sz="0" w:space="0" w:color="auto"/>
                                                    <w:right w:val="none" w:sz="0" w:space="0" w:color="auto"/>
                                                  </w:divBdr>
                                                  <w:divsChild>
                                                    <w:div w:id="131825566">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656744">
      <w:bodyDiv w:val="1"/>
      <w:marLeft w:val="0"/>
      <w:marRight w:val="0"/>
      <w:marTop w:val="0"/>
      <w:marBottom w:val="0"/>
      <w:divBdr>
        <w:top w:val="none" w:sz="0" w:space="0" w:color="auto"/>
        <w:left w:val="none" w:sz="0" w:space="0" w:color="auto"/>
        <w:bottom w:val="none" w:sz="0" w:space="0" w:color="auto"/>
        <w:right w:val="none" w:sz="0" w:space="0" w:color="auto"/>
      </w:divBdr>
    </w:div>
    <w:div w:id="990059531">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
        <w:div w:id="507721947">
          <w:marLeft w:val="0"/>
          <w:marRight w:val="0"/>
          <w:marTop w:val="0"/>
          <w:marBottom w:val="0"/>
          <w:divBdr>
            <w:top w:val="none" w:sz="0" w:space="0" w:color="auto"/>
            <w:left w:val="none" w:sz="0" w:space="0" w:color="auto"/>
            <w:bottom w:val="none" w:sz="0" w:space="0" w:color="auto"/>
            <w:right w:val="none" w:sz="0" w:space="0" w:color="auto"/>
          </w:divBdr>
        </w:div>
        <w:div w:id="1116950539">
          <w:marLeft w:val="0"/>
          <w:marRight w:val="0"/>
          <w:marTop w:val="0"/>
          <w:marBottom w:val="0"/>
          <w:divBdr>
            <w:top w:val="none" w:sz="0" w:space="0" w:color="auto"/>
            <w:left w:val="none" w:sz="0" w:space="0" w:color="auto"/>
            <w:bottom w:val="none" w:sz="0" w:space="0" w:color="auto"/>
            <w:right w:val="none" w:sz="0" w:space="0" w:color="auto"/>
          </w:divBdr>
        </w:div>
        <w:div w:id="1141118886">
          <w:marLeft w:val="0"/>
          <w:marRight w:val="0"/>
          <w:marTop w:val="0"/>
          <w:marBottom w:val="0"/>
          <w:divBdr>
            <w:top w:val="none" w:sz="0" w:space="0" w:color="auto"/>
            <w:left w:val="none" w:sz="0" w:space="0" w:color="auto"/>
            <w:bottom w:val="none" w:sz="0" w:space="0" w:color="auto"/>
            <w:right w:val="none" w:sz="0" w:space="0" w:color="auto"/>
          </w:divBdr>
        </w:div>
      </w:divsChild>
    </w:div>
    <w:div w:id="1035735617">
      <w:bodyDiv w:val="1"/>
      <w:marLeft w:val="0"/>
      <w:marRight w:val="0"/>
      <w:marTop w:val="0"/>
      <w:marBottom w:val="0"/>
      <w:divBdr>
        <w:top w:val="none" w:sz="0" w:space="0" w:color="auto"/>
        <w:left w:val="none" w:sz="0" w:space="0" w:color="auto"/>
        <w:bottom w:val="none" w:sz="0" w:space="0" w:color="auto"/>
        <w:right w:val="none" w:sz="0" w:space="0" w:color="auto"/>
      </w:divBdr>
    </w:div>
    <w:div w:id="1051421216">
      <w:bodyDiv w:val="1"/>
      <w:marLeft w:val="0"/>
      <w:marRight w:val="0"/>
      <w:marTop w:val="0"/>
      <w:marBottom w:val="0"/>
      <w:divBdr>
        <w:top w:val="none" w:sz="0" w:space="0" w:color="auto"/>
        <w:left w:val="none" w:sz="0" w:space="0" w:color="auto"/>
        <w:bottom w:val="none" w:sz="0" w:space="0" w:color="auto"/>
        <w:right w:val="none" w:sz="0" w:space="0" w:color="auto"/>
      </w:divBdr>
      <w:divsChild>
        <w:div w:id="326641923">
          <w:marLeft w:val="0"/>
          <w:marRight w:val="0"/>
          <w:marTop w:val="0"/>
          <w:marBottom w:val="0"/>
          <w:divBdr>
            <w:top w:val="none" w:sz="0" w:space="0" w:color="auto"/>
            <w:left w:val="none" w:sz="0" w:space="0" w:color="auto"/>
            <w:bottom w:val="none" w:sz="0" w:space="0" w:color="auto"/>
            <w:right w:val="none" w:sz="0" w:space="0" w:color="auto"/>
          </w:divBdr>
        </w:div>
        <w:div w:id="1593659921">
          <w:marLeft w:val="0"/>
          <w:marRight w:val="0"/>
          <w:marTop w:val="0"/>
          <w:marBottom w:val="0"/>
          <w:divBdr>
            <w:top w:val="none" w:sz="0" w:space="0" w:color="auto"/>
            <w:left w:val="none" w:sz="0" w:space="0" w:color="auto"/>
            <w:bottom w:val="none" w:sz="0" w:space="0" w:color="auto"/>
            <w:right w:val="none" w:sz="0" w:space="0" w:color="auto"/>
          </w:divBdr>
        </w:div>
        <w:div w:id="2050571">
          <w:marLeft w:val="0"/>
          <w:marRight w:val="0"/>
          <w:marTop w:val="0"/>
          <w:marBottom w:val="0"/>
          <w:divBdr>
            <w:top w:val="none" w:sz="0" w:space="0" w:color="auto"/>
            <w:left w:val="none" w:sz="0" w:space="0" w:color="auto"/>
            <w:bottom w:val="none" w:sz="0" w:space="0" w:color="auto"/>
            <w:right w:val="none" w:sz="0" w:space="0" w:color="auto"/>
          </w:divBdr>
        </w:div>
        <w:div w:id="478571794">
          <w:marLeft w:val="0"/>
          <w:marRight w:val="0"/>
          <w:marTop w:val="0"/>
          <w:marBottom w:val="0"/>
          <w:divBdr>
            <w:top w:val="none" w:sz="0" w:space="0" w:color="auto"/>
            <w:left w:val="none" w:sz="0" w:space="0" w:color="auto"/>
            <w:bottom w:val="none" w:sz="0" w:space="0" w:color="auto"/>
            <w:right w:val="none" w:sz="0" w:space="0" w:color="auto"/>
          </w:divBdr>
        </w:div>
        <w:div w:id="1673600191">
          <w:marLeft w:val="0"/>
          <w:marRight w:val="0"/>
          <w:marTop w:val="0"/>
          <w:marBottom w:val="0"/>
          <w:divBdr>
            <w:top w:val="none" w:sz="0" w:space="0" w:color="auto"/>
            <w:left w:val="none" w:sz="0" w:space="0" w:color="auto"/>
            <w:bottom w:val="none" w:sz="0" w:space="0" w:color="auto"/>
            <w:right w:val="none" w:sz="0" w:space="0" w:color="auto"/>
          </w:divBdr>
        </w:div>
        <w:div w:id="1515606147">
          <w:marLeft w:val="0"/>
          <w:marRight w:val="0"/>
          <w:marTop w:val="0"/>
          <w:marBottom w:val="0"/>
          <w:divBdr>
            <w:top w:val="none" w:sz="0" w:space="0" w:color="auto"/>
            <w:left w:val="none" w:sz="0" w:space="0" w:color="auto"/>
            <w:bottom w:val="none" w:sz="0" w:space="0" w:color="auto"/>
            <w:right w:val="none" w:sz="0" w:space="0" w:color="auto"/>
          </w:divBdr>
        </w:div>
        <w:div w:id="1557201961">
          <w:marLeft w:val="0"/>
          <w:marRight w:val="0"/>
          <w:marTop w:val="0"/>
          <w:marBottom w:val="0"/>
          <w:divBdr>
            <w:top w:val="none" w:sz="0" w:space="0" w:color="auto"/>
            <w:left w:val="none" w:sz="0" w:space="0" w:color="auto"/>
            <w:bottom w:val="none" w:sz="0" w:space="0" w:color="auto"/>
            <w:right w:val="none" w:sz="0" w:space="0" w:color="auto"/>
          </w:divBdr>
        </w:div>
        <w:div w:id="355624218">
          <w:marLeft w:val="0"/>
          <w:marRight w:val="0"/>
          <w:marTop w:val="0"/>
          <w:marBottom w:val="0"/>
          <w:divBdr>
            <w:top w:val="none" w:sz="0" w:space="0" w:color="auto"/>
            <w:left w:val="none" w:sz="0" w:space="0" w:color="auto"/>
            <w:bottom w:val="none" w:sz="0" w:space="0" w:color="auto"/>
            <w:right w:val="none" w:sz="0" w:space="0" w:color="auto"/>
          </w:divBdr>
        </w:div>
      </w:divsChild>
    </w:div>
    <w:div w:id="1056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778677">
          <w:marLeft w:val="0"/>
          <w:marRight w:val="0"/>
          <w:marTop w:val="0"/>
          <w:marBottom w:val="0"/>
          <w:divBdr>
            <w:top w:val="none" w:sz="0" w:space="0" w:color="auto"/>
            <w:left w:val="none" w:sz="0" w:space="0" w:color="auto"/>
            <w:bottom w:val="none" w:sz="0" w:space="0" w:color="auto"/>
            <w:right w:val="none" w:sz="0" w:space="0" w:color="auto"/>
          </w:divBdr>
          <w:divsChild>
            <w:div w:id="895704631">
              <w:marLeft w:val="0"/>
              <w:marRight w:val="0"/>
              <w:marTop w:val="0"/>
              <w:marBottom w:val="0"/>
              <w:divBdr>
                <w:top w:val="none" w:sz="0" w:space="0" w:color="auto"/>
                <w:left w:val="none" w:sz="0" w:space="0" w:color="auto"/>
                <w:bottom w:val="none" w:sz="0" w:space="0" w:color="auto"/>
                <w:right w:val="none" w:sz="0" w:space="0" w:color="auto"/>
              </w:divBdr>
              <w:divsChild>
                <w:div w:id="281302904">
                  <w:marLeft w:val="0"/>
                  <w:marRight w:val="0"/>
                  <w:marTop w:val="0"/>
                  <w:marBottom w:val="0"/>
                  <w:divBdr>
                    <w:top w:val="none" w:sz="0" w:space="0" w:color="auto"/>
                    <w:left w:val="none" w:sz="0" w:space="0" w:color="auto"/>
                    <w:bottom w:val="none" w:sz="0" w:space="0" w:color="auto"/>
                    <w:right w:val="none" w:sz="0" w:space="0" w:color="auto"/>
                  </w:divBdr>
                  <w:divsChild>
                    <w:div w:id="636569158">
                      <w:marLeft w:val="0"/>
                      <w:marRight w:val="0"/>
                      <w:marTop w:val="45"/>
                      <w:marBottom w:val="0"/>
                      <w:divBdr>
                        <w:top w:val="none" w:sz="0" w:space="0" w:color="auto"/>
                        <w:left w:val="none" w:sz="0" w:space="0" w:color="auto"/>
                        <w:bottom w:val="none" w:sz="0" w:space="0" w:color="auto"/>
                        <w:right w:val="none" w:sz="0" w:space="0" w:color="auto"/>
                      </w:divBdr>
                      <w:divsChild>
                        <w:div w:id="1683581340">
                          <w:marLeft w:val="0"/>
                          <w:marRight w:val="0"/>
                          <w:marTop w:val="0"/>
                          <w:marBottom w:val="0"/>
                          <w:divBdr>
                            <w:top w:val="none" w:sz="0" w:space="0" w:color="auto"/>
                            <w:left w:val="none" w:sz="0" w:space="0" w:color="auto"/>
                            <w:bottom w:val="none" w:sz="0" w:space="0" w:color="auto"/>
                            <w:right w:val="none" w:sz="0" w:space="0" w:color="auto"/>
                          </w:divBdr>
                          <w:divsChild>
                            <w:div w:id="377708740">
                              <w:marLeft w:val="12300"/>
                              <w:marRight w:val="0"/>
                              <w:marTop w:val="0"/>
                              <w:marBottom w:val="0"/>
                              <w:divBdr>
                                <w:top w:val="none" w:sz="0" w:space="0" w:color="auto"/>
                                <w:left w:val="none" w:sz="0" w:space="0" w:color="auto"/>
                                <w:bottom w:val="none" w:sz="0" w:space="0" w:color="auto"/>
                                <w:right w:val="none" w:sz="0" w:space="0" w:color="auto"/>
                              </w:divBdr>
                              <w:divsChild>
                                <w:div w:id="325977309">
                                  <w:marLeft w:val="0"/>
                                  <w:marRight w:val="0"/>
                                  <w:marTop w:val="0"/>
                                  <w:marBottom w:val="0"/>
                                  <w:divBdr>
                                    <w:top w:val="none" w:sz="0" w:space="0" w:color="auto"/>
                                    <w:left w:val="none" w:sz="0" w:space="0" w:color="auto"/>
                                    <w:bottom w:val="none" w:sz="0" w:space="0" w:color="auto"/>
                                    <w:right w:val="none" w:sz="0" w:space="0" w:color="auto"/>
                                  </w:divBdr>
                                  <w:divsChild>
                                    <w:div w:id="1215504313">
                                      <w:marLeft w:val="0"/>
                                      <w:marRight w:val="0"/>
                                      <w:marTop w:val="0"/>
                                      <w:marBottom w:val="390"/>
                                      <w:divBdr>
                                        <w:top w:val="none" w:sz="0" w:space="0" w:color="auto"/>
                                        <w:left w:val="none" w:sz="0" w:space="0" w:color="auto"/>
                                        <w:bottom w:val="none" w:sz="0" w:space="0" w:color="auto"/>
                                        <w:right w:val="none" w:sz="0" w:space="0" w:color="auto"/>
                                      </w:divBdr>
                                      <w:divsChild>
                                        <w:div w:id="1156916842">
                                          <w:marLeft w:val="0"/>
                                          <w:marRight w:val="0"/>
                                          <w:marTop w:val="0"/>
                                          <w:marBottom w:val="0"/>
                                          <w:divBdr>
                                            <w:top w:val="none" w:sz="0" w:space="0" w:color="auto"/>
                                            <w:left w:val="none" w:sz="0" w:space="0" w:color="auto"/>
                                            <w:bottom w:val="none" w:sz="0" w:space="0" w:color="auto"/>
                                            <w:right w:val="none" w:sz="0" w:space="0" w:color="auto"/>
                                          </w:divBdr>
                                          <w:divsChild>
                                            <w:div w:id="401753992">
                                              <w:marLeft w:val="0"/>
                                              <w:marRight w:val="0"/>
                                              <w:marTop w:val="0"/>
                                              <w:marBottom w:val="0"/>
                                              <w:divBdr>
                                                <w:top w:val="none" w:sz="0" w:space="0" w:color="auto"/>
                                                <w:left w:val="none" w:sz="0" w:space="0" w:color="auto"/>
                                                <w:bottom w:val="none" w:sz="0" w:space="0" w:color="auto"/>
                                                <w:right w:val="none" w:sz="0" w:space="0" w:color="auto"/>
                                              </w:divBdr>
                                              <w:divsChild>
                                                <w:div w:id="602306495">
                                                  <w:marLeft w:val="0"/>
                                                  <w:marRight w:val="0"/>
                                                  <w:marTop w:val="0"/>
                                                  <w:marBottom w:val="0"/>
                                                  <w:divBdr>
                                                    <w:top w:val="none" w:sz="0" w:space="0" w:color="auto"/>
                                                    <w:left w:val="none" w:sz="0" w:space="0" w:color="auto"/>
                                                    <w:bottom w:val="none" w:sz="0" w:space="0" w:color="auto"/>
                                                    <w:right w:val="none" w:sz="0" w:space="0" w:color="auto"/>
                                                  </w:divBdr>
                                                  <w:divsChild>
                                                    <w:div w:id="644430306">
                                                      <w:marLeft w:val="0"/>
                                                      <w:marRight w:val="0"/>
                                                      <w:marTop w:val="0"/>
                                                      <w:marBottom w:val="0"/>
                                                      <w:divBdr>
                                                        <w:top w:val="none" w:sz="0" w:space="0" w:color="auto"/>
                                                        <w:left w:val="none" w:sz="0" w:space="0" w:color="auto"/>
                                                        <w:bottom w:val="none" w:sz="0" w:space="0" w:color="auto"/>
                                                        <w:right w:val="none" w:sz="0" w:space="0" w:color="auto"/>
                                                      </w:divBdr>
                                                      <w:divsChild>
                                                        <w:div w:id="490297021">
                                                          <w:marLeft w:val="0"/>
                                                          <w:marRight w:val="0"/>
                                                          <w:marTop w:val="0"/>
                                                          <w:marBottom w:val="0"/>
                                                          <w:divBdr>
                                                            <w:top w:val="none" w:sz="0" w:space="0" w:color="auto"/>
                                                            <w:left w:val="none" w:sz="0" w:space="0" w:color="auto"/>
                                                            <w:bottom w:val="none" w:sz="0" w:space="0" w:color="auto"/>
                                                            <w:right w:val="none" w:sz="0" w:space="0" w:color="auto"/>
                                                          </w:divBdr>
                                                          <w:divsChild>
                                                            <w:div w:id="560604647">
                                                              <w:marLeft w:val="0"/>
                                                              <w:marRight w:val="0"/>
                                                              <w:marTop w:val="0"/>
                                                              <w:marBottom w:val="0"/>
                                                              <w:divBdr>
                                                                <w:top w:val="none" w:sz="0" w:space="0" w:color="auto"/>
                                                                <w:left w:val="none" w:sz="0" w:space="0" w:color="auto"/>
                                                                <w:bottom w:val="none" w:sz="0" w:space="0" w:color="auto"/>
                                                                <w:right w:val="none" w:sz="0" w:space="0" w:color="auto"/>
                                                              </w:divBdr>
                                                              <w:divsChild>
                                                                <w:div w:id="1408528699">
                                                                  <w:marLeft w:val="0"/>
                                                                  <w:marRight w:val="0"/>
                                                                  <w:marTop w:val="0"/>
                                                                  <w:marBottom w:val="0"/>
                                                                  <w:divBdr>
                                                                    <w:top w:val="none" w:sz="0" w:space="0" w:color="auto"/>
                                                                    <w:left w:val="none" w:sz="0" w:space="0" w:color="auto"/>
                                                                    <w:bottom w:val="none" w:sz="0" w:space="0" w:color="auto"/>
                                                                    <w:right w:val="none" w:sz="0" w:space="0" w:color="auto"/>
                                                                  </w:divBdr>
                                                                  <w:divsChild>
                                                                    <w:div w:id="2037655110">
                                                                      <w:marLeft w:val="0"/>
                                                                      <w:marRight w:val="0"/>
                                                                      <w:marTop w:val="0"/>
                                                                      <w:marBottom w:val="0"/>
                                                                      <w:divBdr>
                                                                        <w:top w:val="none" w:sz="0" w:space="0" w:color="auto"/>
                                                                        <w:left w:val="none" w:sz="0" w:space="0" w:color="auto"/>
                                                                        <w:bottom w:val="none" w:sz="0" w:space="0" w:color="auto"/>
                                                                        <w:right w:val="none" w:sz="0" w:space="0" w:color="auto"/>
                                                                      </w:divBdr>
                                                                      <w:divsChild>
                                                                        <w:div w:id="1553924489">
                                                                          <w:marLeft w:val="0"/>
                                                                          <w:marRight w:val="0"/>
                                                                          <w:marTop w:val="0"/>
                                                                          <w:marBottom w:val="0"/>
                                                                          <w:divBdr>
                                                                            <w:top w:val="none" w:sz="0" w:space="0" w:color="auto"/>
                                                                            <w:left w:val="none" w:sz="0" w:space="0" w:color="auto"/>
                                                                            <w:bottom w:val="none" w:sz="0" w:space="0" w:color="auto"/>
                                                                            <w:right w:val="none" w:sz="0" w:space="0" w:color="auto"/>
                                                                          </w:divBdr>
                                                                          <w:divsChild>
                                                                            <w:div w:id="13132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94470">
      <w:bodyDiv w:val="1"/>
      <w:marLeft w:val="0"/>
      <w:marRight w:val="0"/>
      <w:marTop w:val="0"/>
      <w:marBottom w:val="0"/>
      <w:divBdr>
        <w:top w:val="none" w:sz="0" w:space="0" w:color="auto"/>
        <w:left w:val="none" w:sz="0" w:space="0" w:color="auto"/>
        <w:bottom w:val="none" w:sz="0" w:space="0" w:color="auto"/>
        <w:right w:val="none" w:sz="0" w:space="0" w:color="auto"/>
      </w:divBdr>
      <w:divsChild>
        <w:div w:id="2030250820">
          <w:marLeft w:val="0"/>
          <w:marRight w:val="0"/>
          <w:marTop w:val="0"/>
          <w:marBottom w:val="0"/>
          <w:divBdr>
            <w:top w:val="none" w:sz="0" w:space="0" w:color="auto"/>
            <w:left w:val="none" w:sz="0" w:space="0" w:color="auto"/>
            <w:bottom w:val="none" w:sz="0" w:space="0" w:color="auto"/>
            <w:right w:val="none" w:sz="0" w:space="0" w:color="auto"/>
          </w:divBdr>
        </w:div>
        <w:div w:id="1551306593">
          <w:marLeft w:val="0"/>
          <w:marRight w:val="0"/>
          <w:marTop w:val="0"/>
          <w:marBottom w:val="0"/>
          <w:divBdr>
            <w:top w:val="none" w:sz="0" w:space="0" w:color="auto"/>
            <w:left w:val="none" w:sz="0" w:space="0" w:color="auto"/>
            <w:bottom w:val="none" w:sz="0" w:space="0" w:color="auto"/>
            <w:right w:val="none" w:sz="0" w:space="0" w:color="auto"/>
          </w:divBdr>
        </w:div>
        <w:div w:id="393816732">
          <w:marLeft w:val="0"/>
          <w:marRight w:val="0"/>
          <w:marTop w:val="0"/>
          <w:marBottom w:val="0"/>
          <w:divBdr>
            <w:top w:val="none" w:sz="0" w:space="0" w:color="auto"/>
            <w:left w:val="none" w:sz="0" w:space="0" w:color="auto"/>
            <w:bottom w:val="none" w:sz="0" w:space="0" w:color="auto"/>
            <w:right w:val="none" w:sz="0" w:space="0" w:color="auto"/>
          </w:divBdr>
        </w:div>
        <w:div w:id="652103014">
          <w:marLeft w:val="0"/>
          <w:marRight w:val="0"/>
          <w:marTop w:val="0"/>
          <w:marBottom w:val="0"/>
          <w:divBdr>
            <w:top w:val="none" w:sz="0" w:space="0" w:color="auto"/>
            <w:left w:val="none" w:sz="0" w:space="0" w:color="auto"/>
            <w:bottom w:val="none" w:sz="0" w:space="0" w:color="auto"/>
            <w:right w:val="none" w:sz="0" w:space="0" w:color="auto"/>
          </w:divBdr>
        </w:div>
        <w:div w:id="1874268697">
          <w:marLeft w:val="0"/>
          <w:marRight w:val="0"/>
          <w:marTop w:val="0"/>
          <w:marBottom w:val="0"/>
          <w:divBdr>
            <w:top w:val="none" w:sz="0" w:space="0" w:color="auto"/>
            <w:left w:val="none" w:sz="0" w:space="0" w:color="auto"/>
            <w:bottom w:val="none" w:sz="0" w:space="0" w:color="auto"/>
            <w:right w:val="none" w:sz="0" w:space="0" w:color="auto"/>
          </w:divBdr>
        </w:div>
        <w:div w:id="1500467978">
          <w:marLeft w:val="0"/>
          <w:marRight w:val="0"/>
          <w:marTop w:val="0"/>
          <w:marBottom w:val="0"/>
          <w:divBdr>
            <w:top w:val="none" w:sz="0" w:space="0" w:color="auto"/>
            <w:left w:val="none" w:sz="0" w:space="0" w:color="auto"/>
            <w:bottom w:val="none" w:sz="0" w:space="0" w:color="auto"/>
            <w:right w:val="none" w:sz="0" w:space="0" w:color="auto"/>
          </w:divBdr>
        </w:div>
        <w:div w:id="1233732839">
          <w:marLeft w:val="0"/>
          <w:marRight w:val="0"/>
          <w:marTop w:val="0"/>
          <w:marBottom w:val="0"/>
          <w:divBdr>
            <w:top w:val="none" w:sz="0" w:space="0" w:color="auto"/>
            <w:left w:val="none" w:sz="0" w:space="0" w:color="auto"/>
            <w:bottom w:val="none" w:sz="0" w:space="0" w:color="auto"/>
            <w:right w:val="none" w:sz="0" w:space="0" w:color="auto"/>
          </w:divBdr>
        </w:div>
        <w:div w:id="1701932195">
          <w:marLeft w:val="0"/>
          <w:marRight w:val="0"/>
          <w:marTop w:val="0"/>
          <w:marBottom w:val="0"/>
          <w:divBdr>
            <w:top w:val="none" w:sz="0" w:space="0" w:color="auto"/>
            <w:left w:val="none" w:sz="0" w:space="0" w:color="auto"/>
            <w:bottom w:val="none" w:sz="0" w:space="0" w:color="auto"/>
            <w:right w:val="none" w:sz="0" w:space="0" w:color="auto"/>
          </w:divBdr>
        </w:div>
      </w:divsChild>
    </w:div>
    <w:div w:id="1080371286">
      <w:bodyDiv w:val="1"/>
      <w:marLeft w:val="0"/>
      <w:marRight w:val="0"/>
      <w:marTop w:val="0"/>
      <w:marBottom w:val="0"/>
      <w:divBdr>
        <w:top w:val="none" w:sz="0" w:space="0" w:color="auto"/>
        <w:left w:val="none" w:sz="0" w:space="0" w:color="auto"/>
        <w:bottom w:val="none" w:sz="0" w:space="0" w:color="auto"/>
        <w:right w:val="none" w:sz="0" w:space="0" w:color="auto"/>
      </w:divBdr>
    </w:div>
    <w:div w:id="1101099893">
      <w:bodyDiv w:val="1"/>
      <w:marLeft w:val="0"/>
      <w:marRight w:val="0"/>
      <w:marTop w:val="0"/>
      <w:marBottom w:val="0"/>
      <w:divBdr>
        <w:top w:val="none" w:sz="0" w:space="0" w:color="auto"/>
        <w:left w:val="none" w:sz="0" w:space="0" w:color="auto"/>
        <w:bottom w:val="none" w:sz="0" w:space="0" w:color="auto"/>
        <w:right w:val="none" w:sz="0" w:space="0" w:color="auto"/>
      </w:divBdr>
      <w:divsChild>
        <w:div w:id="201134622">
          <w:marLeft w:val="0"/>
          <w:marRight w:val="0"/>
          <w:marTop w:val="0"/>
          <w:marBottom w:val="0"/>
          <w:divBdr>
            <w:top w:val="none" w:sz="0" w:space="0" w:color="auto"/>
            <w:left w:val="none" w:sz="0" w:space="0" w:color="auto"/>
            <w:bottom w:val="none" w:sz="0" w:space="0" w:color="auto"/>
            <w:right w:val="none" w:sz="0" w:space="0" w:color="auto"/>
          </w:divBdr>
        </w:div>
        <w:div w:id="418870352">
          <w:marLeft w:val="0"/>
          <w:marRight w:val="0"/>
          <w:marTop w:val="0"/>
          <w:marBottom w:val="0"/>
          <w:divBdr>
            <w:top w:val="none" w:sz="0" w:space="0" w:color="auto"/>
            <w:left w:val="none" w:sz="0" w:space="0" w:color="auto"/>
            <w:bottom w:val="none" w:sz="0" w:space="0" w:color="auto"/>
            <w:right w:val="none" w:sz="0" w:space="0" w:color="auto"/>
          </w:divBdr>
        </w:div>
        <w:div w:id="1552614519">
          <w:marLeft w:val="0"/>
          <w:marRight w:val="0"/>
          <w:marTop w:val="0"/>
          <w:marBottom w:val="0"/>
          <w:divBdr>
            <w:top w:val="none" w:sz="0" w:space="0" w:color="auto"/>
            <w:left w:val="none" w:sz="0" w:space="0" w:color="auto"/>
            <w:bottom w:val="none" w:sz="0" w:space="0" w:color="auto"/>
            <w:right w:val="none" w:sz="0" w:space="0" w:color="auto"/>
          </w:divBdr>
        </w:div>
        <w:div w:id="1599484559">
          <w:marLeft w:val="0"/>
          <w:marRight w:val="0"/>
          <w:marTop w:val="0"/>
          <w:marBottom w:val="0"/>
          <w:divBdr>
            <w:top w:val="none" w:sz="0" w:space="0" w:color="auto"/>
            <w:left w:val="none" w:sz="0" w:space="0" w:color="auto"/>
            <w:bottom w:val="none" w:sz="0" w:space="0" w:color="auto"/>
            <w:right w:val="none" w:sz="0" w:space="0" w:color="auto"/>
          </w:divBdr>
        </w:div>
      </w:divsChild>
    </w:div>
    <w:div w:id="1104108862">
      <w:bodyDiv w:val="1"/>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sChild>
            <w:div w:id="831021937">
              <w:marLeft w:val="0"/>
              <w:marRight w:val="0"/>
              <w:marTop w:val="0"/>
              <w:marBottom w:val="0"/>
              <w:divBdr>
                <w:top w:val="none" w:sz="0" w:space="0" w:color="auto"/>
                <w:left w:val="none" w:sz="0" w:space="0" w:color="auto"/>
                <w:bottom w:val="none" w:sz="0" w:space="0" w:color="auto"/>
                <w:right w:val="none" w:sz="0" w:space="0" w:color="auto"/>
              </w:divBdr>
              <w:divsChild>
                <w:div w:id="440993817">
                  <w:marLeft w:val="0"/>
                  <w:marRight w:val="0"/>
                  <w:marTop w:val="0"/>
                  <w:marBottom w:val="0"/>
                  <w:divBdr>
                    <w:top w:val="none" w:sz="0" w:space="0" w:color="auto"/>
                    <w:left w:val="none" w:sz="0" w:space="0" w:color="auto"/>
                    <w:bottom w:val="none" w:sz="0" w:space="0" w:color="auto"/>
                    <w:right w:val="none" w:sz="0" w:space="0" w:color="auto"/>
                  </w:divBdr>
                  <w:divsChild>
                    <w:div w:id="839582551">
                      <w:marLeft w:val="0"/>
                      <w:marRight w:val="0"/>
                      <w:marTop w:val="0"/>
                      <w:marBottom w:val="0"/>
                      <w:divBdr>
                        <w:top w:val="none" w:sz="0" w:space="0" w:color="auto"/>
                        <w:left w:val="none" w:sz="0" w:space="0" w:color="auto"/>
                        <w:bottom w:val="none" w:sz="0" w:space="0" w:color="auto"/>
                        <w:right w:val="none" w:sz="0" w:space="0" w:color="auto"/>
                      </w:divBdr>
                      <w:divsChild>
                        <w:div w:id="1496072234">
                          <w:marLeft w:val="0"/>
                          <w:marRight w:val="0"/>
                          <w:marTop w:val="0"/>
                          <w:marBottom w:val="0"/>
                          <w:divBdr>
                            <w:top w:val="none" w:sz="0" w:space="0" w:color="auto"/>
                            <w:left w:val="none" w:sz="0" w:space="0" w:color="auto"/>
                            <w:bottom w:val="none" w:sz="0" w:space="0" w:color="auto"/>
                            <w:right w:val="none" w:sz="0" w:space="0" w:color="auto"/>
                          </w:divBdr>
                          <w:divsChild>
                            <w:div w:id="534923958">
                              <w:marLeft w:val="0"/>
                              <w:marRight w:val="0"/>
                              <w:marTop w:val="100"/>
                              <w:marBottom w:val="100"/>
                              <w:divBdr>
                                <w:top w:val="none" w:sz="0" w:space="0" w:color="auto"/>
                                <w:left w:val="none" w:sz="0" w:space="0" w:color="auto"/>
                                <w:bottom w:val="none" w:sz="0" w:space="0" w:color="auto"/>
                                <w:right w:val="none" w:sz="0" w:space="0" w:color="auto"/>
                              </w:divBdr>
                              <w:divsChild>
                                <w:div w:id="2080781220">
                                  <w:marLeft w:val="0"/>
                                  <w:marRight w:val="0"/>
                                  <w:marTop w:val="0"/>
                                  <w:marBottom w:val="0"/>
                                  <w:divBdr>
                                    <w:top w:val="none" w:sz="0" w:space="0" w:color="auto"/>
                                    <w:left w:val="none" w:sz="0" w:space="0" w:color="auto"/>
                                    <w:bottom w:val="none" w:sz="0" w:space="0" w:color="auto"/>
                                    <w:right w:val="none" w:sz="0" w:space="0" w:color="auto"/>
                                  </w:divBdr>
                                  <w:divsChild>
                                    <w:div w:id="1646665580">
                                      <w:marLeft w:val="0"/>
                                      <w:marRight w:val="0"/>
                                      <w:marTop w:val="0"/>
                                      <w:marBottom w:val="0"/>
                                      <w:divBdr>
                                        <w:top w:val="none" w:sz="0" w:space="0" w:color="auto"/>
                                        <w:left w:val="none" w:sz="0" w:space="0" w:color="auto"/>
                                        <w:bottom w:val="none" w:sz="0" w:space="0" w:color="auto"/>
                                        <w:right w:val="none" w:sz="0" w:space="0" w:color="auto"/>
                                      </w:divBdr>
                                      <w:divsChild>
                                        <w:div w:id="13584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855098">
      <w:bodyDiv w:val="1"/>
      <w:marLeft w:val="0"/>
      <w:marRight w:val="0"/>
      <w:marTop w:val="0"/>
      <w:marBottom w:val="0"/>
      <w:divBdr>
        <w:top w:val="none" w:sz="0" w:space="0" w:color="auto"/>
        <w:left w:val="none" w:sz="0" w:space="0" w:color="auto"/>
        <w:bottom w:val="none" w:sz="0" w:space="0" w:color="auto"/>
        <w:right w:val="none" w:sz="0" w:space="0" w:color="auto"/>
      </w:divBdr>
      <w:divsChild>
        <w:div w:id="1392655803">
          <w:marLeft w:val="0"/>
          <w:marRight w:val="0"/>
          <w:marTop w:val="0"/>
          <w:marBottom w:val="0"/>
          <w:divBdr>
            <w:top w:val="none" w:sz="0" w:space="0" w:color="auto"/>
            <w:left w:val="none" w:sz="0" w:space="0" w:color="auto"/>
            <w:bottom w:val="none" w:sz="0" w:space="0" w:color="auto"/>
            <w:right w:val="none" w:sz="0" w:space="0" w:color="auto"/>
          </w:divBdr>
        </w:div>
        <w:div w:id="1462072224">
          <w:marLeft w:val="0"/>
          <w:marRight w:val="0"/>
          <w:marTop w:val="0"/>
          <w:marBottom w:val="0"/>
          <w:divBdr>
            <w:top w:val="none" w:sz="0" w:space="0" w:color="auto"/>
            <w:left w:val="none" w:sz="0" w:space="0" w:color="auto"/>
            <w:bottom w:val="none" w:sz="0" w:space="0" w:color="auto"/>
            <w:right w:val="none" w:sz="0" w:space="0" w:color="auto"/>
          </w:divBdr>
        </w:div>
        <w:div w:id="2096047741">
          <w:marLeft w:val="0"/>
          <w:marRight w:val="0"/>
          <w:marTop w:val="0"/>
          <w:marBottom w:val="0"/>
          <w:divBdr>
            <w:top w:val="none" w:sz="0" w:space="0" w:color="auto"/>
            <w:left w:val="none" w:sz="0" w:space="0" w:color="auto"/>
            <w:bottom w:val="none" w:sz="0" w:space="0" w:color="auto"/>
            <w:right w:val="none" w:sz="0" w:space="0" w:color="auto"/>
          </w:divBdr>
        </w:div>
        <w:div w:id="253901407">
          <w:marLeft w:val="0"/>
          <w:marRight w:val="0"/>
          <w:marTop w:val="0"/>
          <w:marBottom w:val="0"/>
          <w:divBdr>
            <w:top w:val="none" w:sz="0" w:space="0" w:color="auto"/>
            <w:left w:val="none" w:sz="0" w:space="0" w:color="auto"/>
            <w:bottom w:val="none" w:sz="0" w:space="0" w:color="auto"/>
            <w:right w:val="none" w:sz="0" w:space="0" w:color="auto"/>
          </w:divBdr>
        </w:div>
        <w:div w:id="2027704774">
          <w:marLeft w:val="0"/>
          <w:marRight w:val="0"/>
          <w:marTop w:val="0"/>
          <w:marBottom w:val="0"/>
          <w:divBdr>
            <w:top w:val="none" w:sz="0" w:space="0" w:color="auto"/>
            <w:left w:val="none" w:sz="0" w:space="0" w:color="auto"/>
            <w:bottom w:val="none" w:sz="0" w:space="0" w:color="auto"/>
            <w:right w:val="none" w:sz="0" w:space="0" w:color="auto"/>
          </w:divBdr>
        </w:div>
      </w:divsChild>
    </w:div>
    <w:div w:id="1121192107">
      <w:bodyDiv w:val="1"/>
      <w:marLeft w:val="0"/>
      <w:marRight w:val="0"/>
      <w:marTop w:val="0"/>
      <w:marBottom w:val="0"/>
      <w:divBdr>
        <w:top w:val="none" w:sz="0" w:space="0" w:color="auto"/>
        <w:left w:val="none" w:sz="0" w:space="0" w:color="auto"/>
        <w:bottom w:val="none" w:sz="0" w:space="0" w:color="auto"/>
        <w:right w:val="none" w:sz="0" w:space="0" w:color="auto"/>
      </w:divBdr>
    </w:div>
    <w:div w:id="1180316032">
      <w:bodyDiv w:val="1"/>
      <w:marLeft w:val="0"/>
      <w:marRight w:val="0"/>
      <w:marTop w:val="0"/>
      <w:marBottom w:val="0"/>
      <w:divBdr>
        <w:top w:val="none" w:sz="0" w:space="0" w:color="auto"/>
        <w:left w:val="none" w:sz="0" w:space="0" w:color="auto"/>
        <w:bottom w:val="none" w:sz="0" w:space="0" w:color="auto"/>
        <w:right w:val="none" w:sz="0" w:space="0" w:color="auto"/>
      </w:divBdr>
      <w:divsChild>
        <w:div w:id="1461412099">
          <w:marLeft w:val="0"/>
          <w:marRight w:val="0"/>
          <w:marTop w:val="100"/>
          <w:marBottom w:val="100"/>
          <w:divBdr>
            <w:top w:val="none" w:sz="0" w:space="0" w:color="auto"/>
            <w:left w:val="none" w:sz="0" w:space="0" w:color="auto"/>
            <w:bottom w:val="none" w:sz="0" w:space="0" w:color="auto"/>
            <w:right w:val="none" w:sz="0" w:space="0" w:color="auto"/>
          </w:divBdr>
          <w:divsChild>
            <w:div w:id="478888830">
              <w:marLeft w:val="0"/>
              <w:marRight w:val="0"/>
              <w:marTop w:val="0"/>
              <w:marBottom w:val="0"/>
              <w:divBdr>
                <w:top w:val="none" w:sz="0" w:space="0" w:color="auto"/>
                <w:left w:val="none" w:sz="0" w:space="0" w:color="auto"/>
                <w:bottom w:val="none" w:sz="0" w:space="0" w:color="auto"/>
                <w:right w:val="none" w:sz="0" w:space="0" w:color="auto"/>
              </w:divBdr>
              <w:divsChild>
                <w:div w:id="1118836188">
                  <w:marLeft w:val="105"/>
                  <w:marRight w:val="105"/>
                  <w:marTop w:val="105"/>
                  <w:marBottom w:val="105"/>
                  <w:divBdr>
                    <w:top w:val="none" w:sz="0" w:space="0" w:color="auto"/>
                    <w:left w:val="none" w:sz="0" w:space="0" w:color="auto"/>
                    <w:bottom w:val="none" w:sz="0" w:space="0" w:color="auto"/>
                    <w:right w:val="none" w:sz="0" w:space="0" w:color="auto"/>
                  </w:divBdr>
                  <w:divsChild>
                    <w:div w:id="87507030">
                      <w:marLeft w:val="0"/>
                      <w:marRight w:val="0"/>
                      <w:marTop w:val="0"/>
                      <w:marBottom w:val="0"/>
                      <w:divBdr>
                        <w:top w:val="none" w:sz="0" w:space="0" w:color="auto"/>
                        <w:left w:val="none" w:sz="0" w:space="0" w:color="auto"/>
                        <w:bottom w:val="none" w:sz="0" w:space="0" w:color="auto"/>
                        <w:right w:val="none" w:sz="0" w:space="0" w:color="auto"/>
                      </w:divBdr>
                      <w:divsChild>
                        <w:div w:id="1827748178">
                          <w:marLeft w:val="0"/>
                          <w:marRight w:val="0"/>
                          <w:marTop w:val="0"/>
                          <w:marBottom w:val="0"/>
                          <w:divBdr>
                            <w:top w:val="none" w:sz="0" w:space="0" w:color="auto"/>
                            <w:left w:val="none" w:sz="0" w:space="0" w:color="auto"/>
                            <w:bottom w:val="none" w:sz="0" w:space="0" w:color="auto"/>
                            <w:right w:val="none" w:sz="0" w:space="0" w:color="auto"/>
                          </w:divBdr>
                          <w:divsChild>
                            <w:div w:id="74471950">
                              <w:marLeft w:val="105"/>
                              <w:marRight w:val="105"/>
                              <w:marTop w:val="105"/>
                              <w:marBottom w:val="105"/>
                              <w:divBdr>
                                <w:top w:val="none" w:sz="0" w:space="0" w:color="auto"/>
                                <w:left w:val="none" w:sz="0" w:space="0" w:color="auto"/>
                                <w:bottom w:val="none" w:sz="0" w:space="0" w:color="auto"/>
                                <w:right w:val="none" w:sz="0" w:space="0" w:color="auto"/>
                              </w:divBdr>
                              <w:divsChild>
                                <w:div w:id="1201429664">
                                  <w:marLeft w:val="0"/>
                                  <w:marRight w:val="0"/>
                                  <w:marTop w:val="0"/>
                                  <w:marBottom w:val="0"/>
                                  <w:divBdr>
                                    <w:top w:val="none" w:sz="0" w:space="0" w:color="auto"/>
                                    <w:left w:val="none" w:sz="0" w:space="0" w:color="auto"/>
                                    <w:bottom w:val="none" w:sz="0" w:space="0" w:color="auto"/>
                                    <w:right w:val="none" w:sz="0" w:space="0" w:color="auto"/>
                                  </w:divBdr>
                                  <w:divsChild>
                                    <w:div w:id="1287859482">
                                      <w:marLeft w:val="0"/>
                                      <w:marRight w:val="0"/>
                                      <w:marTop w:val="0"/>
                                      <w:marBottom w:val="0"/>
                                      <w:divBdr>
                                        <w:top w:val="none" w:sz="0" w:space="0" w:color="auto"/>
                                        <w:left w:val="none" w:sz="0" w:space="0" w:color="auto"/>
                                        <w:bottom w:val="none" w:sz="0" w:space="0" w:color="auto"/>
                                        <w:right w:val="none" w:sz="0" w:space="0" w:color="auto"/>
                                      </w:divBdr>
                                      <w:divsChild>
                                        <w:div w:id="1254360440">
                                          <w:marLeft w:val="0"/>
                                          <w:marRight w:val="0"/>
                                          <w:marTop w:val="0"/>
                                          <w:marBottom w:val="0"/>
                                          <w:divBdr>
                                            <w:top w:val="none" w:sz="0" w:space="0" w:color="auto"/>
                                            <w:left w:val="none" w:sz="0" w:space="0" w:color="auto"/>
                                            <w:bottom w:val="none" w:sz="0" w:space="0" w:color="auto"/>
                                            <w:right w:val="none" w:sz="0" w:space="0" w:color="auto"/>
                                          </w:divBdr>
                                          <w:divsChild>
                                            <w:div w:id="176162114">
                                              <w:marLeft w:val="0"/>
                                              <w:marRight w:val="0"/>
                                              <w:marTop w:val="0"/>
                                              <w:marBottom w:val="0"/>
                                              <w:divBdr>
                                                <w:top w:val="none" w:sz="0" w:space="0" w:color="auto"/>
                                                <w:left w:val="none" w:sz="0" w:space="0" w:color="auto"/>
                                                <w:bottom w:val="none" w:sz="0" w:space="0" w:color="auto"/>
                                                <w:right w:val="none" w:sz="0" w:space="0" w:color="auto"/>
                                              </w:divBdr>
                                              <w:divsChild>
                                                <w:div w:id="824663043">
                                                  <w:marLeft w:val="105"/>
                                                  <w:marRight w:val="105"/>
                                                  <w:marTop w:val="105"/>
                                                  <w:marBottom w:val="105"/>
                                                  <w:divBdr>
                                                    <w:top w:val="none" w:sz="0" w:space="0" w:color="auto"/>
                                                    <w:left w:val="none" w:sz="0" w:space="0" w:color="auto"/>
                                                    <w:bottom w:val="none" w:sz="0" w:space="0" w:color="auto"/>
                                                    <w:right w:val="none" w:sz="0" w:space="0" w:color="auto"/>
                                                  </w:divBdr>
                                                  <w:divsChild>
                                                    <w:div w:id="1538006289">
                                                      <w:marLeft w:val="0"/>
                                                      <w:marRight w:val="0"/>
                                                      <w:marTop w:val="0"/>
                                                      <w:marBottom w:val="0"/>
                                                      <w:divBdr>
                                                        <w:top w:val="none" w:sz="0" w:space="0" w:color="auto"/>
                                                        <w:left w:val="none" w:sz="0" w:space="0" w:color="auto"/>
                                                        <w:bottom w:val="none" w:sz="0" w:space="0" w:color="auto"/>
                                                        <w:right w:val="none" w:sz="0" w:space="0" w:color="auto"/>
                                                      </w:divBdr>
                                                      <w:divsChild>
                                                        <w:div w:id="688337712">
                                                          <w:marLeft w:val="0"/>
                                                          <w:marRight w:val="0"/>
                                                          <w:marTop w:val="0"/>
                                                          <w:marBottom w:val="0"/>
                                                          <w:divBdr>
                                                            <w:top w:val="none" w:sz="0" w:space="0" w:color="auto"/>
                                                            <w:left w:val="none" w:sz="0" w:space="0" w:color="auto"/>
                                                            <w:bottom w:val="none" w:sz="0" w:space="0" w:color="auto"/>
                                                            <w:right w:val="none" w:sz="0" w:space="0" w:color="auto"/>
                                                          </w:divBdr>
                                                          <w:divsChild>
                                                            <w:div w:id="1581863269">
                                                              <w:marLeft w:val="0"/>
                                                              <w:marRight w:val="0"/>
                                                              <w:marTop w:val="0"/>
                                                              <w:marBottom w:val="0"/>
                                                              <w:divBdr>
                                                                <w:top w:val="none" w:sz="0" w:space="0" w:color="auto"/>
                                                                <w:left w:val="none" w:sz="0" w:space="0" w:color="auto"/>
                                                                <w:bottom w:val="none" w:sz="0" w:space="0" w:color="auto"/>
                                                                <w:right w:val="none" w:sz="0" w:space="0" w:color="auto"/>
                                                              </w:divBdr>
                                                              <w:divsChild>
                                                                <w:div w:id="1501889909">
                                                                  <w:marLeft w:val="0"/>
                                                                  <w:marRight w:val="0"/>
                                                                  <w:marTop w:val="0"/>
                                                                  <w:marBottom w:val="0"/>
                                                                  <w:divBdr>
                                                                    <w:top w:val="none" w:sz="0" w:space="0" w:color="auto"/>
                                                                    <w:left w:val="none" w:sz="0" w:space="0" w:color="auto"/>
                                                                    <w:bottom w:val="none" w:sz="0" w:space="0" w:color="auto"/>
                                                                    <w:right w:val="none" w:sz="0" w:space="0" w:color="auto"/>
                                                                  </w:divBdr>
                                                                  <w:divsChild>
                                                                    <w:div w:id="338429938">
                                                                      <w:marLeft w:val="0"/>
                                                                      <w:marRight w:val="0"/>
                                                                      <w:marTop w:val="0"/>
                                                                      <w:marBottom w:val="0"/>
                                                                      <w:divBdr>
                                                                        <w:top w:val="none" w:sz="0" w:space="0" w:color="auto"/>
                                                                        <w:left w:val="none" w:sz="0" w:space="0" w:color="auto"/>
                                                                        <w:bottom w:val="none" w:sz="0" w:space="0" w:color="auto"/>
                                                                        <w:right w:val="none" w:sz="0" w:space="0" w:color="auto"/>
                                                                      </w:divBdr>
                                                                      <w:divsChild>
                                                                        <w:div w:id="1387988032">
                                                                          <w:marLeft w:val="105"/>
                                                                          <w:marRight w:val="105"/>
                                                                          <w:marTop w:val="105"/>
                                                                          <w:marBottom w:val="105"/>
                                                                          <w:divBdr>
                                                                            <w:top w:val="none" w:sz="0" w:space="0" w:color="auto"/>
                                                                            <w:left w:val="none" w:sz="0" w:space="0" w:color="auto"/>
                                                                            <w:bottom w:val="none" w:sz="0" w:space="0" w:color="auto"/>
                                                                            <w:right w:val="none" w:sz="0" w:space="0" w:color="auto"/>
                                                                          </w:divBdr>
                                                                          <w:divsChild>
                                                                            <w:div w:id="1523545785">
                                                                              <w:marLeft w:val="0"/>
                                                                              <w:marRight w:val="0"/>
                                                                              <w:marTop w:val="0"/>
                                                                              <w:marBottom w:val="0"/>
                                                                              <w:divBdr>
                                                                                <w:top w:val="none" w:sz="0" w:space="0" w:color="auto"/>
                                                                                <w:left w:val="none" w:sz="0" w:space="0" w:color="auto"/>
                                                                                <w:bottom w:val="none" w:sz="0" w:space="0" w:color="auto"/>
                                                                                <w:right w:val="none" w:sz="0" w:space="0" w:color="auto"/>
                                                                              </w:divBdr>
                                                                              <w:divsChild>
                                                                                <w:div w:id="1549756065">
                                                                                  <w:marLeft w:val="0"/>
                                                                                  <w:marRight w:val="0"/>
                                                                                  <w:marTop w:val="0"/>
                                                                                  <w:marBottom w:val="0"/>
                                                                                  <w:divBdr>
                                                                                    <w:top w:val="none" w:sz="0" w:space="0" w:color="auto"/>
                                                                                    <w:left w:val="none" w:sz="0" w:space="0" w:color="auto"/>
                                                                                    <w:bottom w:val="none" w:sz="0" w:space="0" w:color="auto"/>
                                                                                    <w:right w:val="none" w:sz="0" w:space="0" w:color="auto"/>
                                                                                  </w:divBdr>
                                                                                  <w:divsChild>
                                                                                    <w:div w:id="891964273">
                                                                                      <w:marLeft w:val="0"/>
                                                                                      <w:marRight w:val="0"/>
                                                                                      <w:marTop w:val="0"/>
                                                                                      <w:marBottom w:val="0"/>
                                                                                      <w:divBdr>
                                                                                        <w:top w:val="none" w:sz="0" w:space="0" w:color="auto"/>
                                                                                        <w:left w:val="none" w:sz="0" w:space="0" w:color="auto"/>
                                                                                        <w:bottom w:val="none" w:sz="0" w:space="0" w:color="auto"/>
                                                                                        <w:right w:val="none" w:sz="0" w:space="0" w:color="auto"/>
                                                                                      </w:divBdr>
                                                                                      <w:divsChild>
                                                                                        <w:div w:id="2118866891">
                                                                                          <w:marLeft w:val="0"/>
                                                                                          <w:marRight w:val="0"/>
                                                                                          <w:marTop w:val="0"/>
                                                                                          <w:marBottom w:val="0"/>
                                                                                          <w:divBdr>
                                                                                            <w:top w:val="none" w:sz="0" w:space="0" w:color="auto"/>
                                                                                            <w:left w:val="none" w:sz="0" w:space="0" w:color="auto"/>
                                                                                            <w:bottom w:val="none" w:sz="0" w:space="0" w:color="auto"/>
                                                                                            <w:right w:val="none" w:sz="0" w:space="0" w:color="auto"/>
                                                                                          </w:divBdr>
                                                                                          <w:divsChild>
                                                                                            <w:div w:id="928082548">
                                                                                              <w:marLeft w:val="0"/>
                                                                                              <w:marRight w:val="0"/>
                                                                                              <w:marTop w:val="0"/>
                                                                                              <w:marBottom w:val="0"/>
                                                                                              <w:divBdr>
                                                                                                <w:top w:val="none" w:sz="0" w:space="0" w:color="auto"/>
                                                                                                <w:left w:val="none" w:sz="0" w:space="0" w:color="auto"/>
                                                                                                <w:bottom w:val="none" w:sz="0" w:space="0" w:color="auto"/>
                                                                                                <w:right w:val="none" w:sz="0" w:space="0" w:color="auto"/>
                                                                                              </w:divBdr>
                                                                                              <w:divsChild>
                                                                                                <w:div w:id="1699433889">
                                                                                                  <w:marLeft w:val="0"/>
                                                                                                  <w:marRight w:val="0"/>
                                                                                                  <w:marTop w:val="0"/>
                                                                                                  <w:marBottom w:val="0"/>
                                                                                                  <w:divBdr>
                                                                                                    <w:top w:val="none" w:sz="0" w:space="0" w:color="auto"/>
                                                                                                    <w:left w:val="none" w:sz="0" w:space="0" w:color="auto"/>
                                                                                                    <w:bottom w:val="none" w:sz="0" w:space="0" w:color="auto"/>
                                                                                                    <w:right w:val="none" w:sz="0" w:space="0" w:color="auto"/>
                                                                                                  </w:divBdr>
                                                                                                  <w:divsChild>
                                                                                                    <w:div w:id="1381981026">
                                                                                                      <w:marLeft w:val="105"/>
                                                                                                      <w:marRight w:val="105"/>
                                                                                                      <w:marTop w:val="105"/>
                                                                                                      <w:marBottom w:val="105"/>
                                                                                                      <w:divBdr>
                                                                                                        <w:top w:val="none" w:sz="0" w:space="0" w:color="auto"/>
                                                                                                        <w:left w:val="none" w:sz="0" w:space="0" w:color="auto"/>
                                                                                                        <w:bottom w:val="none" w:sz="0" w:space="0" w:color="auto"/>
                                                                                                        <w:right w:val="none" w:sz="0" w:space="0" w:color="auto"/>
                                                                                                      </w:divBdr>
                                                                                                      <w:divsChild>
                                                                                                        <w:div w:id="239406643">
                                                                                                          <w:marLeft w:val="0"/>
                                                                                                          <w:marRight w:val="0"/>
                                                                                                          <w:marTop w:val="0"/>
                                                                                                          <w:marBottom w:val="0"/>
                                                                                                          <w:divBdr>
                                                                                                            <w:top w:val="none" w:sz="0" w:space="0" w:color="auto"/>
                                                                                                            <w:left w:val="none" w:sz="0" w:space="0" w:color="auto"/>
                                                                                                            <w:bottom w:val="none" w:sz="0" w:space="0" w:color="auto"/>
                                                                                                            <w:right w:val="none" w:sz="0" w:space="0" w:color="auto"/>
                                                                                                          </w:divBdr>
                                                                                                          <w:divsChild>
                                                                                                            <w:div w:id="2004433124">
                                                                                                              <w:marLeft w:val="0"/>
                                                                                                              <w:marRight w:val="0"/>
                                                                                                              <w:marTop w:val="0"/>
                                                                                                              <w:marBottom w:val="0"/>
                                                                                                              <w:divBdr>
                                                                                                                <w:top w:val="none" w:sz="0" w:space="0" w:color="auto"/>
                                                                                                                <w:left w:val="none" w:sz="0" w:space="0" w:color="auto"/>
                                                                                                                <w:bottom w:val="none" w:sz="0" w:space="0" w:color="auto"/>
                                                                                                                <w:right w:val="none" w:sz="0" w:space="0" w:color="auto"/>
                                                                                                              </w:divBdr>
                                                                                                              <w:divsChild>
                                                                                                                <w:div w:id="1852454745">
                                                                                                                  <w:marLeft w:val="0"/>
                                                                                                                  <w:marRight w:val="0"/>
                                                                                                                  <w:marTop w:val="0"/>
                                                                                                                  <w:marBottom w:val="0"/>
                                                                                                                  <w:divBdr>
                                                                                                                    <w:top w:val="none" w:sz="0" w:space="0" w:color="auto"/>
                                                                                                                    <w:left w:val="none" w:sz="0" w:space="0" w:color="auto"/>
                                                                                                                    <w:bottom w:val="none" w:sz="0" w:space="0" w:color="auto"/>
                                                                                                                    <w:right w:val="none" w:sz="0" w:space="0" w:color="auto"/>
                                                                                                                  </w:divBdr>
                                                                                                                  <w:divsChild>
                                                                                                                    <w:div w:id="1161846793">
                                                                                                                      <w:marLeft w:val="0"/>
                                                                                                                      <w:marRight w:val="0"/>
                                                                                                                      <w:marTop w:val="0"/>
                                                                                                                      <w:marBottom w:val="0"/>
                                                                                                                      <w:divBdr>
                                                                                                                        <w:top w:val="none" w:sz="0" w:space="0" w:color="auto"/>
                                                                                                                        <w:left w:val="none" w:sz="0" w:space="0" w:color="auto"/>
                                                                                                                        <w:bottom w:val="none" w:sz="0" w:space="0" w:color="auto"/>
                                                                                                                        <w:right w:val="none" w:sz="0" w:space="0" w:color="auto"/>
                                                                                                                      </w:divBdr>
                                                                                                                      <w:divsChild>
                                                                                                                        <w:div w:id="580408311">
                                                                                                                          <w:marLeft w:val="0"/>
                                                                                                                          <w:marRight w:val="0"/>
                                                                                                                          <w:marTop w:val="0"/>
                                                                                                                          <w:marBottom w:val="0"/>
                                                                                                                          <w:divBdr>
                                                                                                                            <w:top w:val="none" w:sz="0" w:space="0" w:color="auto"/>
                                                                                                                            <w:left w:val="none" w:sz="0" w:space="0" w:color="auto"/>
                                                                                                                            <w:bottom w:val="none" w:sz="0" w:space="0" w:color="auto"/>
                                                                                                                            <w:right w:val="none" w:sz="0" w:space="0" w:color="auto"/>
                                                                                                                          </w:divBdr>
                                                                                                                          <w:divsChild>
                                                                                                                            <w:div w:id="1066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227288">
      <w:bodyDiv w:val="1"/>
      <w:marLeft w:val="0"/>
      <w:marRight w:val="0"/>
      <w:marTop w:val="0"/>
      <w:marBottom w:val="0"/>
      <w:divBdr>
        <w:top w:val="none" w:sz="0" w:space="0" w:color="auto"/>
        <w:left w:val="none" w:sz="0" w:space="0" w:color="auto"/>
        <w:bottom w:val="none" w:sz="0" w:space="0" w:color="auto"/>
        <w:right w:val="none" w:sz="0" w:space="0" w:color="auto"/>
      </w:divBdr>
      <w:divsChild>
        <w:div w:id="1266958737">
          <w:marLeft w:val="0"/>
          <w:marRight w:val="0"/>
          <w:marTop w:val="0"/>
          <w:marBottom w:val="0"/>
          <w:divBdr>
            <w:top w:val="none" w:sz="0" w:space="0" w:color="auto"/>
            <w:left w:val="none" w:sz="0" w:space="0" w:color="auto"/>
            <w:bottom w:val="none" w:sz="0" w:space="0" w:color="auto"/>
            <w:right w:val="none" w:sz="0" w:space="0" w:color="auto"/>
          </w:divBdr>
        </w:div>
        <w:div w:id="2092700033">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sChild>
    </w:div>
    <w:div w:id="1253930091">
      <w:bodyDiv w:val="1"/>
      <w:marLeft w:val="0"/>
      <w:marRight w:val="0"/>
      <w:marTop w:val="0"/>
      <w:marBottom w:val="0"/>
      <w:divBdr>
        <w:top w:val="none" w:sz="0" w:space="0" w:color="auto"/>
        <w:left w:val="none" w:sz="0" w:space="0" w:color="auto"/>
        <w:bottom w:val="none" w:sz="0" w:space="0" w:color="auto"/>
        <w:right w:val="none" w:sz="0" w:space="0" w:color="auto"/>
      </w:divBdr>
    </w:div>
    <w:div w:id="1254432166">
      <w:bodyDiv w:val="1"/>
      <w:marLeft w:val="0"/>
      <w:marRight w:val="0"/>
      <w:marTop w:val="0"/>
      <w:marBottom w:val="0"/>
      <w:divBdr>
        <w:top w:val="none" w:sz="0" w:space="0" w:color="auto"/>
        <w:left w:val="none" w:sz="0" w:space="0" w:color="auto"/>
        <w:bottom w:val="none" w:sz="0" w:space="0" w:color="auto"/>
        <w:right w:val="none" w:sz="0" w:space="0" w:color="auto"/>
      </w:divBdr>
      <w:divsChild>
        <w:div w:id="266500814">
          <w:marLeft w:val="0"/>
          <w:marRight w:val="0"/>
          <w:marTop w:val="0"/>
          <w:marBottom w:val="0"/>
          <w:divBdr>
            <w:top w:val="none" w:sz="0" w:space="0" w:color="auto"/>
            <w:left w:val="none" w:sz="0" w:space="0" w:color="auto"/>
            <w:bottom w:val="none" w:sz="0" w:space="0" w:color="auto"/>
            <w:right w:val="none" w:sz="0" w:space="0" w:color="auto"/>
          </w:divBdr>
          <w:divsChild>
            <w:div w:id="23096028">
              <w:marLeft w:val="0"/>
              <w:marRight w:val="0"/>
              <w:marTop w:val="0"/>
              <w:marBottom w:val="450"/>
              <w:divBdr>
                <w:top w:val="none" w:sz="0" w:space="0" w:color="auto"/>
                <w:left w:val="none" w:sz="0" w:space="0" w:color="auto"/>
                <w:bottom w:val="none" w:sz="0" w:space="0" w:color="auto"/>
                <w:right w:val="none" w:sz="0" w:space="0" w:color="auto"/>
              </w:divBdr>
              <w:divsChild>
                <w:div w:id="2126730760">
                  <w:marLeft w:val="0"/>
                  <w:marRight w:val="0"/>
                  <w:marTop w:val="0"/>
                  <w:marBottom w:val="0"/>
                  <w:divBdr>
                    <w:top w:val="none" w:sz="0" w:space="0" w:color="auto"/>
                    <w:left w:val="none" w:sz="0" w:space="0" w:color="auto"/>
                    <w:bottom w:val="none" w:sz="0" w:space="0" w:color="auto"/>
                    <w:right w:val="none" w:sz="0" w:space="0" w:color="auto"/>
                  </w:divBdr>
                  <w:divsChild>
                    <w:div w:id="1383361850">
                      <w:marLeft w:val="-225"/>
                      <w:marRight w:val="-225"/>
                      <w:marTop w:val="0"/>
                      <w:marBottom w:val="0"/>
                      <w:divBdr>
                        <w:top w:val="none" w:sz="0" w:space="0" w:color="auto"/>
                        <w:left w:val="none" w:sz="0" w:space="0" w:color="auto"/>
                        <w:bottom w:val="none" w:sz="0" w:space="0" w:color="auto"/>
                        <w:right w:val="none" w:sz="0" w:space="0" w:color="auto"/>
                      </w:divBdr>
                      <w:divsChild>
                        <w:div w:id="1963147551">
                          <w:marLeft w:val="0"/>
                          <w:marRight w:val="0"/>
                          <w:marTop w:val="0"/>
                          <w:marBottom w:val="0"/>
                          <w:divBdr>
                            <w:top w:val="none" w:sz="0" w:space="0" w:color="auto"/>
                            <w:left w:val="none" w:sz="0" w:space="0" w:color="auto"/>
                            <w:bottom w:val="none" w:sz="0" w:space="0" w:color="auto"/>
                            <w:right w:val="none" w:sz="0" w:space="0" w:color="auto"/>
                          </w:divBdr>
                          <w:divsChild>
                            <w:div w:id="694891136">
                              <w:marLeft w:val="0"/>
                              <w:marRight w:val="0"/>
                              <w:marTop w:val="0"/>
                              <w:marBottom w:val="0"/>
                              <w:divBdr>
                                <w:top w:val="none" w:sz="0" w:space="0" w:color="auto"/>
                                <w:left w:val="none" w:sz="0" w:space="0" w:color="auto"/>
                                <w:bottom w:val="none" w:sz="0" w:space="0" w:color="auto"/>
                                <w:right w:val="none" w:sz="0" w:space="0" w:color="auto"/>
                              </w:divBdr>
                              <w:divsChild>
                                <w:div w:id="1549951084">
                                  <w:marLeft w:val="-225"/>
                                  <w:marRight w:val="-225"/>
                                  <w:marTop w:val="0"/>
                                  <w:marBottom w:val="0"/>
                                  <w:divBdr>
                                    <w:top w:val="none" w:sz="0" w:space="0" w:color="auto"/>
                                    <w:left w:val="none" w:sz="0" w:space="0" w:color="auto"/>
                                    <w:bottom w:val="none" w:sz="0" w:space="0" w:color="auto"/>
                                    <w:right w:val="none" w:sz="0" w:space="0" w:color="auto"/>
                                  </w:divBdr>
                                  <w:divsChild>
                                    <w:div w:id="492532336">
                                      <w:marLeft w:val="0"/>
                                      <w:marRight w:val="0"/>
                                      <w:marTop w:val="0"/>
                                      <w:marBottom w:val="0"/>
                                      <w:divBdr>
                                        <w:top w:val="none" w:sz="0" w:space="0" w:color="auto"/>
                                        <w:left w:val="none" w:sz="0" w:space="0" w:color="auto"/>
                                        <w:bottom w:val="none" w:sz="0" w:space="0" w:color="auto"/>
                                        <w:right w:val="none" w:sz="0" w:space="0" w:color="auto"/>
                                      </w:divBdr>
                                      <w:divsChild>
                                        <w:div w:id="1948851890">
                                          <w:marLeft w:val="0"/>
                                          <w:marRight w:val="0"/>
                                          <w:marTop w:val="0"/>
                                          <w:marBottom w:val="0"/>
                                          <w:divBdr>
                                            <w:top w:val="none" w:sz="0" w:space="0" w:color="auto"/>
                                            <w:left w:val="none" w:sz="0" w:space="0" w:color="auto"/>
                                            <w:bottom w:val="none" w:sz="0" w:space="0" w:color="auto"/>
                                            <w:right w:val="none" w:sz="0" w:space="0" w:color="auto"/>
                                          </w:divBdr>
                                          <w:divsChild>
                                            <w:div w:id="1154880913">
                                              <w:marLeft w:val="0"/>
                                              <w:marRight w:val="0"/>
                                              <w:marTop w:val="0"/>
                                              <w:marBottom w:val="0"/>
                                              <w:divBdr>
                                                <w:top w:val="none" w:sz="0" w:space="0" w:color="auto"/>
                                                <w:left w:val="none" w:sz="0" w:space="0" w:color="auto"/>
                                                <w:bottom w:val="none" w:sz="0" w:space="0" w:color="auto"/>
                                                <w:right w:val="none" w:sz="0" w:space="0" w:color="auto"/>
                                              </w:divBdr>
                                              <w:divsChild>
                                                <w:div w:id="124353006">
                                                  <w:marLeft w:val="0"/>
                                                  <w:marRight w:val="0"/>
                                                  <w:marTop w:val="0"/>
                                                  <w:marBottom w:val="0"/>
                                                  <w:divBdr>
                                                    <w:top w:val="none" w:sz="0" w:space="0" w:color="auto"/>
                                                    <w:left w:val="none" w:sz="0" w:space="0" w:color="auto"/>
                                                    <w:bottom w:val="none" w:sz="0" w:space="0" w:color="auto"/>
                                                    <w:right w:val="none" w:sz="0" w:space="0" w:color="auto"/>
                                                  </w:divBdr>
                                                  <w:divsChild>
                                                    <w:div w:id="684215401">
                                                      <w:marLeft w:val="0"/>
                                                      <w:marRight w:val="0"/>
                                                      <w:marTop w:val="0"/>
                                                      <w:marBottom w:val="0"/>
                                                      <w:divBdr>
                                                        <w:top w:val="none" w:sz="0" w:space="0" w:color="auto"/>
                                                        <w:left w:val="none" w:sz="0" w:space="0" w:color="auto"/>
                                                        <w:bottom w:val="none" w:sz="0" w:space="0" w:color="auto"/>
                                                        <w:right w:val="none" w:sz="0" w:space="0" w:color="auto"/>
                                                      </w:divBdr>
                                                      <w:divsChild>
                                                        <w:div w:id="1976327933">
                                                          <w:marLeft w:val="0"/>
                                                          <w:marRight w:val="0"/>
                                                          <w:marTop w:val="0"/>
                                                          <w:marBottom w:val="0"/>
                                                          <w:divBdr>
                                                            <w:top w:val="none" w:sz="0" w:space="0" w:color="auto"/>
                                                            <w:left w:val="none" w:sz="0" w:space="0" w:color="auto"/>
                                                            <w:bottom w:val="none" w:sz="0" w:space="0" w:color="auto"/>
                                                            <w:right w:val="none" w:sz="0" w:space="0" w:color="auto"/>
                                                          </w:divBdr>
                                                          <w:divsChild>
                                                            <w:div w:id="1677684170">
                                                              <w:marLeft w:val="0"/>
                                                              <w:marRight w:val="0"/>
                                                              <w:marTop w:val="0"/>
                                                              <w:marBottom w:val="0"/>
                                                              <w:divBdr>
                                                                <w:top w:val="none" w:sz="0" w:space="0" w:color="auto"/>
                                                                <w:left w:val="none" w:sz="0" w:space="0" w:color="auto"/>
                                                                <w:bottom w:val="none" w:sz="0" w:space="0" w:color="auto"/>
                                                                <w:right w:val="none" w:sz="0" w:space="0" w:color="auto"/>
                                                              </w:divBdr>
                                                              <w:divsChild>
                                                                <w:div w:id="13346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2105147">
      <w:bodyDiv w:val="1"/>
      <w:marLeft w:val="0"/>
      <w:marRight w:val="0"/>
      <w:marTop w:val="0"/>
      <w:marBottom w:val="0"/>
      <w:divBdr>
        <w:top w:val="none" w:sz="0" w:space="0" w:color="auto"/>
        <w:left w:val="none" w:sz="0" w:space="0" w:color="auto"/>
        <w:bottom w:val="none" w:sz="0" w:space="0" w:color="auto"/>
        <w:right w:val="none" w:sz="0" w:space="0" w:color="auto"/>
      </w:divBdr>
    </w:div>
    <w:div w:id="1264412497">
      <w:bodyDiv w:val="1"/>
      <w:marLeft w:val="0"/>
      <w:marRight w:val="0"/>
      <w:marTop w:val="0"/>
      <w:marBottom w:val="0"/>
      <w:divBdr>
        <w:top w:val="none" w:sz="0" w:space="0" w:color="auto"/>
        <w:left w:val="none" w:sz="0" w:space="0" w:color="auto"/>
        <w:bottom w:val="none" w:sz="0" w:space="0" w:color="auto"/>
        <w:right w:val="none" w:sz="0" w:space="0" w:color="auto"/>
      </w:divBdr>
      <w:divsChild>
        <w:div w:id="229929073">
          <w:marLeft w:val="0"/>
          <w:marRight w:val="0"/>
          <w:marTop w:val="0"/>
          <w:marBottom w:val="0"/>
          <w:divBdr>
            <w:top w:val="none" w:sz="0" w:space="0" w:color="auto"/>
            <w:left w:val="none" w:sz="0" w:space="0" w:color="auto"/>
            <w:bottom w:val="none" w:sz="0" w:space="0" w:color="auto"/>
            <w:right w:val="none" w:sz="0" w:space="0" w:color="auto"/>
          </w:divBdr>
        </w:div>
        <w:div w:id="902906276">
          <w:marLeft w:val="0"/>
          <w:marRight w:val="0"/>
          <w:marTop w:val="0"/>
          <w:marBottom w:val="0"/>
          <w:divBdr>
            <w:top w:val="none" w:sz="0" w:space="0" w:color="auto"/>
            <w:left w:val="none" w:sz="0" w:space="0" w:color="auto"/>
            <w:bottom w:val="none" w:sz="0" w:space="0" w:color="auto"/>
            <w:right w:val="none" w:sz="0" w:space="0" w:color="auto"/>
          </w:divBdr>
        </w:div>
        <w:div w:id="1201437640">
          <w:marLeft w:val="0"/>
          <w:marRight w:val="0"/>
          <w:marTop w:val="0"/>
          <w:marBottom w:val="0"/>
          <w:divBdr>
            <w:top w:val="none" w:sz="0" w:space="0" w:color="auto"/>
            <w:left w:val="none" w:sz="0" w:space="0" w:color="auto"/>
            <w:bottom w:val="none" w:sz="0" w:space="0" w:color="auto"/>
            <w:right w:val="none" w:sz="0" w:space="0" w:color="auto"/>
          </w:divBdr>
        </w:div>
        <w:div w:id="1215582639">
          <w:marLeft w:val="0"/>
          <w:marRight w:val="0"/>
          <w:marTop w:val="0"/>
          <w:marBottom w:val="0"/>
          <w:divBdr>
            <w:top w:val="none" w:sz="0" w:space="0" w:color="auto"/>
            <w:left w:val="none" w:sz="0" w:space="0" w:color="auto"/>
            <w:bottom w:val="none" w:sz="0" w:space="0" w:color="auto"/>
            <w:right w:val="none" w:sz="0" w:space="0" w:color="auto"/>
          </w:divBdr>
        </w:div>
        <w:div w:id="1292126925">
          <w:marLeft w:val="0"/>
          <w:marRight w:val="0"/>
          <w:marTop w:val="0"/>
          <w:marBottom w:val="0"/>
          <w:divBdr>
            <w:top w:val="none" w:sz="0" w:space="0" w:color="auto"/>
            <w:left w:val="none" w:sz="0" w:space="0" w:color="auto"/>
            <w:bottom w:val="none" w:sz="0" w:space="0" w:color="auto"/>
            <w:right w:val="none" w:sz="0" w:space="0" w:color="auto"/>
          </w:divBdr>
        </w:div>
        <w:div w:id="683941363">
          <w:marLeft w:val="0"/>
          <w:marRight w:val="0"/>
          <w:marTop w:val="0"/>
          <w:marBottom w:val="0"/>
          <w:divBdr>
            <w:top w:val="none" w:sz="0" w:space="0" w:color="auto"/>
            <w:left w:val="none" w:sz="0" w:space="0" w:color="auto"/>
            <w:bottom w:val="none" w:sz="0" w:space="0" w:color="auto"/>
            <w:right w:val="none" w:sz="0" w:space="0" w:color="auto"/>
          </w:divBdr>
        </w:div>
        <w:div w:id="2125610502">
          <w:marLeft w:val="0"/>
          <w:marRight w:val="0"/>
          <w:marTop w:val="0"/>
          <w:marBottom w:val="0"/>
          <w:divBdr>
            <w:top w:val="none" w:sz="0" w:space="0" w:color="auto"/>
            <w:left w:val="none" w:sz="0" w:space="0" w:color="auto"/>
            <w:bottom w:val="none" w:sz="0" w:space="0" w:color="auto"/>
            <w:right w:val="none" w:sz="0" w:space="0" w:color="auto"/>
          </w:divBdr>
        </w:div>
        <w:div w:id="2106343108">
          <w:marLeft w:val="0"/>
          <w:marRight w:val="0"/>
          <w:marTop w:val="0"/>
          <w:marBottom w:val="0"/>
          <w:divBdr>
            <w:top w:val="none" w:sz="0" w:space="0" w:color="auto"/>
            <w:left w:val="none" w:sz="0" w:space="0" w:color="auto"/>
            <w:bottom w:val="none" w:sz="0" w:space="0" w:color="auto"/>
            <w:right w:val="none" w:sz="0" w:space="0" w:color="auto"/>
          </w:divBdr>
        </w:div>
        <w:div w:id="2140301531">
          <w:marLeft w:val="0"/>
          <w:marRight w:val="0"/>
          <w:marTop w:val="0"/>
          <w:marBottom w:val="0"/>
          <w:divBdr>
            <w:top w:val="none" w:sz="0" w:space="0" w:color="auto"/>
            <w:left w:val="none" w:sz="0" w:space="0" w:color="auto"/>
            <w:bottom w:val="none" w:sz="0" w:space="0" w:color="auto"/>
            <w:right w:val="none" w:sz="0" w:space="0" w:color="auto"/>
          </w:divBdr>
        </w:div>
      </w:divsChild>
    </w:div>
    <w:div w:id="1272323796">
      <w:bodyDiv w:val="1"/>
      <w:marLeft w:val="0"/>
      <w:marRight w:val="0"/>
      <w:marTop w:val="0"/>
      <w:marBottom w:val="0"/>
      <w:divBdr>
        <w:top w:val="none" w:sz="0" w:space="0" w:color="auto"/>
        <w:left w:val="none" w:sz="0" w:space="0" w:color="auto"/>
        <w:bottom w:val="none" w:sz="0" w:space="0" w:color="auto"/>
        <w:right w:val="none" w:sz="0" w:space="0" w:color="auto"/>
      </w:divBdr>
      <w:divsChild>
        <w:div w:id="885607780">
          <w:marLeft w:val="0"/>
          <w:marRight w:val="0"/>
          <w:marTop w:val="0"/>
          <w:marBottom w:val="0"/>
          <w:divBdr>
            <w:top w:val="none" w:sz="0" w:space="0" w:color="auto"/>
            <w:left w:val="none" w:sz="0" w:space="0" w:color="auto"/>
            <w:bottom w:val="none" w:sz="0" w:space="0" w:color="auto"/>
            <w:right w:val="none" w:sz="0" w:space="0" w:color="auto"/>
          </w:divBdr>
        </w:div>
        <w:div w:id="76632295">
          <w:marLeft w:val="0"/>
          <w:marRight w:val="0"/>
          <w:marTop w:val="0"/>
          <w:marBottom w:val="0"/>
          <w:divBdr>
            <w:top w:val="none" w:sz="0" w:space="0" w:color="auto"/>
            <w:left w:val="none" w:sz="0" w:space="0" w:color="auto"/>
            <w:bottom w:val="none" w:sz="0" w:space="0" w:color="auto"/>
            <w:right w:val="none" w:sz="0" w:space="0" w:color="auto"/>
          </w:divBdr>
        </w:div>
      </w:divsChild>
    </w:div>
    <w:div w:id="1376657043">
      <w:bodyDiv w:val="1"/>
      <w:marLeft w:val="0"/>
      <w:marRight w:val="0"/>
      <w:marTop w:val="0"/>
      <w:marBottom w:val="0"/>
      <w:divBdr>
        <w:top w:val="none" w:sz="0" w:space="0" w:color="auto"/>
        <w:left w:val="none" w:sz="0" w:space="0" w:color="auto"/>
        <w:bottom w:val="none" w:sz="0" w:space="0" w:color="auto"/>
        <w:right w:val="none" w:sz="0" w:space="0" w:color="auto"/>
      </w:divBdr>
    </w:div>
    <w:div w:id="1404331759">
      <w:bodyDiv w:val="1"/>
      <w:marLeft w:val="0"/>
      <w:marRight w:val="0"/>
      <w:marTop w:val="0"/>
      <w:marBottom w:val="0"/>
      <w:divBdr>
        <w:top w:val="none" w:sz="0" w:space="0" w:color="auto"/>
        <w:left w:val="none" w:sz="0" w:space="0" w:color="auto"/>
        <w:bottom w:val="none" w:sz="0" w:space="0" w:color="auto"/>
        <w:right w:val="none" w:sz="0" w:space="0" w:color="auto"/>
      </w:divBdr>
      <w:divsChild>
        <w:div w:id="294676463">
          <w:marLeft w:val="0"/>
          <w:marRight w:val="0"/>
          <w:marTop w:val="0"/>
          <w:marBottom w:val="0"/>
          <w:divBdr>
            <w:top w:val="none" w:sz="0" w:space="0" w:color="auto"/>
            <w:left w:val="none" w:sz="0" w:space="0" w:color="auto"/>
            <w:bottom w:val="none" w:sz="0" w:space="0" w:color="auto"/>
            <w:right w:val="none" w:sz="0" w:space="0" w:color="auto"/>
          </w:divBdr>
        </w:div>
        <w:div w:id="1714816191">
          <w:marLeft w:val="0"/>
          <w:marRight w:val="0"/>
          <w:marTop w:val="0"/>
          <w:marBottom w:val="0"/>
          <w:divBdr>
            <w:top w:val="none" w:sz="0" w:space="0" w:color="auto"/>
            <w:left w:val="none" w:sz="0" w:space="0" w:color="auto"/>
            <w:bottom w:val="none" w:sz="0" w:space="0" w:color="auto"/>
            <w:right w:val="none" w:sz="0" w:space="0" w:color="auto"/>
          </w:divBdr>
        </w:div>
        <w:div w:id="243298054">
          <w:marLeft w:val="0"/>
          <w:marRight w:val="0"/>
          <w:marTop w:val="0"/>
          <w:marBottom w:val="0"/>
          <w:divBdr>
            <w:top w:val="none" w:sz="0" w:space="0" w:color="auto"/>
            <w:left w:val="none" w:sz="0" w:space="0" w:color="auto"/>
            <w:bottom w:val="none" w:sz="0" w:space="0" w:color="auto"/>
            <w:right w:val="none" w:sz="0" w:space="0" w:color="auto"/>
          </w:divBdr>
        </w:div>
        <w:div w:id="1592931202">
          <w:marLeft w:val="0"/>
          <w:marRight w:val="0"/>
          <w:marTop w:val="0"/>
          <w:marBottom w:val="0"/>
          <w:divBdr>
            <w:top w:val="none" w:sz="0" w:space="0" w:color="auto"/>
            <w:left w:val="none" w:sz="0" w:space="0" w:color="auto"/>
            <w:bottom w:val="none" w:sz="0" w:space="0" w:color="auto"/>
            <w:right w:val="none" w:sz="0" w:space="0" w:color="auto"/>
          </w:divBdr>
        </w:div>
        <w:div w:id="162166528">
          <w:marLeft w:val="0"/>
          <w:marRight w:val="0"/>
          <w:marTop w:val="0"/>
          <w:marBottom w:val="0"/>
          <w:divBdr>
            <w:top w:val="none" w:sz="0" w:space="0" w:color="auto"/>
            <w:left w:val="none" w:sz="0" w:space="0" w:color="auto"/>
            <w:bottom w:val="none" w:sz="0" w:space="0" w:color="auto"/>
            <w:right w:val="none" w:sz="0" w:space="0" w:color="auto"/>
          </w:divBdr>
        </w:div>
        <w:div w:id="1860002919">
          <w:marLeft w:val="0"/>
          <w:marRight w:val="0"/>
          <w:marTop w:val="0"/>
          <w:marBottom w:val="0"/>
          <w:divBdr>
            <w:top w:val="none" w:sz="0" w:space="0" w:color="auto"/>
            <w:left w:val="none" w:sz="0" w:space="0" w:color="auto"/>
            <w:bottom w:val="none" w:sz="0" w:space="0" w:color="auto"/>
            <w:right w:val="none" w:sz="0" w:space="0" w:color="auto"/>
          </w:divBdr>
        </w:div>
        <w:div w:id="1956935630">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11752295">
          <w:marLeft w:val="0"/>
          <w:marRight w:val="0"/>
          <w:marTop w:val="0"/>
          <w:marBottom w:val="0"/>
          <w:divBdr>
            <w:top w:val="none" w:sz="0" w:space="0" w:color="auto"/>
            <w:left w:val="none" w:sz="0" w:space="0" w:color="auto"/>
            <w:bottom w:val="none" w:sz="0" w:space="0" w:color="auto"/>
            <w:right w:val="none" w:sz="0" w:space="0" w:color="auto"/>
          </w:divBdr>
        </w:div>
        <w:div w:id="2029016298">
          <w:marLeft w:val="0"/>
          <w:marRight w:val="0"/>
          <w:marTop w:val="0"/>
          <w:marBottom w:val="0"/>
          <w:divBdr>
            <w:top w:val="none" w:sz="0" w:space="0" w:color="auto"/>
            <w:left w:val="none" w:sz="0" w:space="0" w:color="auto"/>
            <w:bottom w:val="none" w:sz="0" w:space="0" w:color="auto"/>
            <w:right w:val="none" w:sz="0" w:space="0" w:color="auto"/>
          </w:divBdr>
        </w:div>
        <w:div w:id="903030038">
          <w:marLeft w:val="0"/>
          <w:marRight w:val="0"/>
          <w:marTop w:val="0"/>
          <w:marBottom w:val="0"/>
          <w:divBdr>
            <w:top w:val="none" w:sz="0" w:space="0" w:color="auto"/>
            <w:left w:val="none" w:sz="0" w:space="0" w:color="auto"/>
            <w:bottom w:val="none" w:sz="0" w:space="0" w:color="auto"/>
            <w:right w:val="none" w:sz="0" w:space="0" w:color="auto"/>
          </w:divBdr>
        </w:div>
      </w:divsChild>
    </w:div>
    <w:div w:id="1437139808">
      <w:bodyDiv w:val="1"/>
      <w:marLeft w:val="0"/>
      <w:marRight w:val="0"/>
      <w:marTop w:val="0"/>
      <w:marBottom w:val="0"/>
      <w:divBdr>
        <w:top w:val="none" w:sz="0" w:space="0" w:color="auto"/>
        <w:left w:val="none" w:sz="0" w:space="0" w:color="auto"/>
        <w:bottom w:val="none" w:sz="0" w:space="0" w:color="auto"/>
        <w:right w:val="none" w:sz="0" w:space="0" w:color="auto"/>
      </w:divBdr>
    </w:div>
    <w:div w:id="1499732831">
      <w:bodyDiv w:val="1"/>
      <w:marLeft w:val="0"/>
      <w:marRight w:val="0"/>
      <w:marTop w:val="0"/>
      <w:marBottom w:val="0"/>
      <w:divBdr>
        <w:top w:val="none" w:sz="0" w:space="0" w:color="auto"/>
        <w:left w:val="none" w:sz="0" w:space="0" w:color="auto"/>
        <w:bottom w:val="none" w:sz="0" w:space="0" w:color="auto"/>
        <w:right w:val="none" w:sz="0" w:space="0" w:color="auto"/>
      </w:divBdr>
      <w:divsChild>
        <w:div w:id="912546787">
          <w:marLeft w:val="0"/>
          <w:marRight w:val="0"/>
          <w:marTop w:val="0"/>
          <w:marBottom w:val="0"/>
          <w:divBdr>
            <w:top w:val="none" w:sz="0" w:space="0" w:color="auto"/>
            <w:left w:val="none" w:sz="0" w:space="0" w:color="auto"/>
            <w:bottom w:val="none" w:sz="0" w:space="0" w:color="auto"/>
            <w:right w:val="none" w:sz="0" w:space="0" w:color="auto"/>
          </w:divBdr>
        </w:div>
        <w:div w:id="628051065">
          <w:marLeft w:val="0"/>
          <w:marRight w:val="0"/>
          <w:marTop w:val="0"/>
          <w:marBottom w:val="0"/>
          <w:divBdr>
            <w:top w:val="none" w:sz="0" w:space="0" w:color="auto"/>
            <w:left w:val="none" w:sz="0" w:space="0" w:color="auto"/>
            <w:bottom w:val="none" w:sz="0" w:space="0" w:color="auto"/>
            <w:right w:val="none" w:sz="0" w:space="0" w:color="auto"/>
          </w:divBdr>
        </w:div>
        <w:div w:id="1459686828">
          <w:marLeft w:val="0"/>
          <w:marRight w:val="0"/>
          <w:marTop w:val="0"/>
          <w:marBottom w:val="0"/>
          <w:divBdr>
            <w:top w:val="none" w:sz="0" w:space="0" w:color="auto"/>
            <w:left w:val="none" w:sz="0" w:space="0" w:color="auto"/>
            <w:bottom w:val="none" w:sz="0" w:space="0" w:color="auto"/>
            <w:right w:val="none" w:sz="0" w:space="0" w:color="auto"/>
          </w:divBdr>
        </w:div>
        <w:div w:id="15540882">
          <w:marLeft w:val="0"/>
          <w:marRight w:val="0"/>
          <w:marTop w:val="0"/>
          <w:marBottom w:val="0"/>
          <w:divBdr>
            <w:top w:val="none" w:sz="0" w:space="0" w:color="auto"/>
            <w:left w:val="none" w:sz="0" w:space="0" w:color="auto"/>
            <w:bottom w:val="none" w:sz="0" w:space="0" w:color="auto"/>
            <w:right w:val="none" w:sz="0" w:space="0" w:color="auto"/>
          </w:divBdr>
        </w:div>
        <w:div w:id="1015882184">
          <w:marLeft w:val="0"/>
          <w:marRight w:val="0"/>
          <w:marTop w:val="0"/>
          <w:marBottom w:val="0"/>
          <w:divBdr>
            <w:top w:val="none" w:sz="0" w:space="0" w:color="auto"/>
            <w:left w:val="none" w:sz="0" w:space="0" w:color="auto"/>
            <w:bottom w:val="none" w:sz="0" w:space="0" w:color="auto"/>
            <w:right w:val="none" w:sz="0" w:space="0" w:color="auto"/>
          </w:divBdr>
        </w:div>
        <w:div w:id="323780584">
          <w:marLeft w:val="0"/>
          <w:marRight w:val="0"/>
          <w:marTop w:val="0"/>
          <w:marBottom w:val="0"/>
          <w:divBdr>
            <w:top w:val="none" w:sz="0" w:space="0" w:color="auto"/>
            <w:left w:val="none" w:sz="0" w:space="0" w:color="auto"/>
            <w:bottom w:val="none" w:sz="0" w:space="0" w:color="auto"/>
            <w:right w:val="none" w:sz="0" w:space="0" w:color="auto"/>
          </w:divBdr>
        </w:div>
        <w:div w:id="342973177">
          <w:marLeft w:val="0"/>
          <w:marRight w:val="0"/>
          <w:marTop w:val="0"/>
          <w:marBottom w:val="0"/>
          <w:divBdr>
            <w:top w:val="none" w:sz="0" w:space="0" w:color="auto"/>
            <w:left w:val="none" w:sz="0" w:space="0" w:color="auto"/>
            <w:bottom w:val="none" w:sz="0" w:space="0" w:color="auto"/>
            <w:right w:val="none" w:sz="0" w:space="0" w:color="auto"/>
          </w:divBdr>
        </w:div>
        <w:div w:id="781457740">
          <w:marLeft w:val="0"/>
          <w:marRight w:val="0"/>
          <w:marTop w:val="0"/>
          <w:marBottom w:val="0"/>
          <w:divBdr>
            <w:top w:val="none" w:sz="0" w:space="0" w:color="auto"/>
            <w:left w:val="none" w:sz="0" w:space="0" w:color="auto"/>
            <w:bottom w:val="none" w:sz="0" w:space="0" w:color="auto"/>
            <w:right w:val="none" w:sz="0" w:space="0" w:color="auto"/>
          </w:divBdr>
        </w:div>
        <w:div w:id="2121340151">
          <w:marLeft w:val="0"/>
          <w:marRight w:val="0"/>
          <w:marTop w:val="0"/>
          <w:marBottom w:val="0"/>
          <w:divBdr>
            <w:top w:val="none" w:sz="0" w:space="0" w:color="auto"/>
            <w:left w:val="none" w:sz="0" w:space="0" w:color="auto"/>
            <w:bottom w:val="none" w:sz="0" w:space="0" w:color="auto"/>
            <w:right w:val="none" w:sz="0" w:space="0" w:color="auto"/>
          </w:divBdr>
        </w:div>
        <w:div w:id="1333028435">
          <w:marLeft w:val="0"/>
          <w:marRight w:val="0"/>
          <w:marTop w:val="0"/>
          <w:marBottom w:val="0"/>
          <w:divBdr>
            <w:top w:val="none" w:sz="0" w:space="0" w:color="auto"/>
            <w:left w:val="none" w:sz="0" w:space="0" w:color="auto"/>
            <w:bottom w:val="none" w:sz="0" w:space="0" w:color="auto"/>
            <w:right w:val="none" w:sz="0" w:space="0" w:color="auto"/>
          </w:divBdr>
        </w:div>
        <w:div w:id="681664107">
          <w:marLeft w:val="0"/>
          <w:marRight w:val="0"/>
          <w:marTop w:val="0"/>
          <w:marBottom w:val="0"/>
          <w:divBdr>
            <w:top w:val="none" w:sz="0" w:space="0" w:color="auto"/>
            <w:left w:val="none" w:sz="0" w:space="0" w:color="auto"/>
            <w:bottom w:val="none" w:sz="0" w:space="0" w:color="auto"/>
            <w:right w:val="none" w:sz="0" w:space="0" w:color="auto"/>
          </w:divBdr>
        </w:div>
        <w:div w:id="1367636259">
          <w:marLeft w:val="0"/>
          <w:marRight w:val="0"/>
          <w:marTop w:val="0"/>
          <w:marBottom w:val="0"/>
          <w:divBdr>
            <w:top w:val="none" w:sz="0" w:space="0" w:color="auto"/>
            <w:left w:val="none" w:sz="0" w:space="0" w:color="auto"/>
            <w:bottom w:val="none" w:sz="0" w:space="0" w:color="auto"/>
            <w:right w:val="none" w:sz="0" w:space="0" w:color="auto"/>
          </w:divBdr>
        </w:div>
        <w:div w:id="1918203878">
          <w:marLeft w:val="0"/>
          <w:marRight w:val="0"/>
          <w:marTop w:val="0"/>
          <w:marBottom w:val="0"/>
          <w:divBdr>
            <w:top w:val="none" w:sz="0" w:space="0" w:color="auto"/>
            <w:left w:val="none" w:sz="0" w:space="0" w:color="auto"/>
            <w:bottom w:val="none" w:sz="0" w:space="0" w:color="auto"/>
            <w:right w:val="none" w:sz="0" w:space="0" w:color="auto"/>
          </w:divBdr>
        </w:div>
        <w:div w:id="1461344327">
          <w:marLeft w:val="0"/>
          <w:marRight w:val="0"/>
          <w:marTop w:val="0"/>
          <w:marBottom w:val="0"/>
          <w:divBdr>
            <w:top w:val="none" w:sz="0" w:space="0" w:color="auto"/>
            <w:left w:val="none" w:sz="0" w:space="0" w:color="auto"/>
            <w:bottom w:val="none" w:sz="0" w:space="0" w:color="auto"/>
            <w:right w:val="none" w:sz="0" w:space="0" w:color="auto"/>
          </w:divBdr>
        </w:div>
        <w:div w:id="1070621205">
          <w:marLeft w:val="0"/>
          <w:marRight w:val="0"/>
          <w:marTop w:val="0"/>
          <w:marBottom w:val="0"/>
          <w:divBdr>
            <w:top w:val="none" w:sz="0" w:space="0" w:color="auto"/>
            <w:left w:val="none" w:sz="0" w:space="0" w:color="auto"/>
            <w:bottom w:val="none" w:sz="0" w:space="0" w:color="auto"/>
            <w:right w:val="none" w:sz="0" w:space="0" w:color="auto"/>
          </w:divBdr>
        </w:div>
        <w:div w:id="1883010340">
          <w:marLeft w:val="0"/>
          <w:marRight w:val="0"/>
          <w:marTop w:val="0"/>
          <w:marBottom w:val="0"/>
          <w:divBdr>
            <w:top w:val="none" w:sz="0" w:space="0" w:color="auto"/>
            <w:left w:val="none" w:sz="0" w:space="0" w:color="auto"/>
            <w:bottom w:val="none" w:sz="0" w:space="0" w:color="auto"/>
            <w:right w:val="none" w:sz="0" w:space="0" w:color="auto"/>
          </w:divBdr>
        </w:div>
        <w:div w:id="471289858">
          <w:marLeft w:val="0"/>
          <w:marRight w:val="0"/>
          <w:marTop w:val="0"/>
          <w:marBottom w:val="0"/>
          <w:divBdr>
            <w:top w:val="none" w:sz="0" w:space="0" w:color="auto"/>
            <w:left w:val="none" w:sz="0" w:space="0" w:color="auto"/>
            <w:bottom w:val="none" w:sz="0" w:space="0" w:color="auto"/>
            <w:right w:val="none" w:sz="0" w:space="0" w:color="auto"/>
          </w:divBdr>
        </w:div>
        <w:div w:id="200941085">
          <w:marLeft w:val="0"/>
          <w:marRight w:val="0"/>
          <w:marTop w:val="0"/>
          <w:marBottom w:val="0"/>
          <w:divBdr>
            <w:top w:val="none" w:sz="0" w:space="0" w:color="auto"/>
            <w:left w:val="none" w:sz="0" w:space="0" w:color="auto"/>
            <w:bottom w:val="none" w:sz="0" w:space="0" w:color="auto"/>
            <w:right w:val="none" w:sz="0" w:space="0" w:color="auto"/>
          </w:divBdr>
        </w:div>
        <w:div w:id="1355184367">
          <w:marLeft w:val="0"/>
          <w:marRight w:val="0"/>
          <w:marTop w:val="0"/>
          <w:marBottom w:val="0"/>
          <w:divBdr>
            <w:top w:val="none" w:sz="0" w:space="0" w:color="auto"/>
            <w:left w:val="none" w:sz="0" w:space="0" w:color="auto"/>
            <w:bottom w:val="none" w:sz="0" w:space="0" w:color="auto"/>
            <w:right w:val="none" w:sz="0" w:space="0" w:color="auto"/>
          </w:divBdr>
        </w:div>
        <w:div w:id="422578655">
          <w:marLeft w:val="0"/>
          <w:marRight w:val="0"/>
          <w:marTop w:val="0"/>
          <w:marBottom w:val="0"/>
          <w:divBdr>
            <w:top w:val="none" w:sz="0" w:space="0" w:color="auto"/>
            <w:left w:val="none" w:sz="0" w:space="0" w:color="auto"/>
            <w:bottom w:val="none" w:sz="0" w:space="0" w:color="auto"/>
            <w:right w:val="none" w:sz="0" w:space="0" w:color="auto"/>
          </w:divBdr>
        </w:div>
        <w:div w:id="706225656">
          <w:marLeft w:val="0"/>
          <w:marRight w:val="0"/>
          <w:marTop w:val="0"/>
          <w:marBottom w:val="0"/>
          <w:divBdr>
            <w:top w:val="none" w:sz="0" w:space="0" w:color="auto"/>
            <w:left w:val="none" w:sz="0" w:space="0" w:color="auto"/>
            <w:bottom w:val="none" w:sz="0" w:space="0" w:color="auto"/>
            <w:right w:val="none" w:sz="0" w:space="0" w:color="auto"/>
          </w:divBdr>
        </w:div>
        <w:div w:id="888955786">
          <w:marLeft w:val="0"/>
          <w:marRight w:val="0"/>
          <w:marTop w:val="0"/>
          <w:marBottom w:val="0"/>
          <w:divBdr>
            <w:top w:val="none" w:sz="0" w:space="0" w:color="auto"/>
            <w:left w:val="none" w:sz="0" w:space="0" w:color="auto"/>
            <w:bottom w:val="none" w:sz="0" w:space="0" w:color="auto"/>
            <w:right w:val="none" w:sz="0" w:space="0" w:color="auto"/>
          </w:divBdr>
        </w:div>
        <w:div w:id="1479881434">
          <w:marLeft w:val="0"/>
          <w:marRight w:val="0"/>
          <w:marTop w:val="0"/>
          <w:marBottom w:val="0"/>
          <w:divBdr>
            <w:top w:val="none" w:sz="0" w:space="0" w:color="auto"/>
            <w:left w:val="none" w:sz="0" w:space="0" w:color="auto"/>
            <w:bottom w:val="none" w:sz="0" w:space="0" w:color="auto"/>
            <w:right w:val="none" w:sz="0" w:space="0" w:color="auto"/>
          </w:divBdr>
        </w:div>
        <w:div w:id="2058435964">
          <w:marLeft w:val="0"/>
          <w:marRight w:val="0"/>
          <w:marTop w:val="0"/>
          <w:marBottom w:val="0"/>
          <w:divBdr>
            <w:top w:val="none" w:sz="0" w:space="0" w:color="auto"/>
            <w:left w:val="none" w:sz="0" w:space="0" w:color="auto"/>
            <w:bottom w:val="none" w:sz="0" w:space="0" w:color="auto"/>
            <w:right w:val="none" w:sz="0" w:space="0" w:color="auto"/>
          </w:divBdr>
        </w:div>
        <w:div w:id="1714234424">
          <w:marLeft w:val="0"/>
          <w:marRight w:val="0"/>
          <w:marTop w:val="0"/>
          <w:marBottom w:val="0"/>
          <w:divBdr>
            <w:top w:val="none" w:sz="0" w:space="0" w:color="auto"/>
            <w:left w:val="none" w:sz="0" w:space="0" w:color="auto"/>
            <w:bottom w:val="none" w:sz="0" w:space="0" w:color="auto"/>
            <w:right w:val="none" w:sz="0" w:space="0" w:color="auto"/>
          </w:divBdr>
        </w:div>
        <w:div w:id="482476686">
          <w:marLeft w:val="0"/>
          <w:marRight w:val="0"/>
          <w:marTop w:val="0"/>
          <w:marBottom w:val="0"/>
          <w:divBdr>
            <w:top w:val="none" w:sz="0" w:space="0" w:color="auto"/>
            <w:left w:val="none" w:sz="0" w:space="0" w:color="auto"/>
            <w:bottom w:val="none" w:sz="0" w:space="0" w:color="auto"/>
            <w:right w:val="none" w:sz="0" w:space="0" w:color="auto"/>
          </w:divBdr>
        </w:div>
        <w:div w:id="34038720">
          <w:marLeft w:val="0"/>
          <w:marRight w:val="0"/>
          <w:marTop w:val="0"/>
          <w:marBottom w:val="0"/>
          <w:divBdr>
            <w:top w:val="none" w:sz="0" w:space="0" w:color="auto"/>
            <w:left w:val="none" w:sz="0" w:space="0" w:color="auto"/>
            <w:bottom w:val="none" w:sz="0" w:space="0" w:color="auto"/>
            <w:right w:val="none" w:sz="0" w:space="0" w:color="auto"/>
          </w:divBdr>
        </w:div>
        <w:div w:id="1792164924">
          <w:marLeft w:val="0"/>
          <w:marRight w:val="0"/>
          <w:marTop w:val="0"/>
          <w:marBottom w:val="0"/>
          <w:divBdr>
            <w:top w:val="none" w:sz="0" w:space="0" w:color="auto"/>
            <w:left w:val="none" w:sz="0" w:space="0" w:color="auto"/>
            <w:bottom w:val="none" w:sz="0" w:space="0" w:color="auto"/>
            <w:right w:val="none" w:sz="0" w:space="0" w:color="auto"/>
          </w:divBdr>
        </w:div>
      </w:divsChild>
    </w:div>
    <w:div w:id="1515460203">
      <w:bodyDiv w:val="1"/>
      <w:marLeft w:val="0"/>
      <w:marRight w:val="0"/>
      <w:marTop w:val="0"/>
      <w:marBottom w:val="0"/>
      <w:divBdr>
        <w:top w:val="none" w:sz="0" w:space="0" w:color="auto"/>
        <w:left w:val="none" w:sz="0" w:space="0" w:color="auto"/>
        <w:bottom w:val="none" w:sz="0" w:space="0" w:color="auto"/>
        <w:right w:val="none" w:sz="0" w:space="0" w:color="auto"/>
      </w:divBdr>
    </w:div>
    <w:div w:id="1528569209">
      <w:bodyDiv w:val="1"/>
      <w:marLeft w:val="0"/>
      <w:marRight w:val="0"/>
      <w:marTop w:val="0"/>
      <w:marBottom w:val="0"/>
      <w:divBdr>
        <w:top w:val="none" w:sz="0" w:space="0" w:color="auto"/>
        <w:left w:val="none" w:sz="0" w:space="0" w:color="auto"/>
        <w:bottom w:val="none" w:sz="0" w:space="0" w:color="auto"/>
        <w:right w:val="none" w:sz="0" w:space="0" w:color="auto"/>
      </w:divBdr>
    </w:div>
    <w:div w:id="1530994320">
      <w:bodyDiv w:val="1"/>
      <w:marLeft w:val="0"/>
      <w:marRight w:val="0"/>
      <w:marTop w:val="0"/>
      <w:marBottom w:val="0"/>
      <w:divBdr>
        <w:top w:val="none" w:sz="0" w:space="0" w:color="auto"/>
        <w:left w:val="none" w:sz="0" w:space="0" w:color="auto"/>
        <w:bottom w:val="none" w:sz="0" w:space="0" w:color="auto"/>
        <w:right w:val="none" w:sz="0" w:space="0" w:color="auto"/>
      </w:divBdr>
      <w:divsChild>
        <w:div w:id="1364012852">
          <w:marLeft w:val="0"/>
          <w:marRight w:val="0"/>
          <w:marTop w:val="0"/>
          <w:marBottom w:val="0"/>
          <w:divBdr>
            <w:top w:val="none" w:sz="0" w:space="0" w:color="auto"/>
            <w:left w:val="none" w:sz="0" w:space="0" w:color="auto"/>
            <w:bottom w:val="none" w:sz="0" w:space="0" w:color="auto"/>
            <w:right w:val="none" w:sz="0" w:space="0" w:color="auto"/>
          </w:divBdr>
        </w:div>
        <w:div w:id="2000889969">
          <w:marLeft w:val="0"/>
          <w:marRight w:val="0"/>
          <w:marTop w:val="0"/>
          <w:marBottom w:val="0"/>
          <w:divBdr>
            <w:top w:val="none" w:sz="0" w:space="0" w:color="auto"/>
            <w:left w:val="none" w:sz="0" w:space="0" w:color="auto"/>
            <w:bottom w:val="none" w:sz="0" w:space="0" w:color="auto"/>
            <w:right w:val="none" w:sz="0" w:space="0" w:color="auto"/>
          </w:divBdr>
        </w:div>
        <w:div w:id="335349156">
          <w:marLeft w:val="0"/>
          <w:marRight w:val="0"/>
          <w:marTop w:val="0"/>
          <w:marBottom w:val="0"/>
          <w:divBdr>
            <w:top w:val="none" w:sz="0" w:space="0" w:color="auto"/>
            <w:left w:val="none" w:sz="0" w:space="0" w:color="auto"/>
            <w:bottom w:val="none" w:sz="0" w:space="0" w:color="auto"/>
            <w:right w:val="none" w:sz="0" w:space="0" w:color="auto"/>
          </w:divBdr>
        </w:div>
      </w:divsChild>
    </w:div>
    <w:div w:id="1606961139">
      <w:bodyDiv w:val="1"/>
      <w:marLeft w:val="0"/>
      <w:marRight w:val="0"/>
      <w:marTop w:val="0"/>
      <w:marBottom w:val="0"/>
      <w:divBdr>
        <w:top w:val="none" w:sz="0" w:space="0" w:color="auto"/>
        <w:left w:val="none" w:sz="0" w:space="0" w:color="auto"/>
        <w:bottom w:val="none" w:sz="0" w:space="0" w:color="auto"/>
        <w:right w:val="none" w:sz="0" w:space="0" w:color="auto"/>
      </w:divBdr>
    </w:div>
    <w:div w:id="1631666324">
      <w:bodyDiv w:val="1"/>
      <w:marLeft w:val="0"/>
      <w:marRight w:val="0"/>
      <w:marTop w:val="0"/>
      <w:marBottom w:val="0"/>
      <w:divBdr>
        <w:top w:val="none" w:sz="0" w:space="0" w:color="auto"/>
        <w:left w:val="none" w:sz="0" w:space="0" w:color="auto"/>
        <w:bottom w:val="none" w:sz="0" w:space="0" w:color="auto"/>
        <w:right w:val="none" w:sz="0" w:space="0" w:color="auto"/>
      </w:divBdr>
    </w:div>
    <w:div w:id="1649287026">
      <w:bodyDiv w:val="1"/>
      <w:marLeft w:val="0"/>
      <w:marRight w:val="0"/>
      <w:marTop w:val="0"/>
      <w:marBottom w:val="0"/>
      <w:divBdr>
        <w:top w:val="none" w:sz="0" w:space="0" w:color="auto"/>
        <w:left w:val="none" w:sz="0" w:space="0" w:color="auto"/>
        <w:bottom w:val="none" w:sz="0" w:space="0" w:color="auto"/>
        <w:right w:val="none" w:sz="0" w:space="0" w:color="auto"/>
      </w:divBdr>
      <w:divsChild>
        <w:div w:id="1116945857">
          <w:marLeft w:val="0"/>
          <w:marRight w:val="0"/>
          <w:marTop w:val="0"/>
          <w:marBottom w:val="0"/>
          <w:divBdr>
            <w:top w:val="none" w:sz="0" w:space="0" w:color="auto"/>
            <w:left w:val="none" w:sz="0" w:space="0" w:color="auto"/>
            <w:bottom w:val="none" w:sz="0" w:space="0" w:color="auto"/>
            <w:right w:val="none" w:sz="0" w:space="0" w:color="auto"/>
          </w:divBdr>
        </w:div>
        <w:div w:id="995957596">
          <w:marLeft w:val="0"/>
          <w:marRight w:val="0"/>
          <w:marTop w:val="0"/>
          <w:marBottom w:val="0"/>
          <w:divBdr>
            <w:top w:val="none" w:sz="0" w:space="0" w:color="auto"/>
            <w:left w:val="none" w:sz="0" w:space="0" w:color="auto"/>
            <w:bottom w:val="none" w:sz="0" w:space="0" w:color="auto"/>
            <w:right w:val="none" w:sz="0" w:space="0" w:color="auto"/>
          </w:divBdr>
        </w:div>
        <w:div w:id="655105565">
          <w:marLeft w:val="0"/>
          <w:marRight w:val="0"/>
          <w:marTop w:val="0"/>
          <w:marBottom w:val="0"/>
          <w:divBdr>
            <w:top w:val="none" w:sz="0" w:space="0" w:color="auto"/>
            <w:left w:val="none" w:sz="0" w:space="0" w:color="auto"/>
            <w:bottom w:val="none" w:sz="0" w:space="0" w:color="auto"/>
            <w:right w:val="none" w:sz="0" w:space="0" w:color="auto"/>
          </w:divBdr>
        </w:div>
      </w:divsChild>
    </w:div>
    <w:div w:id="1679455082">
      <w:bodyDiv w:val="1"/>
      <w:marLeft w:val="0"/>
      <w:marRight w:val="0"/>
      <w:marTop w:val="0"/>
      <w:marBottom w:val="0"/>
      <w:divBdr>
        <w:top w:val="none" w:sz="0" w:space="0" w:color="auto"/>
        <w:left w:val="none" w:sz="0" w:space="0" w:color="auto"/>
        <w:bottom w:val="none" w:sz="0" w:space="0" w:color="auto"/>
        <w:right w:val="none" w:sz="0" w:space="0" w:color="auto"/>
      </w:divBdr>
    </w:div>
    <w:div w:id="1741096520">
      <w:bodyDiv w:val="1"/>
      <w:marLeft w:val="0"/>
      <w:marRight w:val="0"/>
      <w:marTop w:val="0"/>
      <w:marBottom w:val="0"/>
      <w:divBdr>
        <w:top w:val="none" w:sz="0" w:space="0" w:color="auto"/>
        <w:left w:val="none" w:sz="0" w:space="0" w:color="auto"/>
        <w:bottom w:val="none" w:sz="0" w:space="0" w:color="auto"/>
        <w:right w:val="none" w:sz="0" w:space="0" w:color="auto"/>
      </w:divBdr>
    </w:div>
    <w:div w:id="1753579211">
      <w:bodyDiv w:val="1"/>
      <w:marLeft w:val="0"/>
      <w:marRight w:val="0"/>
      <w:marTop w:val="0"/>
      <w:marBottom w:val="0"/>
      <w:divBdr>
        <w:top w:val="none" w:sz="0" w:space="0" w:color="auto"/>
        <w:left w:val="none" w:sz="0" w:space="0" w:color="auto"/>
        <w:bottom w:val="none" w:sz="0" w:space="0" w:color="auto"/>
        <w:right w:val="none" w:sz="0" w:space="0" w:color="auto"/>
      </w:divBdr>
      <w:divsChild>
        <w:div w:id="1786150369">
          <w:marLeft w:val="0"/>
          <w:marRight w:val="0"/>
          <w:marTop w:val="0"/>
          <w:marBottom w:val="0"/>
          <w:divBdr>
            <w:top w:val="none" w:sz="0" w:space="0" w:color="auto"/>
            <w:left w:val="none" w:sz="0" w:space="0" w:color="auto"/>
            <w:bottom w:val="none" w:sz="0" w:space="0" w:color="auto"/>
            <w:right w:val="none" w:sz="0" w:space="0" w:color="auto"/>
          </w:divBdr>
        </w:div>
        <w:div w:id="993263976">
          <w:marLeft w:val="0"/>
          <w:marRight w:val="0"/>
          <w:marTop w:val="0"/>
          <w:marBottom w:val="0"/>
          <w:divBdr>
            <w:top w:val="none" w:sz="0" w:space="0" w:color="auto"/>
            <w:left w:val="none" w:sz="0" w:space="0" w:color="auto"/>
            <w:bottom w:val="none" w:sz="0" w:space="0" w:color="auto"/>
            <w:right w:val="none" w:sz="0" w:space="0" w:color="auto"/>
          </w:divBdr>
        </w:div>
        <w:div w:id="1823892496">
          <w:marLeft w:val="0"/>
          <w:marRight w:val="0"/>
          <w:marTop w:val="0"/>
          <w:marBottom w:val="0"/>
          <w:divBdr>
            <w:top w:val="none" w:sz="0" w:space="0" w:color="auto"/>
            <w:left w:val="none" w:sz="0" w:space="0" w:color="auto"/>
            <w:bottom w:val="none" w:sz="0" w:space="0" w:color="auto"/>
            <w:right w:val="none" w:sz="0" w:space="0" w:color="auto"/>
          </w:divBdr>
        </w:div>
      </w:divsChild>
    </w:div>
    <w:div w:id="1775009354">
      <w:bodyDiv w:val="1"/>
      <w:marLeft w:val="0"/>
      <w:marRight w:val="0"/>
      <w:marTop w:val="0"/>
      <w:marBottom w:val="0"/>
      <w:divBdr>
        <w:top w:val="none" w:sz="0" w:space="0" w:color="auto"/>
        <w:left w:val="none" w:sz="0" w:space="0" w:color="auto"/>
        <w:bottom w:val="none" w:sz="0" w:space="0" w:color="auto"/>
        <w:right w:val="none" w:sz="0" w:space="0" w:color="auto"/>
      </w:divBdr>
    </w:div>
    <w:div w:id="1787889640">
      <w:bodyDiv w:val="1"/>
      <w:marLeft w:val="0"/>
      <w:marRight w:val="0"/>
      <w:marTop w:val="0"/>
      <w:marBottom w:val="0"/>
      <w:divBdr>
        <w:top w:val="none" w:sz="0" w:space="0" w:color="auto"/>
        <w:left w:val="none" w:sz="0" w:space="0" w:color="auto"/>
        <w:bottom w:val="none" w:sz="0" w:space="0" w:color="auto"/>
        <w:right w:val="none" w:sz="0" w:space="0" w:color="auto"/>
      </w:divBdr>
    </w:div>
    <w:div w:id="1797480905">
      <w:bodyDiv w:val="1"/>
      <w:marLeft w:val="0"/>
      <w:marRight w:val="0"/>
      <w:marTop w:val="0"/>
      <w:marBottom w:val="0"/>
      <w:divBdr>
        <w:top w:val="none" w:sz="0" w:space="0" w:color="auto"/>
        <w:left w:val="none" w:sz="0" w:space="0" w:color="auto"/>
        <w:bottom w:val="none" w:sz="0" w:space="0" w:color="auto"/>
        <w:right w:val="none" w:sz="0" w:space="0" w:color="auto"/>
      </w:divBdr>
      <w:divsChild>
        <w:div w:id="782697404">
          <w:marLeft w:val="0"/>
          <w:marRight w:val="0"/>
          <w:marTop w:val="0"/>
          <w:marBottom w:val="0"/>
          <w:divBdr>
            <w:top w:val="none" w:sz="0" w:space="0" w:color="auto"/>
            <w:left w:val="none" w:sz="0" w:space="0" w:color="auto"/>
            <w:bottom w:val="none" w:sz="0" w:space="0" w:color="auto"/>
            <w:right w:val="none" w:sz="0" w:space="0" w:color="auto"/>
          </w:divBdr>
        </w:div>
        <w:div w:id="1147474917">
          <w:marLeft w:val="0"/>
          <w:marRight w:val="0"/>
          <w:marTop w:val="0"/>
          <w:marBottom w:val="0"/>
          <w:divBdr>
            <w:top w:val="none" w:sz="0" w:space="0" w:color="auto"/>
            <w:left w:val="none" w:sz="0" w:space="0" w:color="auto"/>
            <w:bottom w:val="none" w:sz="0" w:space="0" w:color="auto"/>
            <w:right w:val="none" w:sz="0" w:space="0" w:color="auto"/>
          </w:divBdr>
        </w:div>
        <w:div w:id="971324943">
          <w:marLeft w:val="0"/>
          <w:marRight w:val="0"/>
          <w:marTop w:val="0"/>
          <w:marBottom w:val="0"/>
          <w:divBdr>
            <w:top w:val="none" w:sz="0" w:space="0" w:color="auto"/>
            <w:left w:val="none" w:sz="0" w:space="0" w:color="auto"/>
            <w:bottom w:val="none" w:sz="0" w:space="0" w:color="auto"/>
            <w:right w:val="none" w:sz="0" w:space="0" w:color="auto"/>
          </w:divBdr>
        </w:div>
        <w:div w:id="1490249730">
          <w:marLeft w:val="0"/>
          <w:marRight w:val="0"/>
          <w:marTop w:val="0"/>
          <w:marBottom w:val="0"/>
          <w:divBdr>
            <w:top w:val="none" w:sz="0" w:space="0" w:color="auto"/>
            <w:left w:val="none" w:sz="0" w:space="0" w:color="auto"/>
            <w:bottom w:val="none" w:sz="0" w:space="0" w:color="auto"/>
            <w:right w:val="none" w:sz="0" w:space="0" w:color="auto"/>
          </w:divBdr>
        </w:div>
        <w:div w:id="801846441">
          <w:marLeft w:val="0"/>
          <w:marRight w:val="0"/>
          <w:marTop w:val="0"/>
          <w:marBottom w:val="0"/>
          <w:divBdr>
            <w:top w:val="none" w:sz="0" w:space="0" w:color="auto"/>
            <w:left w:val="none" w:sz="0" w:space="0" w:color="auto"/>
            <w:bottom w:val="none" w:sz="0" w:space="0" w:color="auto"/>
            <w:right w:val="none" w:sz="0" w:space="0" w:color="auto"/>
          </w:divBdr>
        </w:div>
        <w:div w:id="1061565019">
          <w:marLeft w:val="0"/>
          <w:marRight w:val="0"/>
          <w:marTop w:val="0"/>
          <w:marBottom w:val="0"/>
          <w:divBdr>
            <w:top w:val="none" w:sz="0" w:space="0" w:color="auto"/>
            <w:left w:val="none" w:sz="0" w:space="0" w:color="auto"/>
            <w:bottom w:val="none" w:sz="0" w:space="0" w:color="auto"/>
            <w:right w:val="none" w:sz="0" w:space="0" w:color="auto"/>
          </w:divBdr>
        </w:div>
      </w:divsChild>
    </w:div>
    <w:div w:id="1797604836">
      <w:bodyDiv w:val="1"/>
      <w:marLeft w:val="0"/>
      <w:marRight w:val="0"/>
      <w:marTop w:val="0"/>
      <w:marBottom w:val="0"/>
      <w:divBdr>
        <w:top w:val="none" w:sz="0" w:space="0" w:color="auto"/>
        <w:left w:val="none" w:sz="0" w:space="0" w:color="auto"/>
        <w:bottom w:val="none" w:sz="0" w:space="0" w:color="auto"/>
        <w:right w:val="none" w:sz="0" w:space="0" w:color="auto"/>
      </w:divBdr>
    </w:div>
    <w:div w:id="1798839781">
      <w:bodyDiv w:val="1"/>
      <w:marLeft w:val="0"/>
      <w:marRight w:val="0"/>
      <w:marTop w:val="0"/>
      <w:marBottom w:val="0"/>
      <w:divBdr>
        <w:top w:val="none" w:sz="0" w:space="0" w:color="auto"/>
        <w:left w:val="none" w:sz="0" w:space="0" w:color="auto"/>
        <w:bottom w:val="none" w:sz="0" w:space="0" w:color="auto"/>
        <w:right w:val="none" w:sz="0" w:space="0" w:color="auto"/>
      </w:divBdr>
      <w:divsChild>
        <w:div w:id="963776876">
          <w:marLeft w:val="0"/>
          <w:marRight w:val="0"/>
          <w:marTop w:val="0"/>
          <w:marBottom w:val="0"/>
          <w:divBdr>
            <w:top w:val="none" w:sz="0" w:space="0" w:color="auto"/>
            <w:left w:val="none" w:sz="0" w:space="0" w:color="auto"/>
            <w:bottom w:val="none" w:sz="0" w:space="0" w:color="auto"/>
            <w:right w:val="none" w:sz="0" w:space="0" w:color="auto"/>
          </w:divBdr>
          <w:divsChild>
            <w:div w:id="1542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4777">
      <w:bodyDiv w:val="1"/>
      <w:marLeft w:val="0"/>
      <w:marRight w:val="0"/>
      <w:marTop w:val="0"/>
      <w:marBottom w:val="0"/>
      <w:divBdr>
        <w:top w:val="none" w:sz="0" w:space="0" w:color="auto"/>
        <w:left w:val="none" w:sz="0" w:space="0" w:color="auto"/>
        <w:bottom w:val="none" w:sz="0" w:space="0" w:color="auto"/>
        <w:right w:val="none" w:sz="0" w:space="0" w:color="auto"/>
      </w:divBdr>
      <w:divsChild>
        <w:div w:id="1083137341">
          <w:marLeft w:val="0"/>
          <w:marRight w:val="0"/>
          <w:marTop w:val="0"/>
          <w:marBottom w:val="0"/>
          <w:divBdr>
            <w:top w:val="none" w:sz="0" w:space="0" w:color="auto"/>
            <w:left w:val="none" w:sz="0" w:space="0" w:color="auto"/>
            <w:bottom w:val="none" w:sz="0" w:space="0" w:color="auto"/>
            <w:right w:val="none" w:sz="0" w:space="0" w:color="auto"/>
          </w:divBdr>
        </w:div>
        <w:div w:id="343096965">
          <w:marLeft w:val="0"/>
          <w:marRight w:val="0"/>
          <w:marTop w:val="0"/>
          <w:marBottom w:val="0"/>
          <w:divBdr>
            <w:top w:val="none" w:sz="0" w:space="0" w:color="auto"/>
            <w:left w:val="none" w:sz="0" w:space="0" w:color="auto"/>
            <w:bottom w:val="none" w:sz="0" w:space="0" w:color="auto"/>
            <w:right w:val="none" w:sz="0" w:space="0" w:color="auto"/>
          </w:divBdr>
        </w:div>
        <w:div w:id="475801559">
          <w:marLeft w:val="0"/>
          <w:marRight w:val="0"/>
          <w:marTop w:val="0"/>
          <w:marBottom w:val="0"/>
          <w:divBdr>
            <w:top w:val="none" w:sz="0" w:space="0" w:color="auto"/>
            <w:left w:val="none" w:sz="0" w:space="0" w:color="auto"/>
            <w:bottom w:val="none" w:sz="0" w:space="0" w:color="auto"/>
            <w:right w:val="none" w:sz="0" w:space="0" w:color="auto"/>
          </w:divBdr>
        </w:div>
      </w:divsChild>
    </w:div>
    <w:div w:id="1813864337">
      <w:bodyDiv w:val="1"/>
      <w:marLeft w:val="0"/>
      <w:marRight w:val="0"/>
      <w:marTop w:val="0"/>
      <w:marBottom w:val="0"/>
      <w:divBdr>
        <w:top w:val="none" w:sz="0" w:space="0" w:color="auto"/>
        <w:left w:val="none" w:sz="0" w:space="0" w:color="auto"/>
        <w:bottom w:val="none" w:sz="0" w:space="0" w:color="auto"/>
        <w:right w:val="none" w:sz="0" w:space="0" w:color="auto"/>
      </w:divBdr>
      <w:divsChild>
        <w:div w:id="1748914712">
          <w:marLeft w:val="0"/>
          <w:marRight w:val="0"/>
          <w:marTop w:val="0"/>
          <w:marBottom w:val="0"/>
          <w:divBdr>
            <w:top w:val="none" w:sz="0" w:space="0" w:color="auto"/>
            <w:left w:val="none" w:sz="0" w:space="0" w:color="auto"/>
            <w:bottom w:val="none" w:sz="0" w:space="0" w:color="auto"/>
            <w:right w:val="none" w:sz="0" w:space="0" w:color="auto"/>
          </w:divBdr>
        </w:div>
        <w:div w:id="2141068865">
          <w:marLeft w:val="0"/>
          <w:marRight w:val="0"/>
          <w:marTop w:val="0"/>
          <w:marBottom w:val="0"/>
          <w:divBdr>
            <w:top w:val="none" w:sz="0" w:space="0" w:color="auto"/>
            <w:left w:val="none" w:sz="0" w:space="0" w:color="auto"/>
            <w:bottom w:val="none" w:sz="0" w:space="0" w:color="auto"/>
            <w:right w:val="none" w:sz="0" w:space="0" w:color="auto"/>
          </w:divBdr>
        </w:div>
        <w:div w:id="1168014131">
          <w:marLeft w:val="0"/>
          <w:marRight w:val="0"/>
          <w:marTop w:val="0"/>
          <w:marBottom w:val="0"/>
          <w:divBdr>
            <w:top w:val="none" w:sz="0" w:space="0" w:color="auto"/>
            <w:left w:val="none" w:sz="0" w:space="0" w:color="auto"/>
            <w:bottom w:val="none" w:sz="0" w:space="0" w:color="auto"/>
            <w:right w:val="none" w:sz="0" w:space="0" w:color="auto"/>
          </w:divBdr>
        </w:div>
        <w:div w:id="237205541">
          <w:marLeft w:val="0"/>
          <w:marRight w:val="0"/>
          <w:marTop w:val="0"/>
          <w:marBottom w:val="0"/>
          <w:divBdr>
            <w:top w:val="none" w:sz="0" w:space="0" w:color="auto"/>
            <w:left w:val="none" w:sz="0" w:space="0" w:color="auto"/>
            <w:bottom w:val="none" w:sz="0" w:space="0" w:color="auto"/>
            <w:right w:val="none" w:sz="0" w:space="0" w:color="auto"/>
          </w:divBdr>
        </w:div>
        <w:div w:id="1479572476">
          <w:marLeft w:val="0"/>
          <w:marRight w:val="0"/>
          <w:marTop w:val="0"/>
          <w:marBottom w:val="0"/>
          <w:divBdr>
            <w:top w:val="none" w:sz="0" w:space="0" w:color="auto"/>
            <w:left w:val="none" w:sz="0" w:space="0" w:color="auto"/>
            <w:bottom w:val="none" w:sz="0" w:space="0" w:color="auto"/>
            <w:right w:val="none" w:sz="0" w:space="0" w:color="auto"/>
          </w:divBdr>
        </w:div>
        <w:div w:id="481582073">
          <w:marLeft w:val="0"/>
          <w:marRight w:val="0"/>
          <w:marTop w:val="0"/>
          <w:marBottom w:val="0"/>
          <w:divBdr>
            <w:top w:val="none" w:sz="0" w:space="0" w:color="auto"/>
            <w:left w:val="none" w:sz="0" w:space="0" w:color="auto"/>
            <w:bottom w:val="none" w:sz="0" w:space="0" w:color="auto"/>
            <w:right w:val="none" w:sz="0" w:space="0" w:color="auto"/>
          </w:divBdr>
        </w:div>
        <w:div w:id="278071231">
          <w:marLeft w:val="0"/>
          <w:marRight w:val="0"/>
          <w:marTop w:val="0"/>
          <w:marBottom w:val="0"/>
          <w:divBdr>
            <w:top w:val="none" w:sz="0" w:space="0" w:color="auto"/>
            <w:left w:val="none" w:sz="0" w:space="0" w:color="auto"/>
            <w:bottom w:val="none" w:sz="0" w:space="0" w:color="auto"/>
            <w:right w:val="none" w:sz="0" w:space="0" w:color="auto"/>
          </w:divBdr>
        </w:div>
        <w:div w:id="1089231847">
          <w:marLeft w:val="0"/>
          <w:marRight w:val="0"/>
          <w:marTop w:val="0"/>
          <w:marBottom w:val="0"/>
          <w:divBdr>
            <w:top w:val="none" w:sz="0" w:space="0" w:color="auto"/>
            <w:left w:val="none" w:sz="0" w:space="0" w:color="auto"/>
            <w:bottom w:val="none" w:sz="0" w:space="0" w:color="auto"/>
            <w:right w:val="none" w:sz="0" w:space="0" w:color="auto"/>
          </w:divBdr>
        </w:div>
        <w:div w:id="1470248170">
          <w:marLeft w:val="0"/>
          <w:marRight w:val="0"/>
          <w:marTop w:val="0"/>
          <w:marBottom w:val="0"/>
          <w:divBdr>
            <w:top w:val="none" w:sz="0" w:space="0" w:color="auto"/>
            <w:left w:val="none" w:sz="0" w:space="0" w:color="auto"/>
            <w:bottom w:val="none" w:sz="0" w:space="0" w:color="auto"/>
            <w:right w:val="none" w:sz="0" w:space="0" w:color="auto"/>
          </w:divBdr>
        </w:div>
        <w:div w:id="93484262">
          <w:marLeft w:val="0"/>
          <w:marRight w:val="0"/>
          <w:marTop w:val="0"/>
          <w:marBottom w:val="0"/>
          <w:divBdr>
            <w:top w:val="none" w:sz="0" w:space="0" w:color="auto"/>
            <w:left w:val="none" w:sz="0" w:space="0" w:color="auto"/>
            <w:bottom w:val="none" w:sz="0" w:space="0" w:color="auto"/>
            <w:right w:val="none" w:sz="0" w:space="0" w:color="auto"/>
          </w:divBdr>
        </w:div>
        <w:div w:id="1395010528">
          <w:marLeft w:val="0"/>
          <w:marRight w:val="0"/>
          <w:marTop w:val="0"/>
          <w:marBottom w:val="0"/>
          <w:divBdr>
            <w:top w:val="none" w:sz="0" w:space="0" w:color="auto"/>
            <w:left w:val="none" w:sz="0" w:space="0" w:color="auto"/>
            <w:bottom w:val="none" w:sz="0" w:space="0" w:color="auto"/>
            <w:right w:val="none" w:sz="0" w:space="0" w:color="auto"/>
          </w:divBdr>
        </w:div>
        <w:div w:id="1020668294">
          <w:marLeft w:val="0"/>
          <w:marRight w:val="0"/>
          <w:marTop w:val="0"/>
          <w:marBottom w:val="0"/>
          <w:divBdr>
            <w:top w:val="none" w:sz="0" w:space="0" w:color="auto"/>
            <w:left w:val="none" w:sz="0" w:space="0" w:color="auto"/>
            <w:bottom w:val="none" w:sz="0" w:space="0" w:color="auto"/>
            <w:right w:val="none" w:sz="0" w:space="0" w:color="auto"/>
          </w:divBdr>
        </w:div>
        <w:div w:id="436563157">
          <w:marLeft w:val="0"/>
          <w:marRight w:val="0"/>
          <w:marTop w:val="0"/>
          <w:marBottom w:val="0"/>
          <w:divBdr>
            <w:top w:val="none" w:sz="0" w:space="0" w:color="auto"/>
            <w:left w:val="none" w:sz="0" w:space="0" w:color="auto"/>
            <w:bottom w:val="none" w:sz="0" w:space="0" w:color="auto"/>
            <w:right w:val="none" w:sz="0" w:space="0" w:color="auto"/>
          </w:divBdr>
        </w:div>
        <w:div w:id="1148010401">
          <w:marLeft w:val="0"/>
          <w:marRight w:val="0"/>
          <w:marTop w:val="0"/>
          <w:marBottom w:val="0"/>
          <w:divBdr>
            <w:top w:val="none" w:sz="0" w:space="0" w:color="auto"/>
            <w:left w:val="none" w:sz="0" w:space="0" w:color="auto"/>
            <w:bottom w:val="none" w:sz="0" w:space="0" w:color="auto"/>
            <w:right w:val="none" w:sz="0" w:space="0" w:color="auto"/>
          </w:divBdr>
        </w:div>
        <w:div w:id="538322791">
          <w:marLeft w:val="0"/>
          <w:marRight w:val="0"/>
          <w:marTop w:val="0"/>
          <w:marBottom w:val="0"/>
          <w:divBdr>
            <w:top w:val="none" w:sz="0" w:space="0" w:color="auto"/>
            <w:left w:val="none" w:sz="0" w:space="0" w:color="auto"/>
            <w:bottom w:val="none" w:sz="0" w:space="0" w:color="auto"/>
            <w:right w:val="none" w:sz="0" w:space="0" w:color="auto"/>
          </w:divBdr>
        </w:div>
        <w:div w:id="921375498">
          <w:marLeft w:val="0"/>
          <w:marRight w:val="0"/>
          <w:marTop w:val="0"/>
          <w:marBottom w:val="0"/>
          <w:divBdr>
            <w:top w:val="none" w:sz="0" w:space="0" w:color="auto"/>
            <w:left w:val="none" w:sz="0" w:space="0" w:color="auto"/>
            <w:bottom w:val="none" w:sz="0" w:space="0" w:color="auto"/>
            <w:right w:val="none" w:sz="0" w:space="0" w:color="auto"/>
          </w:divBdr>
        </w:div>
        <w:div w:id="2070225279">
          <w:marLeft w:val="0"/>
          <w:marRight w:val="0"/>
          <w:marTop w:val="0"/>
          <w:marBottom w:val="0"/>
          <w:divBdr>
            <w:top w:val="none" w:sz="0" w:space="0" w:color="auto"/>
            <w:left w:val="none" w:sz="0" w:space="0" w:color="auto"/>
            <w:bottom w:val="none" w:sz="0" w:space="0" w:color="auto"/>
            <w:right w:val="none" w:sz="0" w:space="0" w:color="auto"/>
          </w:divBdr>
        </w:div>
        <w:div w:id="518667365">
          <w:marLeft w:val="0"/>
          <w:marRight w:val="0"/>
          <w:marTop w:val="0"/>
          <w:marBottom w:val="0"/>
          <w:divBdr>
            <w:top w:val="none" w:sz="0" w:space="0" w:color="auto"/>
            <w:left w:val="none" w:sz="0" w:space="0" w:color="auto"/>
            <w:bottom w:val="none" w:sz="0" w:space="0" w:color="auto"/>
            <w:right w:val="none" w:sz="0" w:space="0" w:color="auto"/>
          </w:divBdr>
        </w:div>
        <w:div w:id="87893850">
          <w:marLeft w:val="0"/>
          <w:marRight w:val="0"/>
          <w:marTop w:val="0"/>
          <w:marBottom w:val="0"/>
          <w:divBdr>
            <w:top w:val="none" w:sz="0" w:space="0" w:color="auto"/>
            <w:left w:val="none" w:sz="0" w:space="0" w:color="auto"/>
            <w:bottom w:val="none" w:sz="0" w:space="0" w:color="auto"/>
            <w:right w:val="none" w:sz="0" w:space="0" w:color="auto"/>
          </w:divBdr>
        </w:div>
        <w:div w:id="1051805921">
          <w:marLeft w:val="0"/>
          <w:marRight w:val="0"/>
          <w:marTop w:val="0"/>
          <w:marBottom w:val="0"/>
          <w:divBdr>
            <w:top w:val="none" w:sz="0" w:space="0" w:color="auto"/>
            <w:left w:val="none" w:sz="0" w:space="0" w:color="auto"/>
            <w:bottom w:val="none" w:sz="0" w:space="0" w:color="auto"/>
            <w:right w:val="none" w:sz="0" w:space="0" w:color="auto"/>
          </w:divBdr>
        </w:div>
        <w:div w:id="1858930007">
          <w:marLeft w:val="0"/>
          <w:marRight w:val="0"/>
          <w:marTop w:val="0"/>
          <w:marBottom w:val="0"/>
          <w:divBdr>
            <w:top w:val="none" w:sz="0" w:space="0" w:color="auto"/>
            <w:left w:val="none" w:sz="0" w:space="0" w:color="auto"/>
            <w:bottom w:val="none" w:sz="0" w:space="0" w:color="auto"/>
            <w:right w:val="none" w:sz="0" w:space="0" w:color="auto"/>
          </w:divBdr>
        </w:div>
      </w:divsChild>
    </w:div>
    <w:div w:id="1814518069">
      <w:bodyDiv w:val="1"/>
      <w:marLeft w:val="0"/>
      <w:marRight w:val="0"/>
      <w:marTop w:val="0"/>
      <w:marBottom w:val="0"/>
      <w:divBdr>
        <w:top w:val="none" w:sz="0" w:space="0" w:color="auto"/>
        <w:left w:val="none" w:sz="0" w:space="0" w:color="auto"/>
        <w:bottom w:val="none" w:sz="0" w:space="0" w:color="auto"/>
        <w:right w:val="none" w:sz="0" w:space="0" w:color="auto"/>
      </w:divBdr>
      <w:divsChild>
        <w:div w:id="1665930096">
          <w:marLeft w:val="0"/>
          <w:marRight w:val="0"/>
          <w:marTop w:val="0"/>
          <w:marBottom w:val="0"/>
          <w:divBdr>
            <w:top w:val="none" w:sz="0" w:space="0" w:color="auto"/>
            <w:left w:val="none" w:sz="0" w:space="0" w:color="auto"/>
            <w:bottom w:val="none" w:sz="0" w:space="0" w:color="auto"/>
            <w:right w:val="none" w:sz="0" w:space="0" w:color="auto"/>
          </w:divBdr>
        </w:div>
        <w:div w:id="1203594063">
          <w:marLeft w:val="0"/>
          <w:marRight w:val="0"/>
          <w:marTop w:val="0"/>
          <w:marBottom w:val="0"/>
          <w:divBdr>
            <w:top w:val="none" w:sz="0" w:space="0" w:color="auto"/>
            <w:left w:val="none" w:sz="0" w:space="0" w:color="auto"/>
            <w:bottom w:val="none" w:sz="0" w:space="0" w:color="auto"/>
            <w:right w:val="none" w:sz="0" w:space="0" w:color="auto"/>
          </w:divBdr>
        </w:div>
        <w:div w:id="1764297457">
          <w:marLeft w:val="0"/>
          <w:marRight w:val="0"/>
          <w:marTop w:val="0"/>
          <w:marBottom w:val="0"/>
          <w:divBdr>
            <w:top w:val="none" w:sz="0" w:space="0" w:color="auto"/>
            <w:left w:val="none" w:sz="0" w:space="0" w:color="auto"/>
            <w:bottom w:val="none" w:sz="0" w:space="0" w:color="auto"/>
            <w:right w:val="none" w:sz="0" w:space="0" w:color="auto"/>
          </w:divBdr>
        </w:div>
        <w:div w:id="988368300">
          <w:marLeft w:val="0"/>
          <w:marRight w:val="0"/>
          <w:marTop w:val="0"/>
          <w:marBottom w:val="0"/>
          <w:divBdr>
            <w:top w:val="none" w:sz="0" w:space="0" w:color="auto"/>
            <w:left w:val="none" w:sz="0" w:space="0" w:color="auto"/>
            <w:bottom w:val="none" w:sz="0" w:space="0" w:color="auto"/>
            <w:right w:val="none" w:sz="0" w:space="0" w:color="auto"/>
          </w:divBdr>
        </w:div>
        <w:div w:id="1798446101">
          <w:marLeft w:val="0"/>
          <w:marRight w:val="0"/>
          <w:marTop w:val="0"/>
          <w:marBottom w:val="0"/>
          <w:divBdr>
            <w:top w:val="none" w:sz="0" w:space="0" w:color="auto"/>
            <w:left w:val="none" w:sz="0" w:space="0" w:color="auto"/>
            <w:bottom w:val="none" w:sz="0" w:space="0" w:color="auto"/>
            <w:right w:val="none" w:sz="0" w:space="0" w:color="auto"/>
          </w:divBdr>
        </w:div>
        <w:div w:id="1584677236">
          <w:marLeft w:val="0"/>
          <w:marRight w:val="0"/>
          <w:marTop w:val="0"/>
          <w:marBottom w:val="0"/>
          <w:divBdr>
            <w:top w:val="none" w:sz="0" w:space="0" w:color="auto"/>
            <w:left w:val="none" w:sz="0" w:space="0" w:color="auto"/>
            <w:bottom w:val="none" w:sz="0" w:space="0" w:color="auto"/>
            <w:right w:val="none" w:sz="0" w:space="0" w:color="auto"/>
          </w:divBdr>
        </w:div>
        <w:div w:id="488519893">
          <w:marLeft w:val="0"/>
          <w:marRight w:val="0"/>
          <w:marTop w:val="0"/>
          <w:marBottom w:val="0"/>
          <w:divBdr>
            <w:top w:val="none" w:sz="0" w:space="0" w:color="auto"/>
            <w:left w:val="none" w:sz="0" w:space="0" w:color="auto"/>
            <w:bottom w:val="none" w:sz="0" w:space="0" w:color="auto"/>
            <w:right w:val="none" w:sz="0" w:space="0" w:color="auto"/>
          </w:divBdr>
        </w:div>
      </w:divsChild>
    </w:div>
    <w:div w:id="1829858575">
      <w:bodyDiv w:val="1"/>
      <w:marLeft w:val="0"/>
      <w:marRight w:val="0"/>
      <w:marTop w:val="0"/>
      <w:marBottom w:val="0"/>
      <w:divBdr>
        <w:top w:val="none" w:sz="0" w:space="0" w:color="auto"/>
        <w:left w:val="none" w:sz="0" w:space="0" w:color="auto"/>
        <w:bottom w:val="none" w:sz="0" w:space="0" w:color="auto"/>
        <w:right w:val="none" w:sz="0" w:space="0" w:color="auto"/>
      </w:divBdr>
      <w:divsChild>
        <w:div w:id="1204245384">
          <w:marLeft w:val="0"/>
          <w:marRight w:val="0"/>
          <w:marTop w:val="0"/>
          <w:marBottom w:val="0"/>
          <w:divBdr>
            <w:top w:val="none" w:sz="0" w:space="0" w:color="auto"/>
            <w:left w:val="none" w:sz="0" w:space="0" w:color="auto"/>
            <w:bottom w:val="none" w:sz="0" w:space="0" w:color="auto"/>
            <w:right w:val="none" w:sz="0" w:space="0" w:color="auto"/>
          </w:divBdr>
        </w:div>
        <w:div w:id="517307270">
          <w:marLeft w:val="0"/>
          <w:marRight w:val="0"/>
          <w:marTop w:val="0"/>
          <w:marBottom w:val="0"/>
          <w:divBdr>
            <w:top w:val="none" w:sz="0" w:space="0" w:color="auto"/>
            <w:left w:val="none" w:sz="0" w:space="0" w:color="auto"/>
            <w:bottom w:val="none" w:sz="0" w:space="0" w:color="auto"/>
            <w:right w:val="none" w:sz="0" w:space="0" w:color="auto"/>
          </w:divBdr>
        </w:div>
        <w:div w:id="1999307234">
          <w:marLeft w:val="0"/>
          <w:marRight w:val="0"/>
          <w:marTop w:val="0"/>
          <w:marBottom w:val="0"/>
          <w:divBdr>
            <w:top w:val="none" w:sz="0" w:space="0" w:color="auto"/>
            <w:left w:val="none" w:sz="0" w:space="0" w:color="auto"/>
            <w:bottom w:val="none" w:sz="0" w:space="0" w:color="auto"/>
            <w:right w:val="none" w:sz="0" w:space="0" w:color="auto"/>
          </w:divBdr>
        </w:div>
        <w:div w:id="829054238">
          <w:marLeft w:val="0"/>
          <w:marRight w:val="0"/>
          <w:marTop w:val="0"/>
          <w:marBottom w:val="0"/>
          <w:divBdr>
            <w:top w:val="none" w:sz="0" w:space="0" w:color="auto"/>
            <w:left w:val="none" w:sz="0" w:space="0" w:color="auto"/>
            <w:bottom w:val="none" w:sz="0" w:space="0" w:color="auto"/>
            <w:right w:val="none" w:sz="0" w:space="0" w:color="auto"/>
          </w:divBdr>
        </w:div>
      </w:divsChild>
    </w:div>
    <w:div w:id="1832796096">
      <w:bodyDiv w:val="1"/>
      <w:marLeft w:val="0"/>
      <w:marRight w:val="0"/>
      <w:marTop w:val="0"/>
      <w:marBottom w:val="0"/>
      <w:divBdr>
        <w:top w:val="none" w:sz="0" w:space="0" w:color="auto"/>
        <w:left w:val="none" w:sz="0" w:space="0" w:color="auto"/>
        <w:bottom w:val="none" w:sz="0" w:space="0" w:color="auto"/>
        <w:right w:val="none" w:sz="0" w:space="0" w:color="auto"/>
      </w:divBdr>
    </w:div>
    <w:div w:id="1837843170">
      <w:bodyDiv w:val="1"/>
      <w:marLeft w:val="0"/>
      <w:marRight w:val="0"/>
      <w:marTop w:val="0"/>
      <w:marBottom w:val="0"/>
      <w:divBdr>
        <w:top w:val="none" w:sz="0" w:space="0" w:color="auto"/>
        <w:left w:val="none" w:sz="0" w:space="0" w:color="auto"/>
        <w:bottom w:val="none" w:sz="0" w:space="0" w:color="auto"/>
        <w:right w:val="none" w:sz="0" w:space="0" w:color="auto"/>
      </w:divBdr>
    </w:div>
    <w:div w:id="1838687441">
      <w:bodyDiv w:val="1"/>
      <w:marLeft w:val="0"/>
      <w:marRight w:val="0"/>
      <w:marTop w:val="0"/>
      <w:marBottom w:val="0"/>
      <w:divBdr>
        <w:top w:val="none" w:sz="0" w:space="0" w:color="auto"/>
        <w:left w:val="none" w:sz="0" w:space="0" w:color="auto"/>
        <w:bottom w:val="none" w:sz="0" w:space="0" w:color="auto"/>
        <w:right w:val="none" w:sz="0" w:space="0" w:color="auto"/>
      </w:divBdr>
    </w:div>
    <w:div w:id="1950892433">
      <w:bodyDiv w:val="1"/>
      <w:marLeft w:val="0"/>
      <w:marRight w:val="0"/>
      <w:marTop w:val="0"/>
      <w:marBottom w:val="0"/>
      <w:divBdr>
        <w:top w:val="none" w:sz="0" w:space="0" w:color="auto"/>
        <w:left w:val="none" w:sz="0" w:space="0" w:color="auto"/>
        <w:bottom w:val="none" w:sz="0" w:space="0" w:color="auto"/>
        <w:right w:val="none" w:sz="0" w:space="0" w:color="auto"/>
      </w:divBdr>
      <w:divsChild>
        <w:div w:id="1888485673">
          <w:marLeft w:val="0"/>
          <w:marRight w:val="0"/>
          <w:marTop w:val="0"/>
          <w:marBottom w:val="0"/>
          <w:divBdr>
            <w:top w:val="none" w:sz="0" w:space="0" w:color="auto"/>
            <w:left w:val="none" w:sz="0" w:space="0" w:color="auto"/>
            <w:bottom w:val="none" w:sz="0" w:space="0" w:color="auto"/>
            <w:right w:val="none" w:sz="0" w:space="0" w:color="auto"/>
          </w:divBdr>
        </w:div>
        <w:div w:id="187137627">
          <w:marLeft w:val="0"/>
          <w:marRight w:val="0"/>
          <w:marTop w:val="0"/>
          <w:marBottom w:val="0"/>
          <w:divBdr>
            <w:top w:val="none" w:sz="0" w:space="0" w:color="auto"/>
            <w:left w:val="none" w:sz="0" w:space="0" w:color="auto"/>
            <w:bottom w:val="none" w:sz="0" w:space="0" w:color="auto"/>
            <w:right w:val="none" w:sz="0" w:space="0" w:color="auto"/>
          </w:divBdr>
        </w:div>
        <w:div w:id="696662140">
          <w:marLeft w:val="0"/>
          <w:marRight w:val="0"/>
          <w:marTop w:val="0"/>
          <w:marBottom w:val="0"/>
          <w:divBdr>
            <w:top w:val="none" w:sz="0" w:space="0" w:color="auto"/>
            <w:left w:val="none" w:sz="0" w:space="0" w:color="auto"/>
            <w:bottom w:val="none" w:sz="0" w:space="0" w:color="auto"/>
            <w:right w:val="none" w:sz="0" w:space="0" w:color="auto"/>
          </w:divBdr>
        </w:div>
      </w:divsChild>
    </w:div>
    <w:div w:id="1964581298">
      <w:bodyDiv w:val="1"/>
      <w:marLeft w:val="0"/>
      <w:marRight w:val="0"/>
      <w:marTop w:val="0"/>
      <w:marBottom w:val="0"/>
      <w:divBdr>
        <w:top w:val="none" w:sz="0" w:space="0" w:color="auto"/>
        <w:left w:val="none" w:sz="0" w:space="0" w:color="auto"/>
        <w:bottom w:val="none" w:sz="0" w:space="0" w:color="auto"/>
        <w:right w:val="none" w:sz="0" w:space="0" w:color="auto"/>
      </w:divBdr>
    </w:div>
    <w:div w:id="2018313925">
      <w:bodyDiv w:val="1"/>
      <w:marLeft w:val="0"/>
      <w:marRight w:val="0"/>
      <w:marTop w:val="0"/>
      <w:marBottom w:val="0"/>
      <w:divBdr>
        <w:top w:val="none" w:sz="0" w:space="0" w:color="auto"/>
        <w:left w:val="none" w:sz="0" w:space="0" w:color="auto"/>
        <w:bottom w:val="none" w:sz="0" w:space="0" w:color="auto"/>
        <w:right w:val="none" w:sz="0" w:space="0" w:color="auto"/>
      </w:divBdr>
    </w:div>
    <w:div w:id="2111779288">
      <w:bodyDiv w:val="1"/>
      <w:marLeft w:val="0"/>
      <w:marRight w:val="0"/>
      <w:marTop w:val="0"/>
      <w:marBottom w:val="0"/>
      <w:divBdr>
        <w:top w:val="none" w:sz="0" w:space="0" w:color="auto"/>
        <w:left w:val="none" w:sz="0" w:space="0" w:color="auto"/>
        <w:bottom w:val="none" w:sz="0" w:space="0" w:color="auto"/>
        <w:right w:val="none" w:sz="0" w:space="0" w:color="auto"/>
      </w:divBdr>
      <w:divsChild>
        <w:div w:id="1772124768">
          <w:marLeft w:val="0"/>
          <w:marRight w:val="0"/>
          <w:marTop w:val="0"/>
          <w:marBottom w:val="0"/>
          <w:divBdr>
            <w:top w:val="none" w:sz="0" w:space="0" w:color="auto"/>
            <w:left w:val="none" w:sz="0" w:space="0" w:color="auto"/>
            <w:bottom w:val="none" w:sz="0" w:space="0" w:color="auto"/>
            <w:right w:val="none" w:sz="0" w:space="0" w:color="auto"/>
          </w:divBdr>
        </w:div>
        <w:div w:id="1367027142">
          <w:marLeft w:val="0"/>
          <w:marRight w:val="0"/>
          <w:marTop w:val="0"/>
          <w:marBottom w:val="0"/>
          <w:divBdr>
            <w:top w:val="none" w:sz="0" w:space="0" w:color="auto"/>
            <w:left w:val="none" w:sz="0" w:space="0" w:color="auto"/>
            <w:bottom w:val="none" w:sz="0" w:space="0" w:color="auto"/>
            <w:right w:val="none" w:sz="0" w:space="0" w:color="auto"/>
          </w:divBdr>
        </w:div>
        <w:div w:id="498425425">
          <w:marLeft w:val="0"/>
          <w:marRight w:val="0"/>
          <w:marTop w:val="0"/>
          <w:marBottom w:val="0"/>
          <w:divBdr>
            <w:top w:val="none" w:sz="0" w:space="0" w:color="auto"/>
            <w:left w:val="none" w:sz="0" w:space="0" w:color="auto"/>
            <w:bottom w:val="none" w:sz="0" w:space="0" w:color="auto"/>
            <w:right w:val="none" w:sz="0" w:space="0" w:color="auto"/>
          </w:divBdr>
        </w:div>
        <w:div w:id="1572621614">
          <w:marLeft w:val="0"/>
          <w:marRight w:val="0"/>
          <w:marTop w:val="0"/>
          <w:marBottom w:val="0"/>
          <w:divBdr>
            <w:top w:val="none" w:sz="0" w:space="0" w:color="auto"/>
            <w:left w:val="none" w:sz="0" w:space="0" w:color="auto"/>
            <w:bottom w:val="none" w:sz="0" w:space="0" w:color="auto"/>
            <w:right w:val="none" w:sz="0" w:space="0" w:color="auto"/>
          </w:divBdr>
        </w:div>
        <w:div w:id="244651693">
          <w:marLeft w:val="0"/>
          <w:marRight w:val="0"/>
          <w:marTop w:val="0"/>
          <w:marBottom w:val="0"/>
          <w:divBdr>
            <w:top w:val="none" w:sz="0" w:space="0" w:color="auto"/>
            <w:left w:val="none" w:sz="0" w:space="0" w:color="auto"/>
            <w:bottom w:val="none" w:sz="0" w:space="0" w:color="auto"/>
            <w:right w:val="none" w:sz="0" w:space="0" w:color="auto"/>
          </w:divBdr>
        </w:div>
      </w:divsChild>
    </w:div>
    <w:div w:id="21146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4.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header" Target="header23.xml"/><Relationship Id="rId84"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gif"/><Relationship Id="rId37" Type="http://schemas.openxmlformats.org/officeDocument/2006/relationships/image" Target="media/image24.emf"/><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header" Target="header14.xml"/><Relationship Id="rId66" Type="http://schemas.openxmlformats.org/officeDocument/2006/relationships/footer" Target="footer17.xml"/><Relationship Id="rId74" Type="http://schemas.openxmlformats.org/officeDocument/2006/relationships/footer" Target="footer21.xml"/><Relationship Id="rId79" Type="http://schemas.openxmlformats.org/officeDocument/2006/relationships/header" Target="header24.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header" Target="header26.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oter" Target="footer12.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footer" Target="footer22.xml"/><Relationship Id="rId8" Type="http://schemas.openxmlformats.org/officeDocument/2006/relationships/image" Target="media/image1.emf"/><Relationship Id="rId51" Type="http://schemas.openxmlformats.org/officeDocument/2006/relationships/header" Target="header10.xml"/><Relationship Id="rId72"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eader" Target="header8.xml"/><Relationship Id="rId59" Type="http://schemas.openxmlformats.org/officeDocument/2006/relationships/footer" Target="footer13.xml"/><Relationship Id="rId67" Type="http://schemas.openxmlformats.org/officeDocument/2006/relationships/header" Target="header18.xml"/><Relationship Id="rId20" Type="http://schemas.openxmlformats.org/officeDocument/2006/relationships/image" Target="media/image7.emf"/><Relationship Id="rId41" Type="http://schemas.openxmlformats.org/officeDocument/2006/relationships/footer" Target="footer4.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header" Target="header20.xml"/><Relationship Id="rId75" Type="http://schemas.openxmlformats.org/officeDocument/2006/relationships/header" Target="header22.xml"/><Relationship Id="rId83" Type="http://schemas.openxmlformats.org/officeDocument/2006/relationships/footer" Target="footer25.xml"/><Relationship Id="rId88" Type="http://schemas.openxmlformats.org/officeDocument/2006/relationships/theme" Target="theme/theme1.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footer" Target="footer6.xml"/><Relationship Id="rId52" Type="http://schemas.openxmlformats.org/officeDocument/2006/relationships/header" Target="header11.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eader" Target="header21.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footer" Target="footer27.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food/safety/food_waste_en" TargetMode="External"/><Relationship Id="rId13" Type="http://schemas.openxmlformats.org/officeDocument/2006/relationships/hyperlink" Target="https://www.sitra.fi/en/publications/circular-economy-powerful-force-climate-mitigation/" TargetMode="External"/><Relationship Id="rId18" Type="http://schemas.openxmlformats.org/officeDocument/2006/relationships/hyperlink" Target="https://www.un.org/sustainabledevelopment/cities/" TargetMode="External"/><Relationship Id="rId26" Type="http://schemas.openxmlformats.org/officeDocument/2006/relationships/hyperlink" Target="https://ec.europa.eu/info/sites/info/files/communication-principles-subsidiarity-proportionality-strengthening-role-policymaking_mt.pdf" TargetMode="External"/><Relationship Id="rId3" Type="http://schemas.openxmlformats.org/officeDocument/2006/relationships/hyperlink" Target="https://ec.europa.eu/eurostat/statistics-explained/index.php/Quality_of_life_indicators" TargetMode="External"/><Relationship Id="rId21" Type="http://schemas.openxmlformats.org/officeDocument/2006/relationships/hyperlink" Target="https://ec.europa.eu/info/publications/180524-proposal-sustainable-finance_en" TargetMode="External"/><Relationship Id="rId7" Type="http://schemas.openxmlformats.org/officeDocument/2006/relationships/hyperlink" Target="https://hbr.org/2017/06/if-you-think-fighting-climate-change-will-be-expensive-calculate-the-cost-of-letting-it-happen" TargetMode="External"/><Relationship Id="rId12" Type="http://schemas.openxmlformats.org/officeDocument/2006/relationships/hyperlink" Target="https://ec.europa.eu/eurostat/statistics-explained/pdfscache/10420.pdf" TargetMode="External"/><Relationship Id="rId17" Type="http://schemas.openxmlformats.org/officeDocument/2006/relationships/hyperlink" Target="http://topten.eu/" TargetMode="External"/><Relationship Id="rId25" Type="http://schemas.openxmlformats.org/officeDocument/2006/relationships/hyperlink" Target="http://trade.ec.europa.eu/doclib/docs/2018/february/tradoc_156618.pdf" TargetMode="External"/><Relationship Id="rId2" Type="http://schemas.openxmlformats.org/officeDocument/2006/relationships/hyperlink" Target="https://ec.europa.eu/regional_policy/sources/docoffic/official/reports/cohesion7/7cr.pdf" TargetMode="External"/><Relationship Id="rId16" Type="http://schemas.openxmlformats.org/officeDocument/2006/relationships/hyperlink" Target="https://ec.europa.eu/health/amr/sites/amr/files/amr_action_plan_2017_en.pdf" TargetMode="External"/><Relationship Id="rId20" Type="http://schemas.openxmlformats.org/officeDocument/2006/relationships/hyperlink" Target="http://sustain.stanford.edu/crop-yield-analysis" TargetMode="External"/><Relationship Id="rId1" Type="http://schemas.openxmlformats.org/officeDocument/2006/relationships/hyperlink" Target="https://www.un.org/press/en/2015/sgsm17111.doc.htm" TargetMode="External"/><Relationship Id="rId6" Type="http://schemas.openxmlformats.org/officeDocument/2006/relationships/hyperlink" Target="https://www.footprintnetwork.org/our-work/ecological-footprint/" TargetMode="External"/><Relationship Id="rId11" Type="http://schemas.openxmlformats.org/officeDocument/2006/relationships/hyperlink" Target="https://eur-lex.europa.eu/legal-content/MT/TXT/?uri=CELEX%3A32013D1386" TargetMode="External"/><Relationship Id="rId24" Type="http://schemas.openxmlformats.org/officeDocument/2006/relationships/hyperlink" Target="https://ec.europa.eu/info/publications/180524-proposal-sustainable-finance_en" TargetMode="External"/><Relationship Id="rId5" Type="http://schemas.openxmlformats.org/officeDocument/2006/relationships/hyperlink" Target="https://ec.europa.eu/info/sites/info/files/economy-finance/ip089_en_0.pdf" TargetMode="External"/><Relationship Id="rId15" Type="http://schemas.openxmlformats.org/officeDocument/2006/relationships/hyperlink" Target="https://ec.europa.eu/commission/publications/natural-resources-and-environment" TargetMode="External"/><Relationship Id="rId23" Type="http://schemas.openxmlformats.org/officeDocument/2006/relationships/hyperlink" Target="http://ec.europa.eu/competition/state_aid/scoreboard/index_mt.html" TargetMode="External"/><Relationship Id="rId28" Type="http://schemas.openxmlformats.org/officeDocument/2006/relationships/hyperlink" Target="https://ec.europa.eu/info/strategy/international-strategies/global-topics/sustainable-development-goals/multi-stakeholder-platform-sdgs_en" TargetMode="External"/><Relationship Id="rId10" Type="http://schemas.openxmlformats.org/officeDocument/2006/relationships/hyperlink" Target="https://eige.europa.eu/news-and-events/news/gender-equality-index-2017-progress-snails-pace" TargetMode="External"/><Relationship Id="rId19" Type="http://schemas.openxmlformats.org/officeDocument/2006/relationships/hyperlink" Target="https://ec.europa.eu/growth/tools-databases/dem/monitor/sites/default/files/DTM_AI%20USA-China-EU%20plans%20for%20AI%20v5.pdf" TargetMode="External"/><Relationship Id="rId4" Type="http://schemas.openxmlformats.org/officeDocument/2006/relationships/hyperlink" Target="https://www.youthforum.org/youth-progress-index" TargetMode="External"/><Relationship Id="rId9" Type="http://schemas.openxmlformats.org/officeDocument/2006/relationships/hyperlink" Target="http://www.fao.org/3/a-i6106e.pdf" TargetMode="External"/><Relationship Id="rId14" Type="http://schemas.openxmlformats.org/officeDocument/2006/relationships/hyperlink" Target="http://www.fao.org/rural-employment/work-areas/green-jobs/en/" TargetMode="External"/><Relationship Id="rId22" Type="http://schemas.openxmlformats.org/officeDocument/2006/relationships/hyperlink" Target="https://ec.europa.eu/taxation_customs/business/company-tax/tax-good-governance/european-semester/tax-policies-european-union-survey_en" TargetMode="External"/><Relationship Id="rId27" Type="http://schemas.openxmlformats.org/officeDocument/2006/relationships/hyperlink" Target="https://ec.europa.eu/commission/priorities/democratic-change/better-regulation/task-force-subsidiarity-proportionality-and-doing-less-more-efficiently_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6A27E-E1B2-4008-B6FB-8494160DE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14263</Words>
  <Characters>102556</Characters>
  <Application>Microsoft Office Word</Application>
  <DocSecurity>0</DocSecurity>
  <Lines>1627</Lines>
  <Paragraphs>309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2019-01-29T16:58:00Z</dcterms:created>
  <dcterms:modified xsi:type="dcterms:W3CDTF">2019-02-01T11:51:00Z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Created using">
    <vt:lpwstr>LW 6.0.1, Build 20180503</vt:lpwstr>
  </property>
  <property fmtid="{D5CDD505-2E9C-101B-9397-08002B2CF9AE}" pid="6" name="Part">
    <vt:lpwstr>1</vt:lpwstr>
  </property>
  <property fmtid="{D5CDD505-2E9C-101B-9397-08002B2CF9AE}" pid="7" name="Total parts">
    <vt:lpwstr>1</vt:lpwstr>
  </property>
</Properties>
</file>