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FF2E557-3D41-4739-89AD-A5F74423B56F" style="width:450.75pt;height:395.2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Δελτίο συνοπτικής παρουσίασης</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Α. Ανάγκη ανάληψης δράσης</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Γιατί; Ποιο είναι το πρόβλημα;</w:t>
            </w:r>
          </w:p>
        </w:tc>
      </w:tr>
      <w:tr>
        <w:tc>
          <w:tcPr>
            <w:tcW w:w="10188" w:type="dxa"/>
            <w:tcBorders>
              <w:bottom w:val="single" w:sz="4" w:space="0" w:color="auto"/>
            </w:tcBorders>
            <w:shd w:val="clear" w:color="auto" w:fill="auto"/>
          </w:tcPr>
          <w:p>
            <w:pPr>
              <w:pStyle w:val="Text1"/>
              <w:spacing w:before="120" w:after="120"/>
              <w:ind w:left="0"/>
              <w:rPr>
                <w:rFonts w:ascii="Arial" w:eastAsiaTheme="minorHAnsi" w:hAnsi="Arial" w:cs="Arial"/>
                <w:noProof/>
                <w:sz w:val="20"/>
              </w:rPr>
            </w:pPr>
            <w:r>
              <w:rPr>
                <w:rFonts w:ascii="Arial" w:hAnsi="Arial"/>
                <w:noProof/>
                <w:sz w:val="20"/>
              </w:rPr>
              <w:t>Σύμφωνα με το άρθρο 22 του κανονισμού (ΕΕ) 2015/757 για την παρακολούθηση, την υποβολή εκθέσεων και επαλήθευση των εκπομπών διοξειδίου του άνθρακα από θαλάσσιες μεταφορές («κανονισμός ΠΥΕ της ΕΕ»), η Επιτροπή προτείνει να τροποποιηθεί ο κανονισμός ΠΥΕ της ΕΕ ώστε να ληφθεί δεόντως υπόψη το παγκόσμιο σύστημα συλλογής δεδομένων για την κατανάλωση μαζούτ από πλοία, το οποίο έχει καταρτίσει ο ΙΜΟ.</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Τι αναμένεται να επιτευχθεί με την παρούσα πρωτοβουλία;</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Στόχος είναι να διευκολυνθεί η αρμονική εφαρμογή των δύο συστημάτων ΠΥΕ, διατηρώντας παράλληλα τους στόχους του κανονισμού ΠΥΕ της ΕΕ, δηλ. να συνεχιστεί η συλλογή αξιόπιστων και εξακριβωμένων δεδομένων σχετικά με τις εκπομπές CO</w:t>
            </w:r>
            <w:r>
              <w:rPr>
                <w:rFonts w:ascii="Arial" w:hAnsi="Arial"/>
                <w:noProof/>
                <w:sz w:val="20"/>
                <w:vertAlign w:val="subscript"/>
              </w:rPr>
              <w:t>2</w:t>
            </w:r>
            <w:r>
              <w:rPr>
                <w:rFonts w:ascii="Arial" w:hAnsi="Arial"/>
                <w:noProof/>
                <w:sz w:val="20"/>
              </w:rPr>
              <w:t xml:space="preserve"> σε επίπεδο μεμονωμένου πλοίου ώστε να παρέχονται κίνητρα για την υιοθέτηση λύσεων όσον αφορά την ενεργειακή απόδοση και να τεκμηριώνονται οι μελλοντικές αποφάσεις για τη χάραξη πολιτικής.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Ποια είναι η προστιθέμενη αξία της δράσης σε επίπεδο ΕΕ;</w:t>
            </w:r>
          </w:p>
        </w:tc>
      </w:tr>
      <w:tr>
        <w:tc>
          <w:tcPr>
            <w:tcW w:w="10188" w:type="dxa"/>
            <w:tcBorders>
              <w:bottom w:val="single" w:sz="4" w:space="0" w:color="auto"/>
            </w:tcBorders>
            <w:shd w:val="clear" w:color="auto" w:fill="auto"/>
          </w:tcPr>
          <w:p>
            <w:pPr>
              <w:autoSpaceDE w:val="0"/>
              <w:autoSpaceDN w:val="0"/>
              <w:adjustRightInd w:val="0"/>
              <w:spacing w:after="120"/>
              <w:jc w:val="both"/>
              <w:rPr>
                <w:rFonts w:ascii="Arial" w:eastAsiaTheme="minorHAnsi" w:hAnsi="Arial" w:cs="Arial"/>
                <w:noProof/>
                <w:sz w:val="20"/>
                <w:szCs w:val="20"/>
              </w:rPr>
            </w:pPr>
            <w:r>
              <w:rPr>
                <w:rFonts w:ascii="Arial" w:eastAsiaTheme="minorHAnsi" w:hAnsi="Arial"/>
                <w:noProof/>
                <w:sz w:val="20"/>
              </w:rPr>
              <w:t>Με τη διατήρηση ενός ενιαίου συνόλου απαιτήσεων για ΠΥΕ σε επίπεδο Ένωσης, η προτεινόμενη δράση θα εξασφαλίσει τη συνεχιζόμενη συγκρισιμότητα και αξιοπιστία των δεδομένων σχετικά με τις εκπομπές CO</w:t>
            </w:r>
            <w:r>
              <w:rPr>
                <w:rFonts w:ascii="Arial" w:eastAsiaTheme="minorHAnsi" w:hAnsi="Arial"/>
                <w:noProof/>
                <w:sz w:val="20"/>
                <w:vertAlign w:val="subscript"/>
              </w:rPr>
              <w:t>2</w:t>
            </w:r>
            <w:r>
              <w:rPr>
                <w:rFonts w:ascii="Arial" w:eastAsiaTheme="minorHAnsi" w:hAnsi="Arial"/>
                <w:noProof/>
                <w:sz w:val="20"/>
              </w:rPr>
              <w:t xml:space="preserve"> από πλοία.</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Β. Λύσεις</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Ποιες νομοθετικές και μη νομοθετικές επιλογές πολιτικής εξετάστηκαν; Υπάρχει προτιμώμενη επιλογή ή όχι; Γιατί;</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eastAsiaTheme="minorHAnsi" w:hAnsi="Arial"/>
                <w:noProof/>
                <w:sz w:val="20"/>
              </w:rPr>
              <w:t>Παρότι το ενδεχόμενο της εναρμόνισης ως προς τη «διακυβέρνηση» και την «υποβολή εκθέσεων για το CO</w:t>
            </w:r>
            <w:r>
              <w:rPr>
                <w:rFonts w:ascii="Arial" w:eastAsiaTheme="minorHAnsi" w:hAnsi="Arial"/>
                <w:noProof/>
                <w:sz w:val="20"/>
                <w:vertAlign w:val="subscript"/>
              </w:rPr>
              <w:t>2</w:t>
            </w:r>
            <w:r>
              <w:rPr>
                <w:rFonts w:ascii="Arial" w:eastAsiaTheme="minorHAnsi" w:hAnsi="Arial"/>
                <w:noProof/>
                <w:sz w:val="20"/>
              </w:rPr>
              <w:t xml:space="preserve">» απορρίφθηκε ευθύς εξ αρχής ώστε να διατηρηθούν οι στόχοι του κανονισμού ΠΥΕ της ΕΕ, αξιολογήθηκαν τρεις επιλογές πολιτικής. Στην επιλογή 1 εξετάστηκε τι θα συμβεί εάν δεν αναληφθεί δράση. Στην επιλογή 2 αξιολογήθηκαν διαφορετικά σενάρια με γνώμονα τον εξορθολογισμό ώστε να μειωθεί ο διοικητικός φόρτος και να διασφαλιστούν οι στόχοι του κανονισμού ΠΥΕ της ΕΕ. Στην επιλογή 3 εξετάστηκε η πλήρης τεχνική εναρμόνιση των δύο συστημάτων.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Σε συνάρτηση με την επιλογή 2, η προτιμώμενη επιλογή είναι να εξορθολογιστούν τα δύο συστήματα όσον αφορά τους ορισμούς, τις παραμέτρους παρακολούθησης, τα σχέδια και τα υποδείγματα παρακολούθησης με στόχο να μειωθεί ο διοικητικός φόρτος, αλλά χωρίς να τροποποιηθούν οι απαιτήσεις που αφορούν τη διακυβέρνηση, το πεδίο εφαρμογής, την επαλήθευση, τη διαφάνεια και την υποβολή εκθέσεων για το CO</w:t>
            </w:r>
            <w:r>
              <w:rPr>
                <w:rFonts w:ascii="Arial" w:hAnsi="Arial"/>
                <w:noProof/>
                <w:sz w:val="20"/>
                <w:vertAlign w:val="subscript"/>
              </w:rPr>
              <w:t>2</w:t>
            </w:r>
            <w:r>
              <w:rPr>
                <w:rFonts w:ascii="Arial" w:hAnsi="Arial"/>
                <w:noProof/>
                <w:sz w:val="20"/>
              </w:rPr>
              <w:t xml:space="preserve">, ούτως ώστε να διατηρηθούν οι στόχοι του κανονισμού ΠΥΕ της ΕΕ.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Ποιος υποστηρίζει την κάθε επιλογή;</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Η επιλογή 2 συνάδει με τις προτεραιότητες που διατυπώθηκαν από τα περισσότερα ενδιαφερόμενα μέρη που συμμετείχαν στην ηλεκτρονική δημόσια διαβούλευση και τόνισαν την ανάγκη ευθυγράμμισης των τεχνικών πτυχών. Παράλληλα, η διατήρηση της προσέγγισης της ΕΕ σχετικά με την επαλήθευση και τη διαφάνεια συνάδει με τη θέση της κοινωνίας των πολιτών, της ακαδημαϊκής κοινότητας, των πολιτών και των κρατών μελών.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Γ. Επιπτώσεις της προτιμώμενης επιλογής</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Ποια είναι τα οφέλη της προτιμώμενης επιλογής (αν υπάρχει, ειδάλλως των κυριότερων επιλογών);</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Η προτιμώμενη επιλογή διατηρεί τα οφέλη του κανονισμού ΠΥΕ της ΕΕ όσον αφορά τις περιβαλλοντικές, κοινωνικές και οικονομικές επιπτώσεις και μειώνει τον διοικητικό φόρτο για τις επιχειρήσεις.</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Ποιο είναι το κόστος της προτιμώμενης επιλογής (αν υπάρχει, ειδάλλως των κυριότερων επιλογών);</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Η προτιμώμενη επιλογή, με τον εξορθολογισμό ορισμένων πτυχών των δύο συστημάτων ΠΥΕ, μειώνει τον διοικητικό φόρτο και τις συναφείς δαπάνες για τα πλοία που υποχρεούνται να υποβάλλουν εκθέσεις στο πλαίσιο αμφότερων των συστημάτων ΠΥΕ.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Πώς θα επηρεαστούν οι μεγάλες, οι μικρομεσαίες και οι πολύ μικρές επιχειρήσεις;</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Παρότι οι επιχειρήσεις που υπόκεινται σε αμφότερα τα συστήματα ΠΥΕ θα ωφεληθούν από τη μείωση του διοικητικού φόρτου, περίπου το 99 % των ΜΜΕ που δραστηριοποιούνται στις θαλάσσιες μεταφορές θα εξακολουθήσουν να μην επηρεάζονται, δεδομένου ότι τα πλοία με ολική χωρητικότητα κάτω των 5 000 τόνων δεν εμπίπτουν στο πεδίο εφαρμογής του κανονισμού ΠΥΕ της ΕΕ.</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Θα υπάρξουν σημαντικές επιπτώσεις στους εθνικούς προϋπολογισμούς και στις εθνικές διοικητικές αρχές;</w:t>
            </w:r>
          </w:p>
        </w:tc>
      </w:tr>
      <w:tr>
        <w:tc>
          <w:tcPr>
            <w:tcW w:w="10188" w:type="dxa"/>
            <w:shd w:val="clear" w:color="auto" w:fill="auto"/>
          </w:tcPr>
          <w:p>
            <w:pPr>
              <w:jc w:val="both"/>
              <w:rPr>
                <w:rFonts w:ascii="Arial" w:hAnsi="Arial" w:cs="Arial"/>
                <w:noProof/>
                <w:sz w:val="20"/>
                <w:szCs w:val="20"/>
              </w:rPr>
            </w:pPr>
            <w:r>
              <w:rPr>
                <w:rFonts w:ascii="Arial" w:hAnsi="Arial"/>
                <w:noProof/>
                <w:sz w:val="20"/>
              </w:rPr>
              <w:t>Δεν θα υπάρξουν σημαντικές επιπτώσεις στους εθνικούς προϋπολογισμούς και στις εθνικές διοικητικές αρχές, καθώς το σύστημα ΠΥΕ της ΕΕ βρίσκεται ήδη σε ισχύ. Ωστόσο, ενδέχεται να επηρεάσει τις υποχρεώσεις υποβολής εκθέσεων των κρατών σημαίας.</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Θα υπάρξουν άλλες σημαντικές επιπτώσεις;</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Δεν έχουν εντοπιστεί άλλες επιπτώσεις.</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Δ. Παρακολούθηση</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Πότε θα επανεξεταστεί η πολιτική;</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Προβλέπεται τακτική παρακολούθηση μέσω πληροφοριών που θα παρέχονται, ανά διετία, από τα κράτη μέλη σχετικά με σειρά δεικτών.</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018"/>
    <w:multiLevelType w:val="multilevel"/>
    <w:tmpl w:val="D124DAB6"/>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0?\u959?\u965? \u963?\u965?\u957?\u959?\u948?\u949?\u973?\u949?\u953? \u964?\u959? \u941?\u947?\u947?\u961?\u945?\u966?\u959?"/>
    <w:docVar w:name="LW_CORRIGENDUM" w:val="&lt;UNUSED&gt;"/>
    <w:docVar w:name="LW_COVERPAGE_EXISTS" w:val="True"/>
    <w:docVar w:name="LW_COVERPAGE_GUID" w:val="CFF2E557-3D41-4739-89AD-A5F74423B56F"/>
    <w:docVar w:name="LW_COVERPAGE_TYPE" w:val="1"/>
    <w:docVar w:name="LW_CROSSREFERENCE" w:val="{COM(2019) 38 final} - {SEC(2019) 20 final} - {SWD(2019) 10 final}"/>
    <w:docVar w:name="LW_DocType" w:val="NORMAL"/>
    <w:docVar w:name="LW_EMISSION" w:val="4.2.2019"/>
    <w:docVar w:name="LW_EMISSION_ISODATE" w:val="2019-02-04"/>
    <w:docVar w:name="LW_EMISSION_LOCATION" w:val="BRX"/>
    <w:docVar w:name="LW_EMISSION_PREFIX" w:val="Βρυξέλλες, "/>
    <w:docVar w:name="LW_EMISSION_SUFFIX" w:val=" "/>
    <w:docVar w:name="LW_ID_DOCTYPE_NONLW" w:val="CP-027"/>
    <w:docVar w:name="LW_LANGUE" w:val="EL"/>
    <w:docVar w:name="LW_LEVEL_OF_SENSITIVITY" w:val="Standard treatment"/>
    <w:docVar w:name="LW_NOM.INST" w:val="\u917?\u933?\u929?\u937?\u928?\u913?\u938?\u922?\u919? \u917?\u928?\u921?\u932?\u929?\u927?\u928?\u919?"/>
    <w:docVar w:name="LW_NOM.INST_JOINTDOC" w:val="&lt;EMPTY&gt;"/>
    <w:docVar w:name="LW_OBJETACTEPRINCIPAL.CP" w:val="\u947?\u953?\u945? \u964?\u951?\u957? \u964?\u961?\u959?\u960?\u959?\u960?\u959?\u943?\u951?\u963?\u951? \u964?\u959?\u965? \u954?\u945?\u957?\u959?\u957?\u953?\u963?\u956?\u959?\u973? (\u917?\u917?) 2015/757 \u974?\u963?\u964?\u949? \u957?\u945? \u955?\u951?\u966?\u952?\u949?\u943? \u948?\u949?\u972?\u957?\u964?\u969?\u962? \u965?\u960?\u972?\u968?\u951? \u964?\u959? \u960?\u945?\u947?\u954?\u972?\u963?\u956?\u953?\u959? \u963?\u973?\u963?\u964?\u951?\u956?\u945? \u963?\u965?\u955?\u955?\u959?\u947?\u942?\u962? \u948?\u949?\u948?\u959?\u956?\u941?\u957?\u969?\u957? \u947?\u953?\u945? \u964?\u951?\u957? \u954?\u945?\u964?\u945?\u957?\u940?\u955?\u969?\u963?\u951? \u956?\u945?\u950?\u959?\u973?\u964? \u945?\u960?\u972? \u960?\u955?\u959?\u943?\u945?"/>
    <w:docVar w:name="LW_PART_NBR" w:val="1"/>
    <w:docVar w:name="LW_PART_NBR_TOTAL" w:val="1"/>
    <w:docVar w:name="LW_REF.INST.NEW" w:val="SWD"/>
    <w:docVar w:name="LW_REF.INST.NEW_ADOPTED" w:val="final"/>
    <w:docVar w:name="LW_REF.INST.NEW_TEXT" w:val="(2019)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u917?\u915?\u915?\u929?\u913?\u934?\u927? \u917?\u929?\u915?\u913?\u931?\u921?\u913?\u931? \u932?\u937?\u925? \u933?\u928?\u919?\u929?\u917?\u931?\u921?\u937?\u925? \u932?\u919?\u931? \u917?\u928?\u921?\u932?\u929?\u927?\u928?\u919?\u931?_x000b__x000b_\u928?\u917?\u929?\u921?\u923?\u919?\u936?\u919? \u932?\u919?\u931? \u917?\u922?\u932?\u921?\u924?\u919?\u931?\u919?\u931? \u917?\u928?\u921?\u928?\u932?\u937?\u931?\u917?\u937?\u925?_x000b_"/>
    <w:docVar w:name="LW_TYPEACTEPRINCIPAL.CP" w:val="\u928?\u961?\u972?\u964?\u945?\u963?\u951? \u954?\u945?\u957?\u959?\u957?\u953?\u963?\u956?\u959?\u973? \u964?\u959?\u965? \u917?\u965?\u961?\u969?\u960?\u945?\u970?\u954?\u959?\u973? \u922?\u959?\u953?\u957?\u959?\u946?\u959?\u965?\u955?\u943?\u959?\u965? \u954?\u945?\u953?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l-G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paragraph" w:customStyle="1" w:styleId="Text1">
    <w:name w:val="Text 1"/>
    <w:basedOn w:val="Normal"/>
    <w:link w:val="Text1Char"/>
    <w:pPr>
      <w:spacing w:after="240"/>
      <w:ind w:left="482"/>
      <w:jc w:val="both"/>
    </w:pPr>
    <w:rPr>
      <w:szCs w:val="20"/>
    </w:rPr>
  </w:style>
  <w:style w:type="character" w:customStyle="1" w:styleId="Text1Char">
    <w:name w:val="Text 1 Char"/>
    <w:link w:val="Text1"/>
    <w:locke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l-G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paragraph" w:customStyle="1" w:styleId="Text1">
    <w:name w:val="Text 1"/>
    <w:basedOn w:val="Normal"/>
    <w:link w:val="Text1Char"/>
    <w:pPr>
      <w:spacing w:after="240"/>
      <w:ind w:left="482"/>
      <w:jc w:val="both"/>
    </w:pPr>
    <w:rPr>
      <w:szCs w:val="20"/>
    </w:rPr>
  </w:style>
  <w:style w:type="character" w:customStyle="1" w:styleId="Text1Char">
    <w:name w:val="Text 1 Char"/>
    <w:link w:val="Text1"/>
    <w:locke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228E3-FEEC-429F-8C93-CFCC37DE565D}">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673</Words>
  <Characters>3911</Characters>
  <Application>Microsoft Office Word</Application>
  <DocSecurity>0</DocSecurity>
  <Lines>66</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cp:lastPrinted>2016-12-05T13:32:00Z</cp:lastPrinted>
  <dcterms:created xsi:type="dcterms:W3CDTF">2018-11-28T09:25:00Z</dcterms:created>
  <dcterms:modified xsi:type="dcterms:W3CDTF">2019-01-29T12:40:00Z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y fmtid="{D5CDD505-2E9C-101B-9397-08002B2CF9AE}" pid="12" name="Last edited using">
    <vt:lpwstr>LW 6.0.1, Build 20180503</vt:lpwstr>
  </property>
  <property fmtid="{D5CDD505-2E9C-101B-9397-08002B2CF9AE}" pid="13" name="Created using">
    <vt:lpwstr>LW 6.0.1, Build 20180503</vt:lpwstr>
  </property>
</Properties>
</file>