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5AA28502-4A5A-47AD-B86A-B316260F0A1F" style="width:450.75pt;height:408.75pt">
            <v:imagedata r:id="rId11" o:title=""/>
          </v:shape>
        </w:pict>
      </w:r>
    </w:p>
    <w:bookmarkEnd w:id="0"/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ahoma" w:hAnsi="Tahoma"/>
                <w:b/>
                <w:noProof/>
                <w:sz w:val="22"/>
              </w:rPr>
              <w:lastRenderedPageBreak/>
              <w:t>Vezetői összefoglaló</w:t>
            </w:r>
          </w:p>
        </w:tc>
      </w:tr>
      <w:t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before="120" w:after="120"/>
              <w:jc w:val="both"/>
              <w:rPr>
                <w:rFonts w:ascii="Tahoma" w:hAnsi="Tahoma" w:cs="Tahoma"/>
                <w:noProof/>
                <w:color w:val="FFFFFF" w:themeColor="background1"/>
                <w:sz w:val="20"/>
                <w:szCs w:val="20"/>
              </w:rPr>
            </w:pP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A. A fellépés szükségessége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Miért? Milyen problémát kell megoldani?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1"/>
              <w:spacing w:before="120" w:after="120"/>
              <w:ind w:left="0"/>
              <w:rPr>
                <w:rFonts w:ascii="Arial" w:eastAsiaTheme="minorHAnsi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 tengeri közlekedésből eredő szén-dioxid-kibocsátások nyomon követéséről, jelentéséről és hitelesítéséről szóló (EU) 2015/757 rendeletet (a továbbiakban az angol rövidítés alapján: uniós MRV-rendelet) 22. cikke értelmében a Bizottság javasolja az uniós MRV-rendelet módosítását az IMO által a hajók fűtőolaj-fogyasztására vonatkozóan létrehozott globális adatgyűjtő rendszer megfelelő figyelembevétele érdekében.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Mi a kezdeményezés várható eredménye?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A cél a két nyomonkövetési, jelentési és hitelesítési (a továbbiakban az angol rövidítés alapján: MRV) rendszer harmonikus végrehajtásának elősegítése és egyúttal az uniós MRV-rendelet célkitűzések megőrzése, vagyis az egyes hajók szén-dioxid-kibocsátásával kapcsolatos megbízható és hitelesített adatok gyűjtése az energiahatékony megoldások elterjedésének ösztönzése és a jövőbeli szakpolitikai döntések megalapozása érdekében.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Milyen többletértéket képvisel az uniós szintű fellépés?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HAnsi" w:hAnsi="Arial"/>
                <w:noProof/>
                <w:sz w:val="20"/>
              </w:rPr>
              <w:t>Azáltal, hogy uniós szinten egyetlen MRV-követelményrendszert tart fenn, a javasolt fellépés biztosítani fogja, hogy a hajók szén-dioxid-kibocsátási adatai folyamatosan összehasonlíthatók és megbízhatók legyenek.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B. Megoldások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Milyen jogalkotási és nem jogalkotási szakpolitikai alternatívák merültek fel? Van-e előnyben részesített megoldás? Miért?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HAnsi" w:hAnsi="Arial"/>
                <w:noProof/>
                <w:sz w:val="20"/>
              </w:rPr>
              <w:t xml:space="preserve">Míg az „irányítás” és a „szén-dioxid-kibocsátás-jelentés” összehangolását első körben elvetettük az uniós MRV-rendelet célkitűzéseinek megőrzése végett, három szakpolitikai alternatíva értékelés tárgyát képezte. Az 1. alternatíva azt tükrözi, mi történne, ha nem kerülne sor semmilyen intézkedésre. A 2. alternatíva keretében különböző egyszerűsítési forgatókönyveket értékeltünk, amelyek az adminisztratív terhek csökkentésére és az uniós MRV-rendelet célkitűzéseinek biztosítására irányulnak. A 3. alternatíva mindkét rendszer teljes műszaki harmonizációját tükrözi. 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A 2. alternatívának megfelelően az előnyben részesített választási lehetőség a következő: az adminisztratív terhek csökkentése érdekében a két rendszert egyszerűsíteni kell a fogalommeghatározások, a nyomonkövetési paraméterek, valamint a nyomonkövetési tervek és formanyomtatványok vonatkozásában, mégpedig úgy, hogy az uniós MRV-rendelet célkitűzéseinek megőrzése érdekében ne érintse módosítás a rendszerek irányítását, hatályát, hitelesítését, átláthatóságát vagy szén-dioxid-kibocsátás-jelentési követelményeit. </w:t>
            </w:r>
          </w:p>
        </w:tc>
      </w:tr>
      <w:tr>
        <w:tc>
          <w:tcPr>
            <w:tcW w:w="10188" w:type="dxa"/>
            <w:shd w:val="clear" w:color="auto" w:fill="CCCCCC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Ki melyik alternatívát támogatja?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A 2. alternatíva összhangban van a nyilvános online konzultációban részt vevő érdekeltek többsége által kifejezett prioritásokkal, akik hangsúlyozták a technikai szempontok összehangolásának fontosságát. Ugyanakkor a hitelesítés és átláthatóság tekintetében alkalmazott uniós megközelítés fenntartása összhangban van a civil társadalom, a tudományos élet, a polgárok és a tagállamok álláspontjával.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C. Az előnyben részesített alternatíva hatásai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Melyek az előnyben részesített alternatíva (ha nincs ilyen, akkor a főbb lehetőségek) előnyei?</w:t>
            </w:r>
            <w:r>
              <w:rPr>
                <w:rFonts w:ascii="Tahoma" w:hAnsi="Tahoma"/>
                <w:noProof/>
                <w:sz w:val="20"/>
              </w:rPr>
              <w:t xml:space="preserve">                                    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Az előnyben részesített alternatíva megőrzi az uniós MRV-rendelet előnyeit a környezeti, társadalmi és gazdasági hatások tekintetében, és csökkenti a vállalatok adminisztratív terheit.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Milyen költségekkel jár az előnyben részesített alternatíva (ha nincs ilyen, akkor milyen költségekkel járnak a főbb lehetőségek)?</w:t>
            </w:r>
            <w:r>
              <w:rPr>
                <w:rFonts w:ascii="Tahoma" w:hAnsi="Tahoma"/>
                <w:noProof/>
                <w:sz w:val="20"/>
              </w:rPr>
              <w:t xml:space="preserve">                                   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A két MRV-rendszer egyes szempontjainak egyszerűsítésével az előnyben részesített alternatíva csökkenti az adminisztratív terheket és a járulékos költségeket azon hajók vonatkozásában, amelyek mindkét MRV-rendszer keretében kötelesek jelentést tenni.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Hogyan érinti a fellépés a vállalkozásokat, köztük a kis- és középvállalkozásokat és a mikrovállalkozásokat?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Míg az MRV-rendszerek által érintett vállalkozások számára előnyös lesz az adminisztratív terhek csökkenése, a tengeri szállítás területén tevékenykedő kkv-k mintegy 99 %-a továbbra sem lesz érintett, mivel a 5000 BT alatti hajók nem tartoznak az uniós MRV-rendelet hatálya alá.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Jelentős lesz-e a tagállamok költségvetésére és közigazgatására gyakorolt hatás?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 javaslat nem gyakorol jelentős hatást a nemzeti költségvetésekre és az igazgatásra, mivel az uniós MRV-rendszer már működik. Fokozhatja azonban a lobogó szerinti államok jelentési kötelezettségeit.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Lesznek-e egyéb jelentős hatások?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Nem kerültek azonosításra.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D. További lépések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Mikor kerül sor a szakpolitikai fellépés felülvizsgálatára?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A tagállamok által kétévente benyújtandó, több mutatóval kapcsolatos információk rendszeres nyomon követését tervezzük.</w:t>
            </w:r>
          </w:p>
        </w:tc>
      </w:tr>
    </w:tbl>
    <w:p>
      <w:pPr>
        <w:rPr>
          <w:noProof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018"/>
    <w:multiLevelType w:val="multilevel"/>
    <w:tmpl w:val="D124D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mely a következ\u337? dokumentumot kíséri"/>
    <w:docVar w:name="LW_CORRIGENDUM" w:val="&lt;UNUSED&gt;"/>
    <w:docVar w:name="LW_COVERPAGE_EXISTS" w:val="True"/>
    <w:docVar w:name="LW_COVERPAGE_GUID" w:val="5AA28502-4A5A-47AD-B86A-B316260F0A1F"/>
    <w:docVar w:name="LW_COVERPAGE_TYPE" w:val="1"/>
    <w:docVar w:name="LW_CROSSREFERENCE" w:val="{COM(2019) 38 final} - {SEC(2019) 20 final} - {SWD(2019) 10 final}"/>
    <w:docVar w:name="LW_DocType" w:val="NORMAL"/>
    <w:docVar w:name="LW_EMISSION" w:val="2019.2.4."/>
    <w:docVar w:name="LW_EMISSION_ISODATE" w:val="2019-02-04"/>
    <w:docVar w:name="LW_EMISSION_LOCATION" w:val="BRX"/>
    <w:docVar w:name="LW_EMISSION_PREFIX" w:val="Brüsszel, "/>
    <w:docVar w:name="LW_EMISSION_SUFFIX" w:val=" "/>
    <w:docVar w:name="LW_ID_DOCTYPE_NONLW" w:val="CP-02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az (EU) 2015/757 rendeletnek a hajó-f\u369?t\u337?olajfogyasztási globális adatgy\u369?jt\u337? rendszer megfelel\u337? figyelembevétele érdekében történ\u337? módosításáról"/>
    <w:docVar w:name="LW_PART_NBR" w:val="1"/>
    <w:docVar w:name="LW_PART_NBR_TOTAL" w:val="1"/>
    <w:docVar w:name="LW_REF.INST.NEW" w:val="SWD"/>
    <w:docVar w:name="LW_REF.INST.NEW_ADOPTED" w:val="final"/>
    <w:docVar w:name="LW_REF.INST.NEW_TEXT" w:val="(2019) 1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BIZOTTSÁGI SZOLGÁLATI MUNKADOKUMENTUM_x000b__x000b_A HATÁSVIZSGÁLAT VEZET\u336?I ÖSSZEFOGLALÓJA_x000b_"/>
    <w:docVar w:name="LW_TYPEACTEPRINCIPAL.CP" w:val="Javaslat_x000b_Az Európai Parlament és a Tanács rendelet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-E Fußnotenzeichen,number,SUPERS,Footnote Reference Superscript,EN Footnote Reference,-E Fuﬂnotenzeichen,-E Fuûnotenzeichen,Footnote number,stylish,Footnote symbol,(Footnote Reference),Footnote reference number,note TESI,BVI fnr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aliases w:val="-E Fußnotentext,Fußnotentext Ursprung,Fußnote,-E Fußnotentext1,-E Fußnotentext2,-E Fußnotentext3,Fußnotentextf,Footnote text,Fußnotentext Char1,Fußnotentext Char Char,Fußnotentext Char1 Char Char,Fußnotentext Cha,Footnote Te,Footnote"/>
    <w:basedOn w:val="Normal"/>
    <w:link w:val="FootnoteTextChar"/>
    <w:uiPriority w:val="99"/>
    <w:unhideWhenUsed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aliases w:val="-E Fußnotentext Char,Fußnotentext Ursprung Char,Fußnote Char,-E Fußnotentext1 Char,-E Fußnotentext2 Char,-E Fußnotentext3 Char,Fußnotentextf Char,Footnote text Char,Fußnotentext Char1 Char,Fußnotentext Char Char Char,Footnote Te Char"/>
    <w:basedOn w:val="DefaultParagraphFont"/>
    <w:link w:val="FootnoteText"/>
    <w:uiPriority w:val="99"/>
    <w:rPr>
      <w:rFonts w:ascii="Times New Roman" w:hAnsi="Times New Roman"/>
      <w:sz w:val="20"/>
      <w:szCs w:val="20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Text1">
    <w:name w:val="Text 1"/>
    <w:basedOn w:val="Normal"/>
    <w:link w:val="Text1Char"/>
    <w:pPr>
      <w:spacing w:after="240"/>
      <w:ind w:left="482"/>
      <w:jc w:val="both"/>
    </w:pPr>
    <w:rPr>
      <w:szCs w:val="20"/>
    </w:rPr>
  </w:style>
  <w:style w:type="character" w:customStyle="1" w:styleId="Text1Char">
    <w:name w:val="Text 1 Char"/>
    <w:link w:val="Text1"/>
    <w:locked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-E Fußnotenzeichen,number,SUPERS,Footnote Reference Superscript,EN Footnote Reference,-E Fuﬂnotenzeichen,-E Fuûnotenzeichen,Footnote number,stylish,Footnote symbol,(Footnote Reference),Footnote reference number,note TESI,BVI fnr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aliases w:val="-E Fußnotentext,Fußnotentext Ursprung,Fußnote,-E Fußnotentext1,-E Fußnotentext2,-E Fußnotentext3,Fußnotentextf,Footnote text,Fußnotentext Char1,Fußnotentext Char Char,Fußnotentext Char1 Char Char,Fußnotentext Cha,Footnote Te,Footnote"/>
    <w:basedOn w:val="Normal"/>
    <w:link w:val="FootnoteTextChar"/>
    <w:uiPriority w:val="99"/>
    <w:unhideWhenUsed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aliases w:val="-E Fußnotentext Char,Fußnotentext Ursprung Char,Fußnote Char,-E Fußnotentext1 Char,-E Fußnotentext2 Char,-E Fußnotentext3 Char,Fußnotentextf Char,Footnote text Char,Fußnotentext Char1 Char,Fußnotentext Char Char Char,Footnote Te Char"/>
    <w:basedOn w:val="DefaultParagraphFont"/>
    <w:link w:val="FootnoteText"/>
    <w:uiPriority w:val="99"/>
    <w:rPr>
      <w:rFonts w:ascii="Times New Roman" w:hAnsi="Times New Roman"/>
      <w:sz w:val="20"/>
      <w:szCs w:val="20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Text1">
    <w:name w:val="Text 1"/>
    <w:basedOn w:val="Normal"/>
    <w:link w:val="Text1Char"/>
    <w:pPr>
      <w:spacing w:after="240"/>
      <w:ind w:left="482"/>
      <w:jc w:val="both"/>
    </w:pPr>
    <w:rPr>
      <w:szCs w:val="20"/>
    </w:rPr>
  </w:style>
  <w:style w:type="character" w:customStyle="1" w:styleId="Text1Char">
    <w:name w:val="Text 1 Char"/>
    <w:link w:val="Text1"/>
    <w:locked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DCF41F10D214DBDDF7E1F5EB8F7C1" ma:contentTypeVersion="1" ma:contentTypeDescription="Create a new document." ma:contentTypeScope="" ma:versionID="4d11a2104eb79e191fab213970d36f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228E3-FEEC-429F-8C93-CFCC37DE565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588CBB-D78F-412D-9B35-4671E1A4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543</Words>
  <Characters>4104</Characters>
  <Application>Microsoft Office Word</Application>
  <DocSecurity>0</DocSecurity>
  <Lines>64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17</cp:revision>
  <cp:lastPrinted>2016-12-05T13:32:00Z</cp:lastPrinted>
  <dcterms:created xsi:type="dcterms:W3CDTF">2018-11-28T09:25:00Z</dcterms:created>
  <dcterms:modified xsi:type="dcterms:W3CDTF">2019-01-29T12:41:00Z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Order">
    <vt:r8>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NewReviewCycle">
    <vt:lpwstr/>
  </property>
  <property fmtid="{D5CDD505-2E9C-101B-9397-08002B2CF9AE}" pid="9" name="ContentTypeId">
    <vt:lpwstr>0x010100AB6DCF41F10D214DBDDF7E1F5EB8F7C1</vt:lpwstr>
  </property>
  <property fmtid="{D5CDD505-2E9C-101B-9397-08002B2CF9AE}" pid="10" name="TemplateUrl">
    <vt:lpwstr/>
  </property>
  <property fmtid="{D5CDD505-2E9C-101B-9397-08002B2CF9AE}" pid="11" name="Level of sensitivity">
    <vt:lpwstr>Standard treatment</vt:lpwstr>
  </property>
  <property fmtid="{D5CDD505-2E9C-101B-9397-08002B2CF9AE}" pid="12" name="Last edited using">
    <vt:lpwstr>LW 6.0.1, Build 20180503</vt:lpwstr>
  </property>
  <property fmtid="{D5CDD505-2E9C-101B-9397-08002B2CF9AE}" pid="13" name="Created using">
    <vt:lpwstr>LW 6.0.1, Build 20180503</vt:lpwstr>
  </property>
</Properties>
</file>