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3197E8-0FF5-403B-BD7C-610BA76A2DAD" style="width:450.75pt;height:395.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Kommenteeritud kokkuvõte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Vajadus meetmete järele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Miks? Mis on lahendamist vajav probleem?</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Komisjon teeb määruse (EL) nr 2015/757 (mis käsitleb meretranspordist pärit süsinikdioksiidi heitkoguste seiret, aruandlust ja kontrolli, edaspidi „ELi seire-, aruandlus- ja kontrollimäärus“) artikli 22 kohaselt ettepaneku muuta ELi seire-, aruandlus- ja kontrollimäärust, et võtta asjakohaselt arvesse IMO loodud laevade kütusekulu käsitlevat üleilmset andmekogumissüsteemi.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Mida selle algatusega loodetakse saavutada?</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Algatuse eesmärk on hõlbustada kahe seire-, aruandlus- ja kontrollisüsteemi ühtlustatud rakendamist, säilitades samal ajal ELi seire-, aruandlus- ja kontrollimääruse eesmärgid; see tähendab usaldusväärsete ja kontrollitud andmete jätkuvat kogumist iga üksiku laeva CO</w:t>
            </w:r>
            <w:r>
              <w:rPr>
                <w:rFonts w:ascii="Arial" w:hAnsi="Arial"/>
                <w:noProof/>
                <w:sz w:val="20"/>
                <w:vertAlign w:val="subscript"/>
              </w:rPr>
              <w:t>2</w:t>
            </w:r>
            <w:r>
              <w:rPr>
                <w:rFonts w:ascii="Arial" w:hAnsi="Arial"/>
                <w:noProof/>
                <w:sz w:val="20"/>
              </w:rPr>
              <w:t xml:space="preserve">-heite kohta, et stimuleerida energiatõhusust edendavate meetmete kasutuselevõttu ja koguda teavet, mille põhjal saab edaspidi poliitilisi otsuseid teha.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ELi tasandi meetmete lisaväärtus?</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Säilitades liidu tasandil ühtsed seire-, aruandlus- ja kontrollinõuded, tagatakse kavandatava meetmega, et laevade tekitatud CO</w:t>
            </w:r>
            <w:r>
              <w:rPr>
                <w:rFonts w:ascii="Arial" w:hAnsi="Arial"/>
                <w:noProof/>
                <w:sz w:val="20"/>
                <w:vertAlign w:val="subscript"/>
              </w:rPr>
              <w:t>2</w:t>
            </w:r>
            <w:r>
              <w:rPr>
                <w:rFonts w:ascii="Arial" w:eastAsiaTheme="minorHAnsi" w:hAnsi="Arial"/>
                <w:noProof/>
                <w:sz w:val="20"/>
              </w:rPr>
              <w:t>-heidet käsitlevad andmed jäävad võrreldavaks ja usaldusväärseks.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Lahendused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Milliseid seadusandlikke ja mitteseadusandlikke poliitikavariante on kaalutud? Kas on olemas eelistatud variant? Miks?</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noProof/>
                <w:sz w:val="20"/>
              </w:rPr>
            </w:pPr>
            <w:r>
              <w:rPr>
                <w:rFonts w:ascii="Arial" w:eastAsiaTheme="minorHAnsi" w:hAnsi="Arial"/>
                <w:noProof/>
                <w:sz w:val="20"/>
              </w:rPr>
              <w:t>Juhtimise ja CO</w:t>
            </w:r>
            <w:r>
              <w:rPr>
                <w:rFonts w:ascii="Arial" w:hAnsi="Arial"/>
                <w:noProof/>
                <w:sz w:val="20"/>
                <w:vertAlign w:val="subscript"/>
              </w:rPr>
              <w:t>2</w:t>
            </w:r>
            <w:r>
              <w:rPr>
                <w:rFonts w:ascii="Arial" w:eastAsiaTheme="minorHAnsi" w:hAnsi="Arial"/>
                <w:noProof/>
                <w:sz w:val="20"/>
              </w:rPr>
              <w:t xml:space="preserve">-heidet käsitleva aruandluse ühtlustamine jäeti algusest peale kõrvale, et säilitada ELi seire-, aruandlus- ja kontrollimääruse eesmärke, kuid hinnatud on kolme poliitikavarianti. 1. variant kajastas meetmete võtmata jätmisega kaasnevaid tagajärgi. 2. variant hõlmas meetmete lihtsustamise ja seostamise võimalusi, et vähendada halduskoormust ning tagada ELi seire-, aruandlus- ja kontrollimääruse eesmärkide saavutamine. 3. variant hõlmas kahe süsteemi täielikku tehnilist ühtlustamist. </w:t>
            </w:r>
          </w:p>
          <w:p>
            <w:pPr>
              <w:autoSpaceDE w:val="0"/>
              <w:autoSpaceDN w:val="0"/>
              <w:adjustRightInd w:val="0"/>
              <w:spacing w:after="120"/>
              <w:jc w:val="both"/>
              <w:rPr>
                <w:rFonts w:ascii="Arial" w:eastAsiaTheme="minorHAnsi" w:hAnsi="Arial"/>
                <w:noProof/>
                <w:sz w:val="20"/>
              </w:rPr>
            </w:pPr>
          </w:p>
          <w:p>
            <w:pPr>
              <w:autoSpaceDE w:val="0"/>
              <w:autoSpaceDN w:val="0"/>
              <w:adjustRightInd w:val="0"/>
              <w:spacing w:after="120"/>
              <w:jc w:val="both"/>
              <w:rPr>
                <w:rFonts w:ascii="Arial" w:hAnsi="Arial" w:cs="Arial"/>
                <w:noProof/>
                <w:sz w:val="20"/>
                <w:szCs w:val="20"/>
              </w:rPr>
            </w:pPr>
            <w:r>
              <w:rPr>
                <w:rFonts w:ascii="Arial" w:eastAsiaTheme="minorHAnsi" w:hAnsi="Arial"/>
                <w:noProof/>
                <w:sz w:val="20"/>
              </w:rPr>
              <w:t>Eelistatakse 2. variandi kohast lahendust, mis seisneb kahe süsteemi ühtlustamises seoses mõistete, seireparameetrite ja seirekavade ning vormidega, et vähendada halduskoormust</w:t>
            </w:r>
            <w:r>
              <w:rPr>
                <w:rFonts w:ascii="Arial" w:hAnsi="Arial"/>
                <w:noProof/>
                <w:sz w:val="20"/>
              </w:rPr>
              <w:t>; samas ei muudeta selle variandi puhul nõudeid, mis on seotud juhtimise, kohaldamisala, kontrolli ja läbipaistvusega ning CO</w:t>
            </w:r>
            <w:r>
              <w:rPr>
                <w:rFonts w:ascii="Arial" w:hAnsi="Arial"/>
                <w:noProof/>
                <w:sz w:val="20"/>
                <w:vertAlign w:val="subscript"/>
              </w:rPr>
              <w:t>2</w:t>
            </w:r>
            <w:r>
              <w:rPr>
                <w:rFonts w:ascii="Arial" w:hAnsi="Arial"/>
                <w:noProof/>
                <w:sz w:val="20"/>
              </w:rPr>
              <w:t xml:space="preserve">-heidet käsitleva aruandlusega, et säilitada ELi seire-, aruandlus- ja kontrollimääruse eesmärgid.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Kes millist varianti toetab?</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2. variant on kooskõlas prioriteetidega, mida väljendas enamik veebipõhises avalikus konsultatsioonis osalenud sidusrühmi, kes rõhutasid tehniliste aspektide ühtlustamise vajadust. Samas on ELi lähenemisviisi säilitamine seoses läbipaistvuse ja kontrolliga kooskõlas kodanikuühiskonna, akadeemiliste ringkondade, kodanike ja liikmesriikide seisukohtadega.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Eelistatud poliitikavariandi mõju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eelised?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Eelistatud variandiga säilitatakse ELi seire-, aruandlus- ja kontrollisüsteemist tulenev kasulik sotsiaal-, majandus- ja keskkonnamõju ning vähendatakse äriühingute halduskoormust.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kulud?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Kahe seire-, aruandlus- ja kontrollisüsteemi mõningate aspektide ühtlustamisega vähendab eelistatud variant halduskoormust ja sellega seotud kulusid selliste laevade jaoks, mille kohta tuleb esitada andmed mõlema seire-, aruandlus- ja kontrollisüsteemi raames.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mõju ettevõtjatele, VKEdele ja mikroettevõtjatele?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Kui ettevõtjate jaoks, kelle suhtes kohaldatakse mõlemat seire-, aruandlus- ja kontrollisüsteemi, väheneb halduskoormus, ei mõjuta meede ka edaspidi ligikaudu 99 % meretranspordiga tegelevatest VKEdest, sest laevad kogumahutavusega alla 5000 tonni ei kuulu ELi seire-, aruandlus- ja kontrollimääruse kohaldamisalasse.</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Kas on ette näha märkimisväärset mõju riigieelarvetele ja ametiasutustele?</w:t>
            </w:r>
          </w:p>
        </w:tc>
      </w:tr>
      <w:tr>
        <w:tc>
          <w:tcPr>
            <w:tcW w:w="10188" w:type="dxa"/>
            <w:shd w:val="clear" w:color="auto" w:fill="auto"/>
          </w:tcPr>
          <w:p>
            <w:pPr>
              <w:jc w:val="both"/>
              <w:rPr>
                <w:rFonts w:ascii="Arial" w:hAnsi="Arial" w:cs="Arial"/>
                <w:noProof/>
                <w:sz w:val="20"/>
                <w:szCs w:val="20"/>
              </w:rPr>
            </w:pPr>
            <w:r>
              <w:rPr>
                <w:rFonts w:ascii="Arial" w:hAnsi="Arial"/>
                <w:noProof/>
                <w:sz w:val="20"/>
              </w:rPr>
              <w:t>Puudub märkimisväärne mõju riigieelarvetele ja ametiasutustele, kuna ELi seire-, aruandlus- ja kontrollisüsteem on juba olemas. Meede võib siiski suurendada lipuriikide aruandluskohustusi.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Kas on oodata muud olulist mõju?</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Sellist mõju ei ole kindlaks tehtud.</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Järelmeetmed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Millal poliitika läbi vaadatakse?</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Nähakse ette korrapärane järelevalve, mille raames liikmesriigid esitavad iga kahe aasta tagant teavet mitmesuguste näitajate kohta.</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573197E8-0FF5-403B-BD7C-610BA76A2DAD"/>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Brüssel,"/>
    <w:docVar w:name="LW_EMISSION_SUFFIX" w:val=" "/>
    <w:docVar w:name="LW_ID_DOCTYPE_NONLW" w:val="CP-027"/>
    <w:docVar w:name="LW_LANGUE" w:val="ET"/>
    <w:docVar w:name="LW_LEVEL_OF_SENSITIVITY" w:val="Standard treatment"/>
    <w:docVar w:name="LW_NOM.INST" w:val="EUROOPA KOMISJON"/>
    <w:docVar w:name="LW_NOM.INST_JOINTDOC" w:val="&lt;EMPTY&gt;"/>
    <w:docVar w:name="LW_OBJETACTEPRINCIPAL.CP" w:val="millega muudetakse määrust (EL) 2015/757, et võtta asjakohaselt arvesse laevade kütusekulu käsitlevat üleilmset andmekogumissüsteemi"/>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497</Words>
  <Characters>3818</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2016-12-05T13:32:00Z</cp:lastPrinted>
  <dcterms:created xsi:type="dcterms:W3CDTF">2018-11-28T09:25:00Z</dcterms:created>
  <dcterms:modified xsi:type="dcterms:W3CDTF">2019-01-29T12:40:00Z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