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1A5CEBA-D1B5-4DA7-AE40-A616336B4F2A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</w:t>
      </w:r>
    </w:p>
    <w:p>
      <w:pPr>
        <w:rPr>
          <w:noProof/>
        </w:rPr>
      </w:pPr>
      <w:r>
        <w:rPr>
          <w:noProof/>
        </w:rPr>
        <w:t>V příloze II se část A mění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Bod 1 se mění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 písmenu a) se druhá věta nahrazuje tímto: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„Doba plavby se vypočte jako souhrnná doba trvání plavby lodi s vlastním pohonem;“;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 písmenu b) se první věta nahrazuje tímto:</w:t>
      </w:r>
    </w:p>
    <w:p>
      <w:pPr>
        <w:pStyle w:val="Text2"/>
        <w:rPr>
          <w:noProof/>
        </w:rPr>
      </w:pPr>
      <w:r>
        <w:rPr>
          <w:noProof/>
        </w:rPr>
        <w:t>„vzdálenost, kterou loď urazila, se vypočte jako vzdálenost nad zemí.“;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2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1A5CEBA-D1B5-4DA7-AE40-A616336B4F2A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kterým se m\u283?ní na\u345?ízení (EU) 2015/757 za ú\u269?elem nále\u382?itého zohledn\u283?ní celosv\u283?tového systému shroma\u382?\u271?ování údaj\u367? o spot\u345?eb\u283? topných olej\u367? u lodí "/>
    <w:docVar w:name="LW_OBJETACTEPRINCIPAL.CP" w:val="kterým se m\u283?ní na\u345?ízení (EU) 2015/757 za ú\u269?elem nále\u382?itého zohledn\u283?ní celosv\u283?tového systému shroma\u382?\u271?ování údaj\u367? o spot\u345?eb\u283? topných olej\u367? u lodí 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na\u345?ízení Evropského parlamentu a Rady,"/>
    <w:docVar w:name="LW_TYPEACTEPRINCIPAL.CP" w:val="návrhu na\u345?ízení Evropské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56</Words>
  <Characters>265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HOUBAR Anne (CLIMA)</dc:creator>
  <cp:lastModifiedBy>DIGIT/C6</cp:lastModifiedBy>
  <cp:revision>9</cp:revision>
  <cp:lastPrinted>2018-11-21T07:44:00Z</cp:lastPrinted>
  <dcterms:created xsi:type="dcterms:W3CDTF">2019-01-25T07:53:00Z</dcterms:created>
  <dcterms:modified xsi:type="dcterms:W3CDTF">2019-01-29T12:42:00Z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