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DCF8B2D-49B3-4955-8EC0-8839F4445064" style="width:450.75pt;height:42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EEZ Apvienotās komitejas lēmuma projekta (pievienots Padomes lēmuma priekšlikumam) mērķis ir grozīt EEZ līguma IX pielikumu (Finanšu pakalpojumi), lai iekļautu EEZ līgumā Kapitāla prasību Regulu (ES) Nr. 575/2013 un Direktīvu 2013/36/ES</w:t>
      </w:r>
      <w:r>
        <w:rPr>
          <w:rStyle w:val="FootnoteReference"/>
          <w:noProof/>
        </w:rPr>
        <w:footnoteReference w:id="1"/>
      </w:r>
      <w:r>
        <w:rPr>
          <w:noProof/>
        </w:rPr>
        <w:t>.</w:t>
      </w:r>
    </w:p>
    <w:p>
      <w:pPr>
        <w:pBdr>
          <w:top w:val="nil"/>
          <w:left w:val="nil"/>
          <w:bottom w:val="nil"/>
          <w:right w:val="nil"/>
          <w:between w:val="nil"/>
          <w:bar w:val="nil"/>
        </w:pBdr>
        <w:spacing w:before="0" w:after="240"/>
        <w:rPr>
          <w:rFonts w:eastAsia="Arial Unicode MS"/>
          <w:noProof/>
        </w:rPr>
      </w:pPr>
      <w:r>
        <w:rPr>
          <w:noProof/>
        </w:rPr>
        <w:t>Pielāgojumi, kas izklāstīti pievienotā EEZ Apvienotās komitejas lēmuma projektā, pārsniedz to, ko var uzskatīt tikai par tehniskiem pielāgojumiem Padomes Regulas Nr. 2894/94 nozīmē. Tādējādi Savienības nostāju nosaka Padome.</w:t>
      </w:r>
    </w:p>
    <w:p>
      <w:pPr>
        <w:pStyle w:val="ManualHeading2"/>
        <w:rPr>
          <w:rFonts w:eastAsia="Arial Unicode MS"/>
          <w:noProof/>
          <w:color w:val="000000"/>
          <w:u w:color="000000"/>
          <w:bdr w:val="nil"/>
        </w:rPr>
      </w:pPr>
      <w:r>
        <w:rPr>
          <w:noProof/>
          <w:color w:val="000000"/>
          <w:u w:color="000000"/>
          <w:bdr w:val="nil"/>
        </w:rPr>
        <w:t>•</w:t>
      </w:r>
      <w:r>
        <w:rPr>
          <w:noProof/>
        </w:rPr>
        <w:tab/>
        <w:t>Saskanība ar esošajiem rīcībpolitikas noteikumiem konkrētās rīcībpolitikas jomā</w:t>
      </w:r>
    </w:p>
    <w:p>
      <w:pPr>
        <w:pBdr>
          <w:top w:val="nil"/>
          <w:left w:val="nil"/>
          <w:bottom w:val="nil"/>
          <w:right w:val="nil"/>
          <w:between w:val="nil"/>
          <w:bar w:val="nil"/>
        </w:pBdr>
        <w:spacing w:before="0" w:after="240"/>
        <w:rPr>
          <w:noProof/>
        </w:rPr>
      </w:pPr>
      <w:r>
        <w:rPr>
          <w:noProof/>
        </w:rPr>
        <w:t xml:space="preserve">Pievienotajā EEZ Apvienotās komitejas lēmuma projektā jau spēkā esošās ES politikas darbības joma paplašināta, aptverot arī EEZ EBTA valstis (Norvēģiju, Islandi un Lihtenšteinu). </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rPr>
      </w:pPr>
      <w:r>
        <w:rPr>
          <w:noProof/>
        </w:rPr>
        <w:t xml:space="preserve">ES </w:t>
      </w:r>
      <w:r>
        <w:rPr>
          <w:i/>
          <w:noProof/>
        </w:rPr>
        <w:t>acquis</w:t>
      </w:r>
      <w:r>
        <w:rPr>
          <w:noProof/>
        </w:rPr>
        <w:t xml:space="preserve"> piemērošanas paplašināšana, iekļaujot to EEZ līgumā, lai attiecinātu to arī uz EEZ EBTA valstīm, tiek veikta saskaņā ar minētā līguma mērķiem un principiem, cenšoties izveidot dinamisku un viendabīgu Eiropas Ekonomikas zonu, kas balstās uz kopīgiem noteikumiem un vienādiem konkurences nosacījumiem.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EEZ līgumā iekļaujamie tiesību akti ir balstīti uz Līguma par Eiropas Savienības darbību 114. pantu.</w:t>
      </w:r>
    </w:p>
    <w:p>
      <w:pPr>
        <w:pBdr>
          <w:top w:val="nil"/>
          <w:left w:val="nil"/>
          <w:bottom w:val="nil"/>
          <w:right w:val="nil"/>
          <w:between w:val="nil"/>
          <w:bar w:val="nil"/>
        </w:pBdr>
        <w:spacing w:before="0" w:after="240"/>
        <w:rPr>
          <w:noProof/>
        </w:rPr>
      </w:pPr>
      <w:r>
        <w:rPr>
          <w:noProof/>
        </w:rPr>
        <w:t xml:space="preserve">Padomes Regulas (EK) Nr. 2894/94 par EEZ līguma īstenošanas kārtību 1. panta 3. punktā ir paredzēts, ka Padome pēc Komisijas priekšlikuma nosaka nostāju, kas par šādiem lēmumiem ir jāpieņem Savienības vārdā. </w:t>
      </w:r>
    </w:p>
    <w:p>
      <w:pPr>
        <w:pBdr>
          <w:top w:val="nil"/>
          <w:left w:val="nil"/>
          <w:bottom w:val="nil"/>
          <w:right w:val="nil"/>
          <w:between w:val="nil"/>
          <w:bar w:val="nil"/>
        </w:pBdr>
        <w:spacing w:before="0" w:after="240"/>
        <w:rPr>
          <w:noProof/>
        </w:rPr>
      </w:pPr>
      <w:r>
        <w:rPr>
          <w:noProof/>
        </w:rPr>
        <w:t xml:space="preserve">EĀDD sadarbībā ar Komisijas dienestiem iesniedz EEZ Apvienotās komitejas lēmumu projektus, lai Padome tos pieņemtu kā Savienības nostāju. EĀDD cer pēc iespējas drīz iesniegt EEZ Apvienotajai komitejai minētos dokumentus. </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noProof/>
        </w:rPr>
      </w:pPr>
      <w:r>
        <w:rPr>
          <w:noProof/>
        </w:rPr>
        <w:t xml:space="preserve">Priekšlikums ir saskaņā ar subsidiaritātes principu šāda iemesla dēļ. </w:t>
      </w:r>
    </w:p>
    <w:p>
      <w:pPr>
        <w:pBdr>
          <w:top w:val="nil"/>
          <w:left w:val="nil"/>
          <w:bottom w:val="nil"/>
          <w:right w:val="nil"/>
          <w:between w:val="nil"/>
          <w:bar w:val="nil"/>
        </w:pBdr>
        <w:spacing w:before="0" w:after="240"/>
        <w:rPr>
          <w:noProof/>
        </w:rPr>
      </w:pPr>
      <w:r>
        <w:rPr>
          <w:noProof/>
        </w:rPr>
        <w:lastRenderedPageBreak/>
        <w:t xml:space="preserve">Šā priekšlikuma mērķi, proti, nodrošināt iekšējā tirgus viendabīgumu, nevar pietiekami labi sasniegt dalībvalstīs, tāpēc tā ietekmes dēļ to var labāk sasniegt Savienības līmenī. </w:t>
      </w:r>
    </w:p>
    <w:p>
      <w:pPr>
        <w:pBdr>
          <w:top w:val="nil"/>
          <w:left w:val="nil"/>
          <w:bottom w:val="nil"/>
          <w:right w:val="nil"/>
          <w:between w:val="nil"/>
          <w:bar w:val="nil"/>
        </w:pBdr>
        <w:spacing w:before="0" w:after="240"/>
        <w:rPr>
          <w:noProof/>
        </w:rPr>
      </w:pPr>
      <w:r>
        <w:rPr>
          <w:noProof/>
        </w:rPr>
        <w:t xml:space="preserve">Process ES </w:t>
      </w:r>
      <w:r>
        <w:rPr>
          <w:i/>
          <w:noProof/>
        </w:rPr>
        <w:t>acquis</w:t>
      </w:r>
      <w:r>
        <w:rPr>
          <w:noProof/>
        </w:rPr>
        <w:t xml:space="preserve"> iekļaušanai EEZ līgumā tiek veikts saskaņā ar 1994. gada 28. novembra Padomes Regulu (EK) Nr. 2894/94 par Eiropas Ekonomikas zonas līguma īstenošanas kārtību, kas apstiprina šo pieeju. </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 xml:space="preserve">Saskaņā ar proporcionalitātes principu šajā priekšlikumā paredz vienīgi tos pasākumus, kas ir vajadzīgi minētā mērķa sasniegšanai. </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noProof/>
        </w:rPr>
      </w:pPr>
      <w:r>
        <w:rPr>
          <w:noProof/>
        </w:rPr>
        <w:t>Saskaņā ar EEZ līguma 98. pantu izvēlētais juridiskais instruments ir EEZ Apvienotās komitejas lēmums. EEZ Apvienotā komiteja nodrošina EEZ līguma faktisko īstenošanu un darbību. Lai sasniegtu šo mērķi, tā pieņem lēmumus EEZ līgumā paredzētajos gadījumos.</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 xml:space="preserve">Iepriekš minētās regulas iekļaušanai EEZ līgumā nav paredzama ietekme uz budžetu.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Detalizēts konkrētu priekšlikuma noteikumu skaidrojums</w:t>
      </w:r>
    </w:p>
    <w:p>
      <w:pPr>
        <w:rPr>
          <w:i/>
          <w:noProof/>
          <w:u w:val="single"/>
        </w:rPr>
      </w:pPr>
      <w:r>
        <w:rPr>
          <w:i/>
          <w:noProof/>
          <w:u w:val="single"/>
        </w:rPr>
        <w:t>Ierosināto pircēju, kas ir nerezidenti, prudenciālais novērtējums (kopīga deklarācija pie Apvienotās komitejas lēmuma) saistībā ar Direktīvu 2013/36/ES</w:t>
      </w:r>
    </w:p>
    <w:p>
      <w:pPr>
        <w:rPr>
          <w:noProof/>
        </w:rPr>
      </w:pPr>
      <w:r>
        <w:rPr>
          <w:noProof/>
        </w:rPr>
        <w:t>EEZ līguma mērķis principā nav reglamentēt līgumslēdzēju pušu attiecības ar trešām valstīm (skatīt jo īpaši EEZ līguma preambulas 16. apsvērumu). EEZ līgums neparedz kapitāla plūsmu liberalizāciju vai tiesības attiecībā uz brīvību veikt uzņēmējdarbību vai līdzdalību uzņēmumu kapitālā attiecībā uz nerezidentiem (skatīt EEZ līguma 31. un 34., 40. un 124. pantu).</w:t>
      </w:r>
    </w:p>
    <w:p>
      <w:pPr>
        <w:rPr>
          <w:noProof/>
        </w:rPr>
      </w:pPr>
      <w:r>
        <w:rPr>
          <w:noProof/>
        </w:rPr>
        <w:t>Kopīgā deklarācija pie Apvienotās komitejas lēmuma tādējādi norāda, ka līgumslēdzējām pusēm ir kopīga izpratne, ka Direktīvas 2013/36/ES iekļaušana EEZ līgumā neskar vispārēji piemērojamus valsts noteikumus attiecībā uz ārvalstu tiešo ieguldījumu pārbaudi saistībā ar drošību vai sabiedrisko kārtību.</w:t>
      </w:r>
    </w:p>
    <w:p>
      <w:pPr>
        <w:rPr>
          <w:i/>
          <w:noProof/>
          <w:u w:val="single"/>
        </w:rPr>
      </w:pPr>
      <w:r>
        <w:rPr>
          <w:i/>
          <w:noProof/>
          <w:u w:val="single"/>
        </w:rPr>
        <w:t xml:space="preserve">Dažu Islandes publisko kredītiestāžu atbrīvojums (e) pielāgojums saistībā ar Direktīvu 2013/36/ES) </w:t>
      </w:r>
    </w:p>
    <w:p>
      <w:pPr>
        <w:rPr>
          <w:noProof/>
        </w:rPr>
      </w:pPr>
      <w:r>
        <w:rPr>
          <w:noProof/>
        </w:rPr>
        <w:t>Ar KPD IV 2. panta 5. punktu atsevišķas publiskas iestādes ir atbrīvotas no direktīvas darbības jomas. Saskaņā ar šo noteikumu trīs Islandes iestādes ir jāatbrīvo no KPD IV.</w:t>
      </w:r>
    </w:p>
    <w:p>
      <w:pPr>
        <w:spacing w:before="0"/>
        <w:rPr>
          <w:rFonts w:eastAsia="Times New Roman"/>
          <w:noProof/>
          <w:szCs w:val="24"/>
        </w:rPr>
      </w:pPr>
      <w:r>
        <w:rPr>
          <w:i/>
          <w:noProof/>
        </w:rPr>
        <w:t>Byggðastofnun</w:t>
      </w:r>
      <w:r>
        <w:rPr>
          <w:noProof/>
        </w:rPr>
        <w:t xml:space="preserve"> (Islandes Reģionālās attīstības institūts) ir neatkarīga iestāde, kas pieder Islandes valstij. Tās galvenais uzdevums ir veicināt reģionālo attīstību, īstenojot valdības reģionālās stratēģijas. Tās darbību mērķis ir stiprināt apdzīvotās vietas lauku apvidos, atbalstot dzīvotspējīgus ilgtermiņa projektus ar dažādu ekonomisko pamatu. Institūts atbalsta un stiprina vietējo attīstību, nodrošinot kredītu un cita veida finansiālo atbalstu, lai uzlabotu </w:t>
      </w:r>
      <w:r>
        <w:rPr>
          <w:noProof/>
        </w:rPr>
        <w:lastRenderedPageBreak/>
        <w:t>ekonomiskos un dzīves apstākļus, jo īpaši reģionos, kurus apdraud iedzīvotāju skaita samazināšanās. Institūts sniedz papildu finansiālu atbalstu, piešķirot aizdevumus ar nosacījumiem uzņēmumiem, privātpersonām un pašvaldībām, tādējādi dodot iespēju piedalīties vispārējā ekonomikas attīstībā un stimulēt inovāciju. Institūta pienākumus garantē Islandes valsts.</w:t>
      </w:r>
      <w:r>
        <w:rPr>
          <w:i/>
          <w:noProof/>
        </w:rPr>
        <w:t>Íbúðalánasjóður</w:t>
      </w:r>
      <w:r>
        <w:rPr>
          <w:noProof/>
        </w:rPr>
        <w:t xml:space="preserve"> ir </w:t>
      </w:r>
      <w:r>
        <w:rPr>
          <w:i/>
          <w:noProof/>
        </w:rPr>
        <w:t>Byggingarsjóðir ríkisins</w:t>
      </w:r>
      <w:r>
        <w:rPr>
          <w:noProof/>
        </w:rPr>
        <w:t xml:space="preserve"> tiesībpārņēmējs, kas saskaņā ar EEZ līguma IX pielikuma 14. punkta a) apakšpunktu bija atbrīvots no Direktīvas 2006/48/EK darbības jomas.</w:t>
      </w:r>
    </w:p>
    <w:p>
      <w:pPr>
        <w:spacing w:before="0"/>
        <w:rPr>
          <w:rFonts w:eastAsia="Times New Roman"/>
          <w:noProof/>
          <w:szCs w:val="24"/>
        </w:rPr>
      </w:pPr>
      <w:r>
        <w:rPr>
          <w:i/>
          <w:noProof/>
        </w:rPr>
        <w:t>Lánasjóður sveitarfélaga ohf.</w:t>
      </w:r>
      <w:r>
        <w:rPr>
          <w:noProof/>
        </w:rPr>
        <w:t xml:space="preserve"> ir īpašam nolūkam dibināta kredītiestāde. Iestādes īpašumtiesības ir ar likumu noteiktas pašvaldībām (pašlaik 75 pašvaldībām ir īpašumtiesības). Iestādes mērķis ir ar likumu ierobežots – sniegt kredītu pašvaldībām un to pilnībā piederošām iestādēm, un tikai attiecībā uz ieguldījumiem, kuriem ir plaša ekonomiskā nozīme. Iestāde ir analoga Dānijas </w:t>
      </w:r>
      <w:r>
        <w:rPr>
          <w:i/>
          <w:noProof/>
        </w:rPr>
        <w:t>KommuneKredit</w:t>
      </w:r>
      <w:r>
        <w:rPr>
          <w:noProof/>
        </w:rPr>
        <w:t>, kas saskaņā ar 2. panta 5. punkta 5. apakšpunktu ir atbrīvota no KPD IV.</w:t>
      </w:r>
    </w:p>
    <w:p>
      <w:pPr>
        <w:spacing w:before="0"/>
        <w:rPr>
          <w:rFonts w:eastAsia="Times New Roman"/>
          <w:i/>
          <w:noProof/>
          <w:szCs w:val="24"/>
          <w:u w:val="single"/>
        </w:rPr>
      </w:pPr>
      <w:r>
        <w:rPr>
          <w:i/>
          <w:noProof/>
          <w:u w:val="single"/>
        </w:rPr>
        <w:t>Valsts režīms trešo valstu filiālēm un sadarbība ar trešo valstu iestādēm (g) un h) pielāgojums saistībā ar Direktīvu 2013/36/ES )</w:t>
      </w:r>
    </w:p>
    <w:p>
      <w:pPr>
        <w:spacing w:before="0"/>
        <w:rPr>
          <w:rFonts w:eastAsia="Times New Roman"/>
          <w:noProof/>
          <w:szCs w:val="24"/>
        </w:rPr>
      </w:pPr>
      <w:r>
        <w:rPr>
          <w:noProof/>
        </w:rPr>
        <w:t>Saskaņā ar KPD IV 47. panta 3. punktu Savienībai ir piešķirta kompetence slēgt ar trešām valstīm nolīgumus, kas to kredītiestāžu filiālēm nodrošina vienlīdzīgu attieksmi Savienības teritorijā.</w:t>
      </w:r>
    </w:p>
    <w:p>
      <w:pPr>
        <w:spacing w:before="0"/>
        <w:rPr>
          <w:rFonts w:eastAsia="Times New Roman"/>
          <w:noProof/>
          <w:szCs w:val="24"/>
        </w:rPr>
      </w:pPr>
      <w:r>
        <w:rPr>
          <w:noProof/>
        </w:rPr>
        <w:t xml:space="preserve">EEZ kontekstā līgumslēdzējas puses vienojas, ka EEZ līguma mērķis principā nav reglamentēt to attiecības ar trešām valstīm (skatīt jo īpaši EEZ līguma preambulas 16. apsvērumu). Iekļaujot KPD IV EEZ līgumā, EBTA valstis nenodod Savienībai kompetenci attiecībā uz sarunām par trešo valstu filiāļu piekļuvi tirgum. Līdz ar to g) pielāgojums nepiemēro 47. panta 3. punktu attiecībā uz EBTA valstīm, un tajā noteikts, ka EBTA valstis var slēgt divpusējus nolīgumus ar trešām valstīm par filiāļu piekļuvi tirgum. </w:t>
      </w:r>
    </w:p>
    <w:p>
      <w:pPr>
        <w:spacing w:before="0"/>
        <w:rPr>
          <w:rFonts w:eastAsia="Times New Roman"/>
          <w:noProof/>
          <w:szCs w:val="24"/>
        </w:rPr>
      </w:pPr>
      <w:r>
        <w:rPr>
          <w:noProof/>
        </w:rPr>
        <w:t>Tomēr, lai attiecībā uz trešo valstu politiku veicinātu konverģenci starp Savienību un EBTA valstīm, g) pielāgojums paredz arī to, ka EEZ līguma līgumslēdzējas puses EEZ Apvienotajā komitejā informē viena otru un apspriežas par sarunām attiecībā uz nolīgumiem ar trešām valstīm.</w:t>
      </w:r>
    </w:p>
    <w:p>
      <w:pPr>
        <w:spacing w:before="0"/>
        <w:rPr>
          <w:rFonts w:eastAsia="Times New Roman"/>
          <w:noProof/>
          <w:szCs w:val="24"/>
        </w:rPr>
      </w:pPr>
      <w:r>
        <w:rPr>
          <w:noProof/>
        </w:rPr>
        <w:t>g) pielāgojums balstās uz risinājumiem, par kuriem Savienība un EBTA valstis vienojušās saskaņā ar Maksātspēja II un FITD režīmiem (skatīt EEZ līguma IX pielikuma 1. punkta d) un e) apakšpunktu un 31.ba punkta b) apakšpunktu).</w:t>
      </w:r>
    </w:p>
    <w:p>
      <w:pPr>
        <w:spacing w:before="0"/>
        <w:rPr>
          <w:rFonts w:eastAsia="Times New Roman"/>
          <w:noProof/>
          <w:szCs w:val="24"/>
        </w:rPr>
      </w:pPr>
      <w:r>
        <w:rPr>
          <w:noProof/>
        </w:rPr>
        <w:t>KPD IV 48. pantā ir ietverti noteikumi par uzraudzības nolīgumu noslēgšanu attiecībā uz konsolidētu uzraudzību starp Savienību un trešām valstīm. Šajos nolīgumos jāparedz iespēja trešo valstu uzraudzības iestādēm iegūt informāciju no ES valstu kompetentajām vai nozaru iestādēm (VKI) un Eiropas Banku iestādei (EBI) vākt informāciju, ko ES VKI saņēmušas no trešo valstu uzraudzības iestādēm. Tā kā Eiropas Savienība nevar noslēgt nolīgumus, kas EBTA VKI uzliek pienākumu nodot informāciju trešo valstu uzraudzības iestādēm, h) pielāgojums nepiemēro KPD IV 48. pantu (līdzīgi tam risinājumam, par kuru panākta vienošanās attiecībā uz ETIR 75. panta 2. un 3. punktu, skatīt EEZ līguma IX pielikuma 31.bc punkta zc) apakšpunktu).</w:t>
      </w:r>
    </w:p>
    <w:p>
      <w:pPr>
        <w:spacing w:before="0"/>
        <w:rPr>
          <w:rFonts w:eastAsia="Times New Roman"/>
          <w:noProof/>
          <w:szCs w:val="24"/>
        </w:rPr>
      </w:pPr>
      <w:r>
        <w:rPr>
          <w:noProof/>
        </w:rPr>
        <w:t>Lai informāciju, ko EBTA VKI saņēmušas no trešo valstu uzraudzības iestādēm, varētu nosūtīt EBI, kad tā ir nepieciešama, lai veiktu savus tehniskos uzdevumus attiecībā uz EBTA valstīm, h) pielāgojumā arī paredzēts, ka EBTA valstis arī centīsies iekļaut uzraudzības nolīgumos klauzulas, kas ļauj to VKI nodot attiecīgo informāciju EBI.</w:t>
      </w:r>
    </w:p>
    <w:p>
      <w:pPr>
        <w:rPr>
          <w:i/>
          <w:noProof/>
          <w:u w:val="single"/>
        </w:rPr>
      </w:pPr>
      <w:r>
        <w:rPr>
          <w:i/>
          <w:noProof/>
          <w:u w:val="single"/>
        </w:rPr>
        <w:t>Turpmāko Savienības tiesību aktu atruna (k) un o) pielāgojums saistībā ar Direktīvu 2013/36/ES)</w:t>
      </w:r>
    </w:p>
    <w:p>
      <w:pPr>
        <w:rPr>
          <w:noProof/>
        </w:rPr>
      </w:pPr>
      <w:r>
        <w:rPr>
          <w:noProof/>
        </w:rPr>
        <w:lastRenderedPageBreak/>
        <w:t>Saskaņā ar EEZ līguma 7. pantu EEZ EBTA valstīm saistoši ir tikai tie tiesību akti, kas ir iekļauti EEZ līgumā. Tāpēc k) pielāgojums saskaņo KPD IV 89. panta 5. punkta tekstu, lai atspoguļotu to, ka EEZ kontekstā 89. pants vairs nav piemērojams tikai tad, kad EEZ kļūst piemērojami jauni Savienības tiesību akti par informācijas sniegšanas pienākumiem.</w:t>
      </w:r>
    </w:p>
    <w:p>
      <w:pPr>
        <w:rPr>
          <w:noProof/>
        </w:rPr>
      </w:pPr>
      <w:r>
        <w:rPr>
          <w:noProof/>
        </w:rPr>
        <w:t>Tāpat o) pielāgojums pielāgo 151. panta 1. punkta tekstu, lai atspoguļotu to, ka pārejas pasākumus, kas ietverti KPD IV XI sadaļas 1. nodaļā, piemēro tikai līdz brīdim, kad kļūst piemērojams EEZ Apvienotās komitejas lēmums, kurā ietverts deleģētais akts, kas pieņemts saskaņā ar Regulas (ES) Nr. 575/2013 460. pantu.</w:t>
      </w:r>
    </w:p>
    <w:p>
      <w:pPr>
        <w:rPr>
          <w:i/>
          <w:noProof/>
          <w:u w:val="single"/>
        </w:rPr>
      </w:pPr>
      <w:r>
        <w:rPr>
          <w:i/>
          <w:noProof/>
          <w:u w:val="single"/>
        </w:rPr>
        <w:t>Kompetence atļaut sistēmiskā riska rezerves (n) pielāgojums saistībā ar Direktīvu 2013/36/ES)</w:t>
      </w:r>
    </w:p>
    <w:p>
      <w:pPr>
        <w:rPr>
          <w:noProof/>
        </w:rPr>
      </w:pPr>
      <w:r>
        <w:rPr>
          <w:noProof/>
        </w:rPr>
        <w:t xml:space="preserve">Saskaņā ar KPD IV 133. panta 14. punktu ES VKI atsevišķos gadījumos ir jāsagaida Komisijas atzinums, pirms tiek pieņemti pasākumi, ar kuriem nosaka vai maina sistēmiskā riska rezervi. Ja atzinums ir negatīvs, minētās VKI vai nu izpilda atzinumu, vai paskaidro, kāpēc tās to nedara. </w:t>
      </w:r>
    </w:p>
    <w:p>
      <w:pPr>
        <w:rPr>
          <w:noProof/>
        </w:rPr>
      </w:pPr>
      <w:r>
        <w:rPr>
          <w:noProof/>
        </w:rPr>
        <w:t>Saskaņā ar KPD IV 133. panta 15. punktu Komisija, ja tā ir pārliecinājusies, ka sistēmiskā riska rezerve nerada nesamērīgu nelabvēlīgu ietekmi uz citu dalībvalstu vai Savienības finanšu sistēmu, un pamatojoties uz ESRK atzinumu, pieņem īstenošanas aktu, ar ko VKI atļauj pieņemt sistēmiskā riska rezervi. EBI var arī iesniegt Komisijai atzinumu.</w:t>
      </w:r>
    </w:p>
    <w:p>
      <w:pPr>
        <w:rPr>
          <w:noProof/>
        </w:rPr>
      </w:pPr>
      <w:r>
        <w:rPr>
          <w:noProof/>
        </w:rPr>
        <w:t>Saskaņā ar sistēmu, kas izveidota ar EEZ līguma IX pielikuma 31.f un 31.g punktu, ESRK un EBI var sniegt ieteikumus par situācijām EBTA valstīs, un EBI var arī veikt nesaistošu starpniecību saskaņā ar EBI regulas 19. pantu, ja rodas domstarpības ar EBTA valsti. Kompetence pieņemt lēmumus, kas EBTA pīlārā ir saistoši saskaņā ar EBI 19. pantu, ir EBTA Uzraudzības iestādei.</w:t>
      </w:r>
    </w:p>
    <w:p>
      <w:pPr>
        <w:rPr>
          <w:noProof/>
        </w:rPr>
      </w:pPr>
      <w:r>
        <w:rPr>
          <w:noProof/>
        </w:rPr>
        <w:t>Tomēr Komisijas funkcijas saistībā ar pārbaudi vai apstiprināšanu par EBTA valstu veikto darbību atbilstību EEZ līgumā ietvertajiem noteikumiem jāveic subjektam EBTA pīlārā saskaņā ar EEZ līguma 1. protokola 4. punkta d) apakšpunktu. Ņemot vērā to, cik svarīgi un sarežģīti ir lēmumi par sistēmiskā riska rezervēm, šī kompetence attiecībā uz EBTA valstīm ir EBTA valstu Pastāvīgajai komitejai.</w:t>
      </w:r>
    </w:p>
    <w:p>
      <w:pPr>
        <w:spacing w:before="0"/>
        <w:rPr>
          <w:noProof/>
        </w:rPr>
      </w:pPr>
      <w:r>
        <w:rPr>
          <w:noProof/>
        </w:rPr>
        <w:t>Tādēļ n) pielāgojums skaidrības labad nosaka EBTA valstu Pastāvīgās komitejas kompetenci attiecībā uz atzinumu vai ieteikumu sniegšanu (tā kā šīs pilnvaras nav skaidri noteiktas EEZ līguma 1. protokola 4. punkta d) apakšpunkta tekstā), vienlaikus arī nodrošinot, ka ESRK un EBI attiecīgā gadījumā nosūta savus novērtējumus minētajai Pastāvīgajai komitejai saskaņā ar KPD IV 133. panta 14. un 15. punktu.</w:t>
      </w:r>
    </w:p>
    <w:p>
      <w:pPr>
        <w:rPr>
          <w:i/>
          <w:noProof/>
          <w:u w:val="single"/>
        </w:rPr>
      </w:pPr>
      <w:r>
        <w:rPr>
          <w:i/>
          <w:noProof/>
          <w:u w:val="single"/>
        </w:rPr>
        <w:t>“Mājokļa īpašuma” definīcija Norvēģijā (e) pielāgojums saistībā ar Regulu (ES) Nr. 575/2013)</w:t>
      </w:r>
    </w:p>
    <w:p>
      <w:pPr>
        <w:rPr>
          <w:noProof/>
        </w:rPr>
      </w:pPr>
      <w:r>
        <w:rPr>
          <w:noProof/>
        </w:rPr>
        <w:t>Kooperatīvais mājoklis Norvēģijā ir izplatīts dzīvesvietas modelis. Daļu turētāji iegūst daļu kooperatīvā, kura īpašumā vai kontrolē ir ēka(-s) un īpašums, kurā viņi dzīvo. Katrs daļu turētājs ir tiesīgs apdzīvot konkrētu vienību.</w:t>
      </w:r>
    </w:p>
    <w:p>
      <w:pPr>
        <w:rPr>
          <w:i/>
          <w:noProof/>
        </w:rPr>
      </w:pPr>
      <w:r>
        <w:rPr>
          <w:noProof/>
        </w:rPr>
        <w:t xml:space="preserve">Kreditora aizsardzību attiecībā uz kooperatīvo mājokļu dzīvokli Norvēģijā parasti interpretē kā līdzvērtīgu tiešai līdzdalībai. Tomēr juridiskās noteiktības labad būtu jāprecizē, ka tiesības apdzīvot dzīvokli mājokļu kooperatīvos Norvēģijā ir iekļautas “mājokļa īpašuma” definīcijā KPR. Tāpēc e) pielāgojums pielāgo 4. panta 1. punkta 75. apakšpunkta tekstu, kas attiecas uz Zviedriju, lai iekļautu Norvēģijas situāciju. </w:t>
      </w:r>
    </w:p>
    <w:p>
      <w:pPr>
        <w:rPr>
          <w:i/>
          <w:noProof/>
          <w:u w:val="single"/>
        </w:rPr>
      </w:pPr>
      <w:r>
        <w:rPr>
          <w:i/>
          <w:noProof/>
          <w:u w:val="single"/>
        </w:rPr>
        <w:t>Komisijas kompetence pieņemt ierobežojumus attiecībā uz lieliem riska darījumiem un Padomes kompetence atļaut stingrākus valsts pasākumus makroprudenciālā vai sistēmiskā riska gadījumā (i) un j) pielāgojums saistībā ar Regulu (ES) Nr. 575/2013)</w:t>
      </w:r>
    </w:p>
    <w:p>
      <w:pPr>
        <w:rPr>
          <w:noProof/>
        </w:rPr>
      </w:pPr>
      <w:r>
        <w:rPr>
          <w:noProof/>
        </w:rPr>
        <w:lastRenderedPageBreak/>
        <w:t>Saskaņā ar KPR 395. pantu ES VKI dažos gadījumos ir jāsaņem Komisijas apstiprinājums, pirms tiek pieņemti strukturāli pasākumi, kas prasa kredītiestādēm, kuras ir saņēmušas atļauju minētajā dalībvalstī, samazināt savus riska darījumus ar dažādām juridiskām personām. Komisija, pamatojoties uz EBI atzinumu, var noraidīt valsts pasākumu tikai tad, ja tas rada nesamērīgu nelabvēlīgu ietekmi uz citu dalībvalstu vai Savienības finanšu sistēmu.</w:t>
      </w:r>
    </w:p>
    <w:p>
      <w:pPr>
        <w:rPr>
          <w:noProof/>
        </w:rPr>
      </w:pPr>
      <w:r>
        <w:rPr>
          <w:noProof/>
        </w:rPr>
        <w:t xml:space="preserve">Saskaņā ar KPR 458. pantu dalībvalstīm konkrētos gadījumos ir jāsaņem atļauja no Padomes, pirms tiek pieņemti daži stingrāki valsts pasākumi, kuru mērķis ir novērst makroprudenciālo un sistēmisko risku valsts finanšu sistēmai un reālajai ekonomikai. Komisija ir pilnvarota ierosināt Padomei pasākuma projektu, lai atļautu vai noraidītu valsts pasākumu. Padome valsts pasākumus noraida tikai dažos gadījumos, ņemot vērā ESRK un EBI atzinumus. Citas dalībvalstis var atzīt saskaņā ar KPR 458. pantu pieņemtos valsts pasākumus un piemērot tos filiālēm, kas atrodas attiecīgajā dalībvalstī. </w:t>
      </w:r>
    </w:p>
    <w:p>
      <w:pPr>
        <w:rPr>
          <w:noProof/>
        </w:rPr>
      </w:pPr>
      <w:r>
        <w:rPr>
          <w:noProof/>
        </w:rPr>
        <w:t>Saskaņā ar sistēmu, kas izveidota ar EEZ līguma IX pielikuma 31.f un 31.g punktu, ESRK un EBI var sniegt atzinumus par situācijām EBTA valstīs.</w:t>
      </w:r>
    </w:p>
    <w:p>
      <w:pPr>
        <w:rPr>
          <w:noProof/>
        </w:rPr>
      </w:pPr>
      <w:r>
        <w:rPr>
          <w:noProof/>
        </w:rPr>
        <w:t>Tomēr Komisijas funkcijas saistībā ar pārbaudi vai apstiprināšanu par EBTA valstu veikto darbību atbilstību EEZ līgumā ietvertajiem noteikumiem jāveic subjektam EBTA pīlārā saskaņā ar EEZ līguma 1. protokola 4. punkta d) apakšpunktu. Ņemot vērā to, cik svarīgi un sarežģīti ir lēmumi par strukturāliem pasākumiem, kas ierobežo lielus riska darījumus saskaņā ar 395. pantu, šī kompetence attiecībā uz EBTA valstīm ir EBTA valstu Pastāvīgajai komitejai.</w:t>
      </w:r>
    </w:p>
    <w:p>
      <w:pPr>
        <w:rPr>
          <w:noProof/>
        </w:rPr>
      </w:pPr>
      <w:r>
        <w:rPr>
          <w:noProof/>
        </w:rPr>
        <w:t>Tāpat EBTA valstu Pastāvīgā komiteja attiecībā uz EBTA valstīm īsteno funkcijas, kas Padomei piešķirtas saskaņā ar KPR 458. pantu. Tomēr šis lēmums būtu jāpieņem, pamatojoties uz EBTA Uzraudzības iestādes priekšlikumu, kas atspoguļo ES piemērojamo regulējumu.</w:t>
      </w:r>
    </w:p>
    <w:p>
      <w:pPr>
        <w:rPr>
          <w:noProof/>
        </w:rPr>
      </w:pPr>
      <w:r>
        <w:rPr>
          <w:noProof/>
        </w:rPr>
        <w:t>Tāpēc skaidrības labad i) ii) un j) ii) pielāgojums nosaka EBTA valstu Pastāvīgās komitejas kompetenci pieņemt šādus lēmumus (tā kā šīs pilnvaras nav skaidri noteiktas EBTA pīlārā ar EEZ līguma 1. protokola 4. punkta d) apakšpunktu), vienlaikus arī nodrošinot, ka EBI un attiecīgā gadījumā ESRK būtu jānosūta EBTA valstu Pastāvīgajai komitejai savi novērtējumi saskaņā ar KPR 395. panta 8. punktu vai 458. panta 4. punktu (i) iii) un j) iii) pielāgojums).</w:t>
      </w:r>
    </w:p>
    <w:p>
      <w:pPr>
        <w:rPr>
          <w:i/>
          <w:noProof/>
          <w:u w:val="single"/>
        </w:rPr>
      </w:pPr>
      <w:r>
        <w:rPr>
          <w:i/>
          <w:noProof/>
          <w:u w:val="single"/>
        </w:rPr>
        <w:t>Bāzele I minimuma pārejas noteikumu piemērošana (Regulas (ES) Nr. 575/2013 preambulas 6. apsvērums)</w:t>
      </w:r>
    </w:p>
    <w:p>
      <w:pPr>
        <w:rPr>
          <w:noProof/>
        </w:rPr>
      </w:pPr>
      <w:r>
        <w:rPr>
          <w:noProof/>
        </w:rPr>
        <w:t xml:space="preserve">Ar KPR 500. pantu īsteno tā saukto “Bāzele I minimumu”, kas tika izveidots Bāzele II vienošanās 2-1-C daļā (45.–47. punkts). Šā panta termiņš beidzās 2017. gada beigās. Direktīvas 2006/48/EK 152. pants, kas tika turpināts Regulas (ES) Nr. 575/2013 500. pantā, ierobežoja iespējas nepamatoti samazināt pašu kapitālu no iekšējo modeļu izmantošanas. Lai gan 500. panta darbības termiņš ir beidzies, kompetentajai iestādei joprojām ir jārisina modeļa riska jautājums. </w:t>
      </w:r>
    </w:p>
    <w:p>
      <w:pPr>
        <w:rPr>
          <w:noProof/>
        </w:rPr>
      </w:pPr>
      <w:r>
        <w:rPr>
          <w:noProof/>
        </w:rPr>
        <w:t>Preambulas 6. apsvērumā ir atgādināts, ka regulējumā ir vairāki noteikumi, kas ļauj kompetentajām iestādēm risināt to pašu jautājumu, tajā skaitā paredzēta iespēja veikt pasākumus, lai kompensētu riska svērtās vērtības nepamatotu samazinājumu un iekšējo modeļu kalibrēšanā piemērotu prudenciālas piesardzības rezerves.</w:t>
      </w:r>
    </w:p>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2019/0018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jāpieņem EEZ Apvienotajā komitejā attiecībā uz grozījumu EEZ līguma IX pielikumā (Finanšu pakalpojumi)</w:t>
      </w:r>
      <w:r>
        <w:rPr>
          <w:noProof/>
        </w:rPr>
        <w:br/>
      </w:r>
      <w:r>
        <w:rPr>
          <w:noProof/>
        </w:rPr>
        <w:br/>
        <w:t>[Kapitāla prasību Regula (ES) Nr. 575/2013 (KPR) un Direktīva 2013/36/ES (KPD IV)]</w:t>
      </w:r>
    </w:p>
    <w:p>
      <w:pPr>
        <w:pStyle w:val="IntrtEEE"/>
        <w:rPr>
          <w:noProof/>
        </w:rPr>
      </w:pPr>
      <w:r>
        <w:rPr>
          <w:noProof/>
        </w:rPr>
        <w:t>(Dokuments attiecas uz EEZ)</w:t>
      </w:r>
    </w:p>
    <w:p>
      <w:pPr>
        <w:pStyle w:val="Institutionquiagit"/>
        <w:rPr>
          <w:noProof/>
        </w:rPr>
      </w:pPr>
      <w:r>
        <w:rPr>
          <w:noProof/>
        </w:rPr>
        <w:t>EIROPAS SAVIENĪBAS PADOME,</w:t>
      </w:r>
    </w:p>
    <w:p>
      <w:pPr>
        <w:rPr>
          <w:noProof/>
        </w:rPr>
      </w:pPr>
      <w:r>
        <w:rPr>
          <w:noProof/>
        </w:rPr>
        <w:t>ņemot vērā Līgumu par Eiropas Savienības darbību un jo īpaši tā 114. pantu saistībā ar 218. panta 9. punktu,</w:t>
      </w:r>
    </w:p>
    <w:p>
      <w:pPr>
        <w:rPr>
          <w:noProof/>
        </w:rPr>
      </w:pPr>
      <w:r>
        <w:rPr>
          <w:noProof/>
        </w:rPr>
        <w:t>ņemot vērā Padomes 1994. gada 28. novembra Regulu (EK) Nr. 2894/94 par Eiropas Ekonomikas zonas līguma</w:t>
      </w:r>
      <w:r>
        <w:rPr>
          <w:rStyle w:val="FootnoteReference"/>
          <w:noProof/>
        </w:rPr>
        <w:footnoteReference w:id="2"/>
      </w:r>
      <w:r>
        <w:rPr>
          <w:noProof/>
        </w:rPr>
        <w:t xml:space="preserve"> īstenošanas kārtību un jo īpaši tās 1. panta 3.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Līgums par Eiropas Ekonomikas zonu</w:t>
      </w:r>
      <w:r>
        <w:rPr>
          <w:rStyle w:val="FootnoteReference"/>
          <w:noProof/>
        </w:rPr>
        <w:footnoteReference w:id="3"/>
      </w:r>
      <w:r>
        <w:rPr>
          <w:noProof/>
        </w:rPr>
        <w:t xml:space="preserve"> (“EEZ līgums”) stājās spēkā 1994. gada 1. janvārī.</w:t>
      </w:r>
    </w:p>
    <w:p>
      <w:pPr>
        <w:pStyle w:val="ManualConsidrant"/>
        <w:rPr>
          <w:noProof/>
        </w:rPr>
      </w:pPr>
      <w:r>
        <w:t>(2)</w:t>
      </w:r>
      <w:r>
        <w:tab/>
      </w:r>
      <w:r>
        <w:rPr>
          <w:noProof/>
        </w:rPr>
        <w:t>Saskaņā ar EEZ līguma 98. pantu EEZ Apvienotā komiteja cita starpā var lemt par EEZ līguma IX pielikuma, kurā ietverti noteikumi par finanšu pakalpojumiem, grozīšanu.</w:t>
      </w:r>
    </w:p>
    <w:p>
      <w:pPr>
        <w:pStyle w:val="ManualConsidrant"/>
        <w:rPr>
          <w:noProof/>
        </w:rPr>
      </w:pPr>
      <w:r>
        <w:t>(3)</w:t>
      </w:r>
      <w:r>
        <w:tab/>
      </w:r>
      <w:r>
        <w:rPr>
          <w:noProof/>
        </w:rPr>
        <w:t>EEZ līgumā jāiekļauj Eiropas Parlamenta un Padomes Regula (ES) Nr. 575/2013</w:t>
      </w:r>
      <w:r>
        <w:rPr>
          <w:rStyle w:val="FootnoteReference"/>
          <w:noProof/>
        </w:rPr>
        <w:footnoteReference w:id="4"/>
      </w:r>
      <w:r>
        <w:rPr>
          <w:noProof/>
        </w:rPr>
        <w:t xml:space="preserve"> un Eiropas Parlamenta un Padomes Direktīva 2013/36/ES</w:t>
      </w:r>
      <w:r>
        <w:rPr>
          <w:rStyle w:val="FootnoteReference"/>
          <w:noProof/>
        </w:rPr>
        <w:footnoteReference w:id="5"/>
      </w:r>
      <w:r>
        <w:rPr>
          <w:noProof/>
        </w:rPr>
        <w:t>.</w:t>
      </w:r>
    </w:p>
    <w:p>
      <w:pPr>
        <w:pStyle w:val="ManualConsidrant"/>
        <w:rPr>
          <w:noProof/>
        </w:rPr>
      </w:pPr>
      <w:r>
        <w:t>(4)</w:t>
      </w:r>
      <w:r>
        <w:tab/>
      </w:r>
      <w:r>
        <w:rPr>
          <w:noProof/>
        </w:rPr>
        <w:t xml:space="preserve">Tādēļ attiecīgi būtu jāgroza EEZ līguma IX pielikums. </w:t>
      </w:r>
    </w:p>
    <w:p>
      <w:pPr>
        <w:pStyle w:val="ManualConsidrant"/>
        <w:rPr>
          <w:noProof/>
        </w:rPr>
      </w:pPr>
      <w:r>
        <w:t>(5)</w:t>
      </w:r>
      <w:r>
        <w:tab/>
      </w:r>
      <w:r>
        <w:rPr>
          <w:noProof/>
        </w:rPr>
        <w:t>Tādēļ Savienības nostājas EEZ Apvienotajā komitejā pamatā vajadzētu būt pievienotajam lēmuma projektam,</w:t>
      </w:r>
    </w:p>
    <w:p>
      <w:pPr>
        <w:pStyle w:val="Formuledadoption"/>
        <w:rPr>
          <w:noProof/>
        </w:rPr>
      </w:pPr>
      <w:r>
        <w:rPr>
          <w:noProof/>
        </w:rPr>
        <w:lastRenderedPageBreak/>
        <w:t xml:space="preserve">IR PIEŅĒMUSI ŠO LĒMUMU. </w:t>
      </w:r>
    </w:p>
    <w:p>
      <w:pPr>
        <w:pStyle w:val="Titrearticle"/>
        <w:rPr>
          <w:noProof/>
        </w:rPr>
      </w:pPr>
      <w:r>
        <w:rPr>
          <w:noProof/>
        </w:rPr>
        <w:t>1. pants</w:t>
      </w:r>
    </w:p>
    <w:p>
      <w:pPr>
        <w:rPr>
          <w:noProof/>
        </w:rPr>
      </w:pPr>
      <w:r>
        <w:rPr>
          <w:noProof/>
        </w:rPr>
        <w:t>Nostājas, kura Savienības vārdā jāpieņem EEZ Apvienotajā komitejā attiecībā uz ierosināto grozījumu EEZ līguma IX pielikumā (Finanšu pakalpojumi), pamatā ir EEZ Apvienotās komitejas lēmuma projekts, kas pievienots šim lēmumam.</w:t>
      </w:r>
    </w:p>
    <w:p>
      <w:pPr>
        <w:pStyle w:val="Titrearticle"/>
        <w:keepNext w:val="0"/>
        <w:rPr>
          <w:noProof/>
        </w:rPr>
      </w:pPr>
      <w:r>
        <w:rPr>
          <w:noProof/>
        </w:rPr>
        <w:t>2. pants</w:t>
      </w:r>
    </w:p>
    <w:p>
      <w:pPr>
        <w:keepLines/>
        <w:rPr>
          <w:noProof/>
        </w:rPr>
      </w:pPr>
      <w:r>
        <w:rPr>
          <w:noProof/>
        </w:rPr>
        <w:t>Šis lēmums stājas spēkā tā pieņemšanas dienā.</w:t>
      </w:r>
    </w:p>
    <w:p>
      <w:pPr>
        <w:keepLines/>
        <w:rPr>
          <w:noProof/>
        </w:rPr>
      </w:pP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Eiropas Parlamenta un Padomes Regula (ES) Nr. 575/2013 (2013. gada 26. jūnijs) par prudenciālajām prasībām attiecībā uz kredītiestādēm un ieguldījumu brokeru sabiedrībām, un ar ko groza Regulu (ES) Nr. 648/2012; regulā labojumi izdarīti ar OV L 208, 2.8.2013., 68. lpp. un OV L 321, 30.11.2013., 6. lpp.</w:t>
      </w:r>
    </w:p>
    <w:p>
      <w:pPr>
        <w:pStyle w:val="FootnoteText"/>
        <w:ind w:firstLine="0"/>
        <w:rPr>
          <w:lang w:val="en-US"/>
        </w:rPr>
      </w:pPr>
      <w:r>
        <w:t>Eiropas Parlamenta un Padomes Direktīva 2013/36/ES (2013. gada 26. jūnijs) par piekļuvi kredītiestāžu darbībai un kredītiestāžu un ieguldījumu brokeru sabiedrību prudenciālo uzraudzību, ar ko groza Direktīvu 2002/87/EK un atceļ Direktīvas 2006/48/EK un 2006/49/EK; direktīvā labojumi izdarīti ar OV L 208, 2.8.2013., 73. lpp.</w:t>
      </w:r>
    </w:p>
  </w:footnote>
  <w:footnote w:id="2">
    <w:p>
      <w:pPr>
        <w:pStyle w:val="FootnoteText"/>
        <w:rPr>
          <w:lang w:val="nn-NO"/>
        </w:rPr>
      </w:pPr>
      <w:r>
        <w:rPr>
          <w:rStyle w:val="FootnoteReference"/>
        </w:rPr>
        <w:footnoteRef/>
      </w:r>
      <w:r>
        <w:tab/>
        <w:t>OV L 305, 30.11.1994., 6. lpp.</w:t>
      </w:r>
    </w:p>
  </w:footnote>
  <w:footnote w:id="3">
    <w:p>
      <w:pPr>
        <w:pStyle w:val="FootnoteText"/>
        <w:rPr>
          <w:lang w:val="nn-NO"/>
        </w:rPr>
      </w:pPr>
      <w:r>
        <w:rPr>
          <w:rStyle w:val="FootnoteReference"/>
        </w:rPr>
        <w:footnoteRef/>
      </w:r>
      <w:r>
        <w:tab/>
        <w:t xml:space="preserve">OV L 1, 3.1.1994., 3. lpp. </w:t>
      </w:r>
    </w:p>
  </w:footnote>
  <w:footnote w:id="4">
    <w:p>
      <w:pPr>
        <w:pStyle w:val="FootnoteText"/>
        <w:rPr>
          <w:lang w:val="nn-NO"/>
        </w:rPr>
      </w:pPr>
      <w:r>
        <w:rPr>
          <w:rStyle w:val="FootnoteReference"/>
        </w:rPr>
        <w:footnoteRef/>
      </w:r>
      <w:r>
        <w:tab/>
        <w:t xml:space="preserve">Eiropas Parlamenta un Padomes Regula (ES) Nr. 575/2013 (2013. gada 26. jūnijs) par prudenciālajām prasībām attiecībā uz kredītiestādēm un ieguldījumu brokeru sabiedrībām, un ar ko groza Regulu (ES) Nr. 648/2012 (OV L 176, 27.6.2013., 1. lpp.); regulā labojumi izdarīti ar OV L 208, 2.8.2013., 68. lpp., OV L 321, 30.11.2013., 6. lpp. un OV L 20, 25.1.2017., 2. lpp. </w:t>
      </w:r>
    </w:p>
  </w:footnote>
  <w:footnote w:id="5">
    <w:p>
      <w:pPr>
        <w:pStyle w:val="FootnoteText"/>
        <w:rPr>
          <w:lang w:val="nn-NO"/>
        </w:rPr>
      </w:pPr>
      <w:r>
        <w:rPr>
          <w:rStyle w:val="FootnoteReference"/>
        </w:rPr>
        <w:footnoteRef/>
      </w:r>
      <w:r>
        <w:tab/>
        <w:t xml:space="preserve">Eiropas Parlamenta un Padomes Direktīva 2013/36/ES (2013. gada 26. jūnijs) par piekļuvi kredītiestāžu darbībai un kredītiestāžu un ieguldījumu brokeru sabiedrību prudenciālo uzraudzību, ar ko groza Direktīvu 2002/87/EK un atceļ Direktīvas 2006/48/EK un 2006/49/EK (OV L 176, 27.6.2013., 338. lpp.); direktīvā labojumi izdarīti ar OV L 208, 2.8.2013., 73. lpp. un OV L 20, 25.1.2017., 1.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80284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89A3E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30D9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1A53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54EF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3EF4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26EA78"/>
    <w:lvl w:ilvl="0">
      <w:start w:val="1"/>
      <w:numFmt w:val="decimal"/>
      <w:pStyle w:val="ListNumber"/>
      <w:lvlText w:val="%1."/>
      <w:lvlJc w:val="left"/>
      <w:pPr>
        <w:tabs>
          <w:tab w:val="num" w:pos="360"/>
        </w:tabs>
        <w:ind w:left="360" w:hanging="360"/>
      </w:pPr>
    </w:lvl>
  </w:abstractNum>
  <w:abstractNum w:abstractNumId="7">
    <w:nsid w:val="FFFFFF89"/>
    <w:multiLevelType w:val="singleLevel"/>
    <w:tmpl w:val="8E20FE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5 16:35: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DCF8B2D-49B3-4955-8EC0-8839F4445064"/>
    <w:docVar w:name="LW_COVERPAGE_TYPE" w:val="1"/>
    <w:docVar w:name="LW_CROSSREFERENCE" w:val="&lt;UNUSED&gt;"/>
    <w:docVar w:name="LW_DocType" w:val="COM"/>
    <w:docVar w:name="LW_EMISSION" w:val="4.2.2019"/>
    <w:docVar w:name="LW_EMISSION_ISODATE" w:val="2019-02-04"/>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18"/>
    <w:docVar w:name="LW_REF.II.NEW.CP_YEAR" w:val="2019"/>
    <w:docVar w:name="LW_REF.INST.NEW" w:val="COM"/>
    <w:docVar w:name="LW_REF.INST.NEW_ADOPTED" w:val="final"/>
    <w:docVar w:name="LW_REF.INST.NEW_TEXT" w:val="(2019) 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pie\u326?em EEZ Apvienotaj\u257? komitej\u257? attiec\u299?b\u257? uz groz\u299?jumu EEZ l\u299?guma IX pielikum\u257? (Finan\u353?u pakalpojumi)_x000b__x000b_[Kapit\u257?la pras\u299?bu Regula (ES) Nr. 575/2013 (KPR) un Direkt\u299?va 2013/36/ES (KPD IV)]"/>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2263</Words>
  <Characters>14173</Characters>
  <Application>Microsoft Office Word</Application>
  <DocSecurity>0</DocSecurity>
  <Lines>244</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2019-01-18T08:12:00Z</dcterms:created>
  <dcterms:modified xsi:type="dcterms:W3CDTF">2019-01-25T15:35:00Z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