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05F7759-AE64-4F63-9BB3-703042053ABD" style="width:450.75pt;height:4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pBdr>
          <w:top w:val="nil"/>
          <w:left w:val="nil"/>
          <w:bottom w:val="nil"/>
          <w:right w:val="nil"/>
          <w:between w:val="nil"/>
          <w:bar w:val="nil"/>
        </w:pBdr>
        <w:spacing w:before="0" w:after="240"/>
        <w:rPr>
          <w:noProof/>
        </w:rPr>
      </w:pPr>
      <w:r>
        <w:rPr>
          <w:noProof/>
        </w:rPr>
        <w:t>Cieľom návrhu rozhodnutia Spoločného výboru EHP (pripojeného k navrhovanému rozhodnutiu Rady) je zmeniť prílohu IX (Finančné služby) k Dohode o EHP na účely začlenenia nariadenia (EÚ) č. 575/2013 o kapitálových požiadavkách a smernice 2013/36/EÚ</w:t>
      </w:r>
      <w:r>
        <w:rPr>
          <w:rStyle w:val="FootnoteReference"/>
          <w:noProof/>
        </w:rPr>
        <w:footnoteReference w:id="1"/>
      </w:r>
      <w:r>
        <w:rPr>
          <w:noProof/>
        </w:rPr>
        <w:t xml:space="preserve"> do Dohody o EHP.</w:t>
      </w:r>
    </w:p>
    <w:p>
      <w:pPr>
        <w:pBdr>
          <w:top w:val="nil"/>
          <w:left w:val="nil"/>
          <w:bottom w:val="nil"/>
          <w:right w:val="nil"/>
          <w:between w:val="nil"/>
          <w:bar w:val="nil"/>
        </w:pBdr>
        <w:spacing w:before="0" w:after="240"/>
        <w:rPr>
          <w:rFonts w:eastAsia="Arial Unicode MS"/>
          <w:noProof/>
        </w:rPr>
      </w:pPr>
      <w:r>
        <w:rPr>
          <w:noProof/>
        </w:rPr>
        <w:t>Úpravy uvedené v návrhu pripojeného rozhodnutia Spoločného výboru EHP idú nad rámec úprav, ktoré sa dajú považovať za úpravy čisto technického charakteru v zmysle nariadenia Rady č. 2894/94. Pozíciu Únie preto stanoví Rada.</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danej oblasti politiky</w:t>
      </w:r>
    </w:p>
    <w:p>
      <w:pPr>
        <w:pBdr>
          <w:top w:val="nil"/>
          <w:left w:val="nil"/>
          <w:bottom w:val="nil"/>
          <w:right w:val="nil"/>
          <w:between w:val="nil"/>
          <w:bar w:val="nil"/>
        </w:pBdr>
        <w:spacing w:before="0" w:after="240"/>
        <w:rPr>
          <w:noProof/>
        </w:rPr>
      </w:pPr>
      <w:r>
        <w:rPr>
          <w:noProof/>
        </w:rPr>
        <w:t>Pripojeným návrhom rozhodnutia Spoločného výboru EHP sa existujúce politiky EÚ rozširujú na štáty EZVO, ktoré sú členmi EHP (Nórsko, Island a Lichtenštajnsko).</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pBdr>
          <w:top w:val="nil"/>
          <w:left w:val="nil"/>
          <w:bottom w:val="nil"/>
          <w:right w:val="nil"/>
          <w:between w:val="nil"/>
          <w:bar w:val="nil"/>
        </w:pBdr>
        <w:spacing w:before="0" w:after="240"/>
        <w:rPr>
          <w:noProof/>
        </w:rPr>
      </w:pPr>
      <w:r>
        <w:rPr>
          <w:noProof/>
        </w:rPr>
        <w:t xml:space="preserve">Rozšírenie </w:t>
      </w:r>
      <w:r>
        <w:rPr>
          <w:i/>
          <w:noProof/>
        </w:rPr>
        <w:t>acquis</w:t>
      </w:r>
      <w:r>
        <w:rPr>
          <w:noProof/>
        </w:rPr>
        <w:t xml:space="preserve"> EÚ na štáty EZVO, ktoré sú členmi EHP, jeho začlenením do Dohody o EHP sa vykonáva v súlade s cieľmi a zásadami obsiahnutými v uvedenej dohode zameranej na vytvorenie dynamického a homogénneho Európskeho hospodárskeho priestoru založeného na spoločných pravidlách a rovnakých podmienkach hospodárskej súťaže.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noProof/>
        </w:rPr>
      </w:pPr>
      <w:r>
        <w:rPr>
          <w:noProof/>
        </w:rPr>
        <w:t>Právne predpisy, ktoré sa majú začleniť do Dohody o EHP, sú založené na článku 114 Zmluvy o fungovaní Európskej únie.</w:t>
      </w:r>
    </w:p>
    <w:p>
      <w:pPr>
        <w:pBdr>
          <w:top w:val="nil"/>
          <w:left w:val="nil"/>
          <w:bottom w:val="nil"/>
          <w:right w:val="nil"/>
          <w:between w:val="nil"/>
          <w:bar w:val="nil"/>
        </w:pBdr>
        <w:spacing w:before="0" w:after="240"/>
        <w:rPr>
          <w:noProof/>
        </w:rPr>
      </w:pPr>
      <w:r>
        <w:rPr>
          <w:noProof/>
        </w:rPr>
        <w:t>Podľa článku 1 ods. 3 nariadenia Rady (ES) č. 2894/94 o opatreniach na vykonávanie Dohody o EHP Rada na základe návrhu Komisie prijme v mene Únie pozíciu k takýmto rozhodnutiam.</w:t>
      </w:r>
    </w:p>
    <w:p>
      <w:pPr>
        <w:pBdr>
          <w:top w:val="nil"/>
          <w:left w:val="nil"/>
          <w:bottom w:val="nil"/>
          <w:right w:val="nil"/>
          <w:between w:val="nil"/>
          <w:bar w:val="nil"/>
        </w:pBdr>
        <w:spacing w:before="0" w:after="240"/>
        <w:rPr>
          <w:noProof/>
        </w:rPr>
      </w:pPr>
      <w:r>
        <w:rPr>
          <w:noProof/>
        </w:rPr>
        <w:t>Európska služba pre vonkajšiu činnosť (ESVČ) v spolupráci s Komisiou predkladá Rade návrhy rozhodnutí Spoločného výboru EHP, aby ich Rada prijala ako pozíciu Únie. ESVČ dúfa, že tieto návrhy bude môcť Spoločnému výboru EHP predložiť pri najbližšej možnej príležitosti.</w:t>
      </w:r>
    </w:p>
    <w:p>
      <w:pPr>
        <w:pStyle w:val="ManualHeading2"/>
        <w:rPr>
          <w:noProof/>
          <w:u w:color="000000"/>
          <w:bdr w:val="nil"/>
        </w:rPr>
      </w:pPr>
      <w:r>
        <w:rPr>
          <w:noProof/>
          <w:u w:color="000000"/>
          <w:bdr w:val="nil"/>
        </w:rPr>
        <w:t>•</w:t>
      </w:r>
      <w:r>
        <w:rPr>
          <w:noProof/>
          <w:u w:color="000000"/>
          <w:bdr w:val="nil"/>
        </w:rPr>
        <w:tab/>
        <w:t>Subsidiarita (v prípade inej ako výlučnej právomoci)</w:t>
      </w:r>
    </w:p>
    <w:p>
      <w:pPr>
        <w:pBdr>
          <w:top w:val="nil"/>
          <w:left w:val="nil"/>
          <w:bottom w:val="nil"/>
          <w:right w:val="nil"/>
          <w:between w:val="nil"/>
          <w:bar w:val="nil"/>
        </w:pBdr>
        <w:spacing w:before="0" w:after="240"/>
        <w:rPr>
          <w:noProof/>
        </w:rPr>
      </w:pPr>
      <w:r>
        <w:rPr>
          <w:noProof/>
        </w:rPr>
        <w:t>Návrh je v súlade so zásadou subsidiarity z tohto dôvodu:</w:t>
      </w:r>
    </w:p>
    <w:p>
      <w:pPr>
        <w:pBdr>
          <w:top w:val="nil"/>
          <w:left w:val="nil"/>
          <w:bottom w:val="nil"/>
          <w:right w:val="nil"/>
          <w:between w:val="nil"/>
          <w:bar w:val="nil"/>
        </w:pBdr>
        <w:spacing w:before="0" w:after="240"/>
        <w:rPr>
          <w:noProof/>
        </w:rPr>
      </w:pPr>
      <w:r>
        <w:rPr>
          <w:noProof/>
        </w:rPr>
        <w:lastRenderedPageBreak/>
        <w:t>cieľ tohto návrhu, ktorým je zabezpečiť homogénnosť vnútorného trhu, nie je možné uspokojivo dosiahnuť na úrovni členských štátov, a preto ho z dôvodu jeho účinkov možno lepšie dosiahnuť na úrovni Únie.</w:t>
      </w:r>
    </w:p>
    <w:p>
      <w:pPr>
        <w:pBdr>
          <w:top w:val="nil"/>
          <w:left w:val="nil"/>
          <w:bottom w:val="nil"/>
          <w:right w:val="nil"/>
          <w:between w:val="nil"/>
          <w:bar w:val="nil"/>
        </w:pBdr>
        <w:spacing w:before="0" w:after="240"/>
        <w:rPr>
          <w:noProof/>
        </w:rPr>
      </w:pPr>
      <w:r>
        <w:rPr>
          <w:noProof/>
        </w:rPr>
        <w:t xml:space="preserve">Proces začleňovania </w:t>
      </w:r>
      <w:r>
        <w:rPr>
          <w:i/>
          <w:noProof/>
        </w:rPr>
        <w:t>acquis</w:t>
      </w:r>
      <w:r>
        <w:rPr>
          <w:noProof/>
        </w:rPr>
        <w:t xml:space="preserve"> EÚ do Dohody o EHP sa vykonáva v súlade s nariadením Rady (ES) č. 2894/94 z 28. novembra 1994 o opatreniach na vykonávanie Dohody o Európskom hospodárskom priestore, v ktorom sa potvrdzuje zvolený prístup.</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noProof/>
        </w:rPr>
      </w:pPr>
      <w:r>
        <w:rPr>
          <w:noProof/>
        </w:rPr>
        <w:t>V súlade so zásadou proporcionality tento návrh neprekračuje rámec nevyhnutný na dosiahnutie daného cieľa.</w:t>
      </w:r>
    </w:p>
    <w:p>
      <w:pPr>
        <w:pStyle w:val="ManualHeading2"/>
        <w:rPr>
          <w:rFonts w:eastAsia="Arial Unicode MS"/>
          <w:noProof/>
          <w:u w:color="000000"/>
          <w:bdr w:val="nil"/>
        </w:rPr>
      </w:pPr>
      <w:r>
        <w:rPr>
          <w:noProof/>
          <w:u w:color="000000"/>
          <w:bdr w:val="nil"/>
        </w:rPr>
        <w:t>•</w:t>
      </w:r>
      <w:r>
        <w:rPr>
          <w:noProof/>
          <w:u w:color="000000"/>
          <w:bdr w:val="nil"/>
        </w:rPr>
        <w:tab/>
        <w:t>Výber nástroja</w:t>
      </w:r>
    </w:p>
    <w:p>
      <w:pPr>
        <w:pBdr>
          <w:top w:val="nil"/>
          <w:left w:val="nil"/>
          <w:bottom w:val="nil"/>
          <w:right w:val="nil"/>
          <w:between w:val="nil"/>
          <w:bar w:val="nil"/>
        </w:pBdr>
        <w:spacing w:before="0" w:after="240"/>
        <w:rPr>
          <w:noProof/>
        </w:rPr>
      </w:pPr>
      <w:r>
        <w:rPr>
          <w:noProof/>
        </w:rPr>
        <w:t>V súlade s článkom 98 Dohody o EHP je zvoleným nástrojom rozhodnutie Spoločného výboru EHP. Spoločný výbor EHP zabezpečuje účinné vykonávanie a fungovanie Dohody o EHP. Na tento účel prijíma rozhodnutia v prípadoch stanovených v Dohode o EHP.</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Bdr>
          <w:top w:val="nil"/>
          <w:left w:val="nil"/>
          <w:bottom w:val="nil"/>
          <w:right w:val="nil"/>
          <w:between w:val="nil"/>
          <w:bar w:val="nil"/>
        </w:pBdr>
        <w:spacing w:before="0" w:after="240"/>
        <w:rPr>
          <w:rFonts w:eastAsia="Arial Unicode MS"/>
          <w:noProof/>
        </w:rPr>
      </w:pPr>
      <w:r>
        <w:rPr>
          <w:noProof/>
          <w:u w:color="000000"/>
          <w:bdr w:val="nil"/>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Začlenenie uvedeného nariadenia do Dohody o EHP by nemalo mať žiaden vplyv na rozpočet.</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Podrobné vysvetlenie konkrétnych ustanovení návrhu</w:t>
      </w:r>
    </w:p>
    <w:p>
      <w:pPr>
        <w:rPr>
          <w:i/>
          <w:noProof/>
          <w:u w:val="single"/>
        </w:rPr>
      </w:pPr>
      <w:r>
        <w:rPr>
          <w:i/>
          <w:noProof/>
          <w:u w:val="single"/>
        </w:rPr>
        <w:t>Prudenciálne posudzovanie navrhovaných nadobúdateľov, ktorí nie sú rezidentmi (spoločné vyhlásenie k rozhodnutiu spoločného výboru), vo vzťahu k smernici 2013/36/EÚ</w:t>
      </w:r>
    </w:p>
    <w:p>
      <w:pPr>
        <w:rPr>
          <w:noProof/>
        </w:rPr>
      </w:pPr>
      <w:r>
        <w:rPr>
          <w:noProof/>
        </w:rPr>
        <w:t>Dohoda o EHP v zásade neslúži na reguláciu vzťahov zmluvných strán s tretími krajinami (pozri najmä odôvodnenie 16 preambuly k Dohode o EHP). Dohoda o EHP neobsahuje ustanovenia o liberalizácii kapitálových tokov ani neposkytuje nerezidentom práva vzťahujúce sa na slobodu usadiť sa či účasť na kapitáli spoločností (pozri články 31 a 34, 40 a 124 Dohody o EHP).</w:t>
      </w:r>
    </w:p>
    <w:p>
      <w:pPr>
        <w:rPr>
          <w:noProof/>
        </w:rPr>
      </w:pPr>
      <w:r>
        <w:rPr>
          <w:noProof/>
        </w:rPr>
        <w:t>V spoločnom vyhlásení k rozhodnutiu spoločného výboru sa preto uvádza, že zmluvné strany sa zhodujú na tom, že začlenenie smernice 2013/36/EÚ do Dohody o EHP sa nedotkne všeobecne uplatňovaných vnútroštátnych pravidiel týkajúcich sa preverovania priamych zahraničných investícií z hľadiska bezpečnosti alebo verejného poriadku.</w:t>
      </w:r>
    </w:p>
    <w:p>
      <w:pPr>
        <w:rPr>
          <w:i/>
          <w:noProof/>
          <w:u w:val="single"/>
        </w:rPr>
      </w:pPr>
      <w:r>
        <w:rPr>
          <w:i/>
          <w:noProof/>
          <w:u w:val="single"/>
        </w:rPr>
        <w:t>Vylúčenie niektorých islandských verejných úverových inštitúcií [úprava e) vo vzťahu k smernici 2013/36/EÚ]</w:t>
      </w:r>
    </w:p>
    <w:p>
      <w:pPr>
        <w:rPr>
          <w:noProof/>
        </w:rPr>
      </w:pPr>
      <w:r>
        <w:rPr>
          <w:noProof/>
        </w:rPr>
        <w:t>Na základe článku 2 ods. 5 smernice o kapitálových požiadavkách (CRD IV) sa niektoré verejné úverové inštitúcie vylučujú z rozsahu pôsobnosti smernice. Podľa tohto ustanovenia sa z rozsahu pôsobnosti CRD IV majú vyňať tri islandské inštitúcie.</w:t>
      </w:r>
    </w:p>
    <w:p>
      <w:pPr>
        <w:pBdr>
          <w:top w:val="nil"/>
          <w:left w:val="nil"/>
          <w:bottom w:val="nil"/>
          <w:right w:val="nil"/>
          <w:between w:val="nil"/>
          <w:bar w:val="nil"/>
        </w:pBdr>
        <w:spacing w:before="0" w:after="240"/>
        <w:rPr>
          <w:noProof/>
        </w:rPr>
      </w:pPr>
      <w:r>
        <w:rPr>
          <w:i/>
          <w:noProof/>
        </w:rPr>
        <w:t>Byggðastofnun</w:t>
      </w:r>
      <w:r>
        <w:rPr>
          <w:noProof/>
        </w:rPr>
        <w:t xml:space="preserve"> (Islandský inštitút regionálneho rozvoja) je nezávislou inštitúciou, ktorú vlastní islandský štát. Jej hlavnou funkciou je prispievať k regionálnemu rozvoju </w:t>
      </w:r>
      <w:r>
        <w:rPr>
          <w:noProof/>
        </w:rPr>
        <w:lastRenderedPageBreak/>
        <w:t>prostredníctvom vykonávania regionálnych stratégií vlády. Jej činnosti sú zamerané na posilnenie usadzovania sa vo vidieckych oblastiach prostredníctvom podpory udržateľných a dlhodobých projektov s rôznymi hospodárskymi základmi. Inštitút podporuje a posilňuje miestny rozvoj poskytovaním úverov a iných foriem finančnej podpory s cieľom zlepšiť hospodárske a životné podmienky najmä v regiónoch ohrozených vyľudňovaním. Pomocou podmienených úverov pre spoločnosti, jednotlivcov a obce poskytuje dodatočnú finančnú podporu, čím umožňuje účasť na všeobecnom hospodárskom rozvoji a podnecovanie inovácie. Islandský štát zaručuje dodržiavanie povinností inštitútu.</w:t>
      </w:r>
    </w:p>
    <w:p>
      <w:pPr>
        <w:spacing w:before="0"/>
        <w:rPr>
          <w:rFonts w:eastAsia="Times New Roman"/>
          <w:noProof/>
          <w:szCs w:val="24"/>
        </w:rPr>
      </w:pPr>
      <w:r>
        <w:rPr>
          <w:i/>
          <w:noProof/>
          <w:szCs w:val="24"/>
        </w:rPr>
        <w:t>Íbúðalánasjóður</w:t>
      </w:r>
      <w:r>
        <w:rPr>
          <w:noProof/>
        </w:rPr>
        <w:t xml:space="preserve"> je nástupkyňou inštitúcie</w:t>
      </w:r>
      <w:r>
        <w:rPr>
          <w:i/>
          <w:noProof/>
          <w:szCs w:val="24"/>
        </w:rPr>
        <w:t>Byggingarsjóðir ríkisins</w:t>
      </w:r>
      <w:r>
        <w:rPr>
          <w:noProof/>
        </w:rPr>
        <w:t>, ktorá bola v súlade s bodom 14 písm. a) prílohy IX k Dohode o EHP vyňatá z rozsahu pôsobnosti smernice 2006/48/ES.</w:t>
      </w:r>
    </w:p>
    <w:p>
      <w:pPr>
        <w:spacing w:before="0"/>
        <w:rPr>
          <w:rFonts w:eastAsia="Times New Roman"/>
          <w:noProof/>
          <w:szCs w:val="24"/>
        </w:rPr>
      </w:pPr>
      <w:r>
        <w:rPr>
          <w:i/>
          <w:noProof/>
          <w:szCs w:val="24"/>
        </w:rPr>
        <w:t>Lánasjóður sveitarfélaga ohf.</w:t>
      </w:r>
      <w:r>
        <w:rPr>
          <w:noProof/>
        </w:rPr>
        <w:t xml:space="preserve"> je špecializovanou úverovou inštitúciou. Vlastníctvo inštitúcie je zákonom obmedzené na viacero obcí (v súčasnosti sa o vlastníctvo delí 75 obcí). Jej úloha je zákonom obmedzená na poskytovanie úverov obciam a inštitúciám, ktoré majú obce v plnom vlastníctve, a to len pokiaľ ide o investície so širokým hospodárskym významom. Inštitúcia je podobná inštitúcii </w:t>
      </w:r>
      <w:r>
        <w:rPr>
          <w:i/>
          <w:noProof/>
          <w:szCs w:val="24"/>
        </w:rPr>
        <w:t>KommuneKredit</w:t>
      </w:r>
      <w:r>
        <w:rPr>
          <w:noProof/>
        </w:rPr>
        <w:t xml:space="preserve"> v Dánsku, ktorá je na základe článku 2 ods. 5 bodu 5 vyňatá z rozsahu pôsobnosti smernice CRD IV.</w:t>
      </w:r>
    </w:p>
    <w:p>
      <w:pPr>
        <w:spacing w:before="0"/>
        <w:rPr>
          <w:rFonts w:eastAsia="Times New Roman"/>
          <w:i/>
          <w:noProof/>
          <w:szCs w:val="24"/>
          <w:u w:val="single"/>
        </w:rPr>
      </w:pPr>
      <w:r>
        <w:rPr>
          <w:i/>
          <w:noProof/>
          <w:szCs w:val="24"/>
          <w:u w:val="single"/>
        </w:rPr>
        <w:t>Národné zaobchádzanie s pobočkami v tretích krajinách a spolupráca s orgánmi tretích krajín [úpravy g) a h)</w:t>
      </w:r>
      <w:r>
        <w:rPr>
          <w:i/>
          <w:noProof/>
          <w:u w:val="single"/>
        </w:rPr>
        <w:t xml:space="preserve"> vo vzťahu k smernici 2013/36/EÚ</w:t>
      </w:r>
      <w:r>
        <w:rPr>
          <w:i/>
          <w:noProof/>
          <w:szCs w:val="24"/>
          <w:u w:val="single"/>
        </w:rPr>
        <w:t>]</w:t>
      </w:r>
    </w:p>
    <w:p>
      <w:pPr>
        <w:spacing w:before="0"/>
        <w:rPr>
          <w:rFonts w:eastAsia="Times New Roman"/>
          <w:noProof/>
          <w:szCs w:val="24"/>
        </w:rPr>
      </w:pPr>
      <w:r>
        <w:rPr>
          <w:noProof/>
        </w:rPr>
        <w:t>Podľa článku 47 ods. 3 smernice CRD IV má Únia právomoc uzatvárať s tretími krajinami dohody, prostredníctvom ktorých sa zabezpečí rovnaké zaobchádzanie s pobočkami ich úverových inštitúcií na celom území Únie.</w:t>
      </w:r>
    </w:p>
    <w:p>
      <w:pPr>
        <w:spacing w:before="0"/>
        <w:rPr>
          <w:noProof/>
        </w:rPr>
      </w:pPr>
      <w:r>
        <w:rPr>
          <w:noProof/>
        </w:rPr>
        <w:t>V kontexte EHP sa zmluvné strany zhodujú na tom, že Dohoda o EHP v zásade neslúži na reguláciu ich vzťahov s tretími krajinami (pozri najmä odôvodnenie 16 preambuly k Dohode o EHP). Začlenením smernice CRD IV do Dohody o EHP štáty EZVO neprenášajú na Úniu žiadnu právomoc súvisiacu s rokovaním o prístupe na trh pre pobočky z tretích krajín. Úpravou g) sa teda prestáva uplatňovať článok 47 ods. 3, pokiaľ ide o štáty EZVO, pričom sa ustanovuje, že štáty EZVO môžu s tretími krajinami uzavrieť dvojstranné dohody týkajúce sa prístupu na trh pre pobočky.</w:t>
      </w:r>
    </w:p>
    <w:p>
      <w:pPr>
        <w:spacing w:before="0"/>
        <w:rPr>
          <w:rFonts w:eastAsia="Times New Roman"/>
          <w:noProof/>
          <w:szCs w:val="24"/>
        </w:rPr>
      </w:pPr>
      <w:r>
        <w:rPr>
          <w:noProof/>
        </w:rPr>
        <w:t>S cieľom podporiť súlad medzi politikami Únie a štátov EZVO vo vzťahu k tretím krajinám sa však v rámci úpravy g) takisto stanovuje, že zmluvné strany Dohody o EHP sa v rámci Spoločného výboru EHP navzájom informujú a radia, pokiaľ ide o rokovania o dohodách s tretími krajinami.</w:t>
      </w:r>
    </w:p>
    <w:p>
      <w:pPr>
        <w:spacing w:before="0"/>
        <w:rPr>
          <w:rFonts w:eastAsia="Times New Roman"/>
          <w:noProof/>
          <w:szCs w:val="24"/>
        </w:rPr>
      </w:pPr>
      <w:r>
        <w:rPr>
          <w:noProof/>
        </w:rPr>
        <w:t>Úprava g) vychádza z riešení dohodnutých medzi Úniou a štátmi EZVO v rámci režimov Solventnosť II a MiFID (pozri bod 1 písm. d) a e) a bod 31ba písm. b) prílohy IX k Dohode o EHP).</w:t>
      </w:r>
    </w:p>
    <w:p>
      <w:pPr>
        <w:spacing w:before="0"/>
        <w:rPr>
          <w:rFonts w:eastAsia="Times New Roman"/>
          <w:noProof/>
          <w:szCs w:val="24"/>
        </w:rPr>
      </w:pPr>
      <w:r>
        <w:rPr>
          <w:noProof/>
        </w:rPr>
        <w:t xml:space="preserve">Článok 48 smernice CRD IV obsahuje pravidlá týkajúce sa uzavretia dohôd o dohľade v súvislosti s konsolidovaným dohľadom medzi Úniou a tretími krajinami. Tieto dohody musia umožniť orgánom dohľadu v tretích krajinách získavať informácie od príslušných vnútroštátnych alebo odvetvových orgánov EÚ (vnútroštátne orgány EÚ na ochranu hospodárskej súťaže) a Európskemu orgánu pre bankovníctvo (EBA) zbierať informácie, ktoré dostali vnútroštátne orgány EÚ na ochranu hospodárskej súťaže od orgánov dohľadu tretích krajín. Keďže Európska únia nemôže uzatvárať dohody, ktorými sa vnútroštátne orgány štátov EZVO na ochranu hospodárskej súťaže zaväzujú k poskytovaniu informácií orgánom dohľadu v tretích krajinách, úpravou h) sa prestáva uplatňovať článok 48 smernice CRD IV [podobne ako v prípade riešenia dohodnutého v súvislosti s článkom 75 ods. 2 a 3 </w:t>
      </w:r>
      <w:r>
        <w:rPr>
          <w:noProof/>
        </w:rPr>
        <w:lastRenderedPageBreak/>
        <w:t>nariadenia o infraštruktúre európskych trhov (EMIR), pozri bod 31bc písm. zc) prílohy IX k Dohode o EHP].</w:t>
      </w:r>
    </w:p>
    <w:p>
      <w:pPr>
        <w:spacing w:before="0"/>
        <w:rPr>
          <w:rFonts w:eastAsia="Times New Roman"/>
          <w:noProof/>
          <w:szCs w:val="24"/>
        </w:rPr>
      </w:pPr>
      <w:r>
        <w:rPr>
          <w:noProof/>
        </w:rPr>
        <w:t>S cieľom umožniť prenos informácií, ktoré dostali vnútroštátne orgány štátov EZVO na ochranu hospodárskej súťaže od orgánov dohľadu tretích krajín, Európskemu orgánu pre bankovníctvo (EBA), v prípade, že je to potrebné na vykonávanie jeho technických úloh v súvislosti so štátmi EZVO, sa v rámci úpravy h) tiež stanovuje, že štáty EZVO sa budú takisto usilovať o to, aby sa do dohôd o dohľade zahrnuli doložky umožňujúce ich orgánom na ochranu hospodárskej súťaže poskytovať EBA relevantné informácie.</w:t>
      </w:r>
    </w:p>
    <w:p>
      <w:pPr>
        <w:rPr>
          <w:i/>
          <w:noProof/>
          <w:u w:val="single"/>
        </w:rPr>
      </w:pPr>
      <w:r>
        <w:rPr>
          <w:i/>
          <w:noProof/>
          <w:u w:val="single"/>
        </w:rPr>
        <w:t>Vyhradenie budúcich právnych predpisov Únie [úpravy k) a o) vo vzťahu k smernici 2013/36/EÚ]</w:t>
      </w:r>
    </w:p>
    <w:p>
      <w:pPr>
        <w:rPr>
          <w:noProof/>
        </w:rPr>
      </w:pPr>
      <w:r>
        <w:rPr>
          <w:noProof/>
        </w:rPr>
        <w:t>V súlade s článkom 7 Dohody o EHP sú pre štáty EZVO, ktoré sú členmi EHP, záväzné iba akty, ktoré boli začlenené do Dohody o EHP. Preto sa prostredníctvom úpravy k) zosúlaďuje znenie článku 89 ods. 5 smernice CRD IV s cieľom zohľadniť skutočnosť, že v kontexte EHP sa článok 89 prestane uplatňovať iba vtedy, ak sa v EHP začnú uplatňovať nové právne predpisy Únie týkajúce sa povinnosti zverejňovať informácie.</w:t>
      </w:r>
    </w:p>
    <w:p>
      <w:pPr>
        <w:rPr>
          <w:noProof/>
        </w:rPr>
      </w:pPr>
      <w:r>
        <w:rPr>
          <w:noProof/>
        </w:rPr>
        <w:t>Podobne sa prostredníctvom úpravy o) upravuje znenie článku 151 ods. 1 s cieľom zohľadniť skutočnosť, že prechodné opatrenia uvedené v hlave XI kapitole 1 smernice CRD IV sa uplatňujú len dovtedy, pokým sa nezačne uplatňovať rozhodnutie Spoločného výboru EHP o začlenení delegovaného aktu prijatého v súlade s článkom 460 nariadenia (EÚ) č. 575/2013.</w:t>
      </w:r>
    </w:p>
    <w:p>
      <w:pPr>
        <w:rPr>
          <w:i/>
          <w:noProof/>
          <w:u w:val="single"/>
        </w:rPr>
      </w:pPr>
      <w:r>
        <w:rPr>
          <w:i/>
          <w:noProof/>
          <w:u w:val="single"/>
        </w:rPr>
        <w:t>Právomoc schvaľovať vankúše na krytie systémového rizika [úprava n) vo vzťahu k smernici 2013/36/EÚ]</w:t>
      </w:r>
    </w:p>
    <w:p>
      <w:pPr>
        <w:rPr>
          <w:noProof/>
        </w:rPr>
      </w:pPr>
      <w:r>
        <w:rPr>
          <w:noProof/>
        </w:rPr>
        <w:t>Podľa článku 133 ods. 14 smernice CRD IV musia vnútroštátne orgány EÚ na ochranu hospodárskej súťaže v určitých prípadoch počkať pred prijatím opatrení zameraných na stanovenie alebo úpravu miery vankúša na krytie systémového rizika na stanovisko Komisie. Ak je stanovisko Komisie negatívne, tieto orgány buď postupujú v súlade so stanoviskom, alebo uvedú dôvody, pre ktoré tak neurobia.</w:t>
      </w:r>
    </w:p>
    <w:p>
      <w:pPr>
        <w:rPr>
          <w:noProof/>
        </w:rPr>
      </w:pPr>
      <w:r>
        <w:rPr>
          <w:noProof/>
        </w:rPr>
        <w:t>Podľa článku 133 ods. 15 smernice CRD IV Komisia na základe stanoviska Európskeho výboru pre systémové riziká (ESRB) a pokiaľ je presvedčená, že vankúš na krytie systémového rizika nevedie k neprimeraným negatívnym účinkom na finančný systém iných členských štátov alebo Únie, prijme vykonávací akt, ktorým sa orgán na ochranu hospodárskej súťaže oprávňuje na prijatie vankúša na krytie systémového rizika. Európsky orgán pre bankovníctvo (EBA) môže takisto predložiť stanovisko Komisii.</w:t>
      </w:r>
    </w:p>
    <w:p>
      <w:pPr>
        <w:rPr>
          <w:noProof/>
        </w:rPr>
      </w:pPr>
      <w:r>
        <w:rPr>
          <w:noProof/>
        </w:rPr>
        <w:t>V rámci systému vytvoreného podľa bodov 31f a 31g prílohy IX k Dohode o EHP môžu ESRB a EBA vydávať odporúčania týkajúce sa situácií v štátoch EZVO, pričom EBA môže vykonávať aj nezáväznú mediáciu podľa článku 19 nariadenia o EBA v prípade sporov, do ktorých je zapojený jeden zo štátov EZVO. Právomocou prijímať záväzné rozhodnutia v pilieri EZVO podľa článku 19 nariadenia o EBA disponuje Dozorný úrad EZVO.</w:t>
      </w:r>
    </w:p>
    <w:p>
      <w:pPr>
        <w:rPr>
          <w:noProof/>
        </w:rPr>
      </w:pPr>
      <w:r>
        <w:rPr>
          <w:noProof/>
        </w:rPr>
        <w:t>Funkcie Komisie súvisiace s postupmi overovania alebo schvaľovania súladu činností štátov EZVO s pravidlami uvedenými v Dohode o EHP však má vykonávať subjekt v rámci piliera EZVO v súlade s odsekom 4 písm. d) protokolu č. 1 k Dohode o EHP. Vzhľadom na význam a zložitosť rozhodnutí týkajúcich sa vankúšov na krytie systémového rizika táto právomoc prináleží Stálemu výboru štátov EZVO, pokiaľ ide o štáty EZVO.</w:t>
      </w:r>
    </w:p>
    <w:p>
      <w:pPr>
        <w:spacing w:before="0"/>
        <w:rPr>
          <w:noProof/>
        </w:rPr>
      </w:pPr>
      <w:r>
        <w:rPr>
          <w:noProof/>
        </w:rPr>
        <w:t xml:space="preserve">Úpravou n) sa teda v záujme jasnosti stanovuje právomoc Stáleho výboru štátov EZVO, pokiaľ ide o vydávanie stanovísk alebo odporúčaní (keďže táto právomoc nie je jasne pridelená v znení odseku 4 písm. d) protokolu č. 1 k Dohode o EHP), pričom sa zabezpečí, </w:t>
      </w:r>
      <w:r>
        <w:rPr>
          <w:noProof/>
        </w:rPr>
        <w:lastRenderedPageBreak/>
        <w:t>aby ESRB a EBA predkladali v prípade potreby svoje hodnotenia stálemu výboru v súlade s ods. 14 a 15 článku 133 CRD IV.</w:t>
      </w:r>
    </w:p>
    <w:p>
      <w:pPr>
        <w:rPr>
          <w:i/>
          <w:noProof/>
          <w:u w:val="single"/>
        </w:rPr>
      </w:pPr>
      <w:r>
        <w:rPr>
          <w:i/>
          <w:noProof/>
          <w:u w:val="single"/>
        </w:rPr>
        <w:t>Vymedzenie pojmu „nehnuteľný majetok určený na bývanie“ v Nórsku [úprava e) vo vzťahu k nariadeniu (EÚ) č. 575/2013]</w:t>
      </w:r>
    </w:p>
    <w:p>
      <w:pPr>
        <w:rPr>
          <w:noProof/>
        </w:rPr>
      </w:pPr>
      <w:r>
        <w:rPr>
          <w:noProof/>
        </w:rPr>
        <w:t>Bytové družstvá predstavujú bežný spôsob bývania v Nórsku. Akcionári získavajú podiel v družstve, ktoré vlastní alebo kontroluje budovu (-y) a nehnuteľnosť, v ktorej (-ých) žijú. Každý akcionár má právo obsadiť osobitnú časť budovy.</w:t>
      </w:r>
    </w:p>
    <w:p>
      <w:pPr>
        <w:rPr>
          <w:noProof/>
        </w:rPr>
      </w:pPr>
      <w:r>
        <w:rPr>
          <w:noProof/>
        </w:rPr>
        <w:t>Ochrana veriteľa v súvislosti s bytom patriacim do bytového družstva v Nórsku sa vo všeobecnosti vykladá ako ekvivalent priameho podielu. V záujme právnej istoty by sa však malo objasniť, že právo obývať byt v bytových družstvách v Nórsku je začlenené do vymedzenia pojmu „nehnuteľný majetok určený na bývanie“ v nariadení o kapitálových požiadavkách. Úpravou e) sa teda prispôsobuje znenie článku 4 ods. 1 bodu 75, ktoré sa týka Švédska, s cieľom zahrnúť doň situáciu v Nórsku.</w:t>
      </w:r>
    </w:p>
    <w:p>
      <w:pPr>
        <w:rPr>
          <w:i/>
          <w:noProof/>
          <w:u w:val="single"/>
        </w:rPr>
      </w:pPr>
      <w:r>
        <w:rPr>
          <w:i/>
          <w:noProof/>
          <w:u w:val="single"/>
        </w:rPr>
        <w:t>Právomoc Komisie akceptovať limity veľkej majetkovej angažovanosti a právomoc Rady schvaľovať prísnejšie vnútroštátne opatrenia v prípade makroprudenciálneho alebo systémového rizika [úpravy i) a j) vo vzťahu k nariadeniu (EÚ) č. 575/2013]</w:t>
      </w:r>
    </w:p>
    <w:p>
      <w:pPr>
        <w:rPr>
          <w:noProof/>
        </w:rPr>
      </w:pPr>
      <w:r>
        <w:rPr>
          <w:noProof/>
        </w:rPr>
        <w:t>Podľa článku 395 nariadenia o kapitálových požiadavkách musia vnútroštátne orgány EÚ na ochranu hospodárskej súťaže v určitých prípadoch získať súhlas Komisie pred prijatím štrukturálnych opatrení, na základe ktorých sa od úverových inštitúcií s povolením v danom členskom štáte vyžaduje, aby znížili svoje expozície voči rôznym právnickým osobám. Komisia môže na základe stanoviska EBA zamietnuť navrhované vnútroštátne opatrenie len vtedy, ak sa domnieva, že má neprimeraný nepriaznivý vplyv na finančný systém iných členských štátov alebo Únie.</w:t>
      </w:r>
    </w:p>
    <w:p>
      <w:pPr>
        <w:rPr>
          <w:noProof/>
        </w:rPr>
      </w:pPr>
      <w:r>
        <w:rPr>
          <w:noProof/>
        </w:rPr>
        <w:t>Podľa článku 458 nariadenia o kapitálových požiadavkách musia členské štáty v určitých prípadoch získať oprávnenie Rady pred prijatím určitých prísnejších vnútroštátnych opatrení zameraných na riešenie makroprudenciálneho a systémového rizika s dôsledkami pre vnútroštátny finančný systém a reálnu ekonomiku. Komisia je poverená predložiť Rade návrh opatrenia, na základe ktorého sa schváli alebo zamietne dané vnútroštátne opatrenie. Rada zamietne vnútroštátne opatrenia len v obmedzenom počte prípadov, pričom zohľadní stanoviská ESRB a EBA. Iné členské štáty môžu uznať vnútroštátne opatrenia prijaté podľa článku 458 nariadenia o kapitálových požiadavkách a uplatňovať ich na pobočky nachádzajúce sa v členskom štáte oprávnenom uplatňovať tieto opatrenia.</w:t>
      </w:r>
    </w:p>
    <w:p>
      <w:pPr>
        <w:rPr>
          <w:noProof/>
        </w:rPr>
      </w:pPr>
      <w:r>
        <w:rPr>
          <w:noProof/>
        </w:rPr>
        <w:t>V rámci systému vytvoreného podľa bodov 31f a 31g prílohy IX k Dohode o EHP môžu ESRB a EBA vydávať stanoviská týkajúce sa situácií v štátoch EZVO.</w:t>
      </w:r>
    </w:p>
    <w:p>
      <w:pPr>
        <w:rPr>
          <w:noProof/>
        </w:rPr>
      </w:pPr>
      <w:r>
        <w:rPr>
          <w:noProof/>
        </w:rPr>
        <w:t>Funkcie Komisie súvisiace s postupmi overovania alebo schvaľovania súladu činností štátov EZVO s pravidlami uvedenými v Dohode o EHP však má vykonávať subjekt v rámci piliera EZVO v súlade s odsekom 4 písm. d) protokolu č. 1 k Dohode o EHP. Vzhľadom na význam a zložitosť rozhodnutí týkajúcich sa štrukturálnych opatrení obmedzujúcich veľkú majetkovú angažovanosť prijatých podľa článku 395 táto právomoc prináleží Stálemu výboru štátov EZVO, pokiaľ ide o štáty EZVO.</w:t>
      </w:r>
    </w:p>
    <w:p>
      <w:pPr>
        <w:rPr>
          <w:noProof/>
        </w:rPr>
      </w:pPr>
      <w:r>
        <w:rPr>
          <w:noProof/>
        </w:rPr>
        <w:t>Podobne prináležia funkcie pridelené Rade podľa článku 458 nariadenia o kapitálových požiadavkách Stálemu výboru štátov EZVO, pokiaľ ide o štáty EZVO. Toto rozhodnutie by však malo byť založené na návrhu Dozorného úradu EZVO, ktorý odzrkadľuje rámec uplatniteľný v EÚ.</w:t>
      </w:r>
    </w:p>
    <w:p>
      <w:pPr>
        <w:rPr>
          <w:noProof/>
        </w:rPr>
      </w:pPr>
      <w:r>
        <w:rPr>
          <w:noProof/>
        </w:rPr>
        <w:t xml:space="preserve">Úpravou i) bodom ii) a úpravou j) bodom ii) sa teda v záujme jasnosti stanovuje právomoc Stáleho výboru štátov EZVO prijímať takéto rozhodnutia (keďže táto právomoc nie je jasne </w:t>
      </w:r>
      <w:r>
        <w:rPr>
          <w:noProof/>
        </w:rPr>
        <w:lastRenderedPageBreak/>
        <w:t>pridelená v pilieri EZVO na základe znenia odseku 4 písm. d) protokolu č. 1 k Dohode o EHP), pričom sa zabezpečí, aby EBA a prípadne ESRB predkladali svoje hodnotenia Stálemu výboru štátov EZVO v súlade s článkom 395 ods. 8 alebo článkom 458 ods. 4 nariadenia o kapitálových požiadavkách [úprava i) bod iii) a úprava j) bod iii)].</w:t>
      </w:r>
    </w:p>
    <w:p>
      <w:pPr>
        <w:rPr>
          <w:i/>
          <w:noProof/>
          <w:u w:val="single"/>
        </w:rPr>
      </w:pPr>
      <w:r>
        <w:rPr>
          <w:i/>
          <w:noProof/>
          <w:u w:val="single"/>
        </w:rPr>
        <w:t>Uplatňovanie prechodných ustanovení – najnižšia úroveň podľa dohody Bazilej I [odôvodnenie 6 preambuly týkajúce sa nariadenia (EÚ) č. 575/2013]</w:t>
      </w:r>
    </w:p>
    <w:p>
      <w:pPr>
        <w:rPr>
          <w:noProof/>
        </w:rPr>
      </w:pPr>
      <w:r>
        <w:rPr>
          <w:noProof/>
        </w:rPr>
        <w:t>V článku 500 nariadenia o kapitálových požiadavkách sa stanovuje tzv. najnižšia úroveň podľa dohody Bazilej I, ktorá bola ustanovená v časti 2-1-C (body 45 až 47) dohody Bazilej II. Platnosť tohto článku uplynula koncom roka 2017. Článok 152 smernice 2006/48/ES, ktorý bol nahradený článkom 500 nariadenia (EÚ) č. 575/2013, obmedzil možnosť bezdôvodného zníženia vlastných zdrojov vyplývajúceho z používania interných modelov. Hoci platnosť článku 500 uplynula, príslušný orgán musí stále riešiť riziko spojené s používaním modelu.</w:t>
      </w:r>
    </w:p>
    <w:p>
      <w:r>
        <w:rPr>
          <w:noProof/>
        </w:rPr>
        <w:t xml:space="preserve">V odôvodnení 6 preambuly sa pripomína, že v rámci existuje viacero ustanovení, ktoré umožňujú príslušným orgánom riešiť rovnaký problém, vrátane možnosti prijať opatrenia na vyváženie bezdôvodného zníženia rizikovo vážených expozícií a na uloženie </w:t>
      </w:r>
      <w:r>
        <w:rPr>
          <w:noProof/>
          <w:color w:val="000000"/>
        </w:rPr>
        <w:t xml:space="preserve">obozretných </w:t>
      </w:r>
      <w:r>
        <w:rPr>
          <w:noProof/>
        </w:rPr>
        <w:t>mier konzervatívnosti</w:t>
      </w:r>
      <w:r>
        <w:rPr>
          <w:noProof/>
          <w:color w:val="000000"/>
        </w:rPr>
        <w:t xml:space="preserve"> pri kalibrácii interných modelov</w:t>
      </w:r>
      <w:r>
        <w:rPr>
          <w:noProof/>
        </w:rPr>
        <w: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2019/0018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prijať v mene Európskej únie v Spoločnom výbore EHP k zmene prílohy IX (Finančné služby) k Dohode o EHP</w:t>
      </w:r>
      <w:r>
        <w:rPr>
          <w:noProof/>
        </w:rPr>
        <w:br/>
      </w:r>
      <w:r>
        <w:rPr>
          <w:noProof/>
        </w:rPr>
        <w:br/>
        <w:t>[nariadenie o kapitálových požiadavkách (EÚ) č. 575/2013 (CRR) a smernica o kapitálových požiadavkách 2013/36/EÚ (CRD IV)]</w:t>
      </w:r>
    </w:p>
    <w:p>
      <w:pPr>
        <w:pStyle w:val="IntrtEEE"/>
        <w:rPr>
          <w:noProof/>
        </w:rPr>
      </w:pPr>
      <w:r>
        <w:rPr>
          <w:noProof/>
        </w:rPr>
        <w:t>(Text s významom pre EHP)</w:t>
      </w:r>
    </w:p>
    <w:p>
      <w:pPr>
        <w:pStyle w:val="Institutionquiagit"/>
        <w:rPr>
          <w:noProof/>
        </w:rPr>
      </w:pPr>
      <w:r>
        <w:rPr>
          <w:noProof/>
        </w:rPr>
        <w:t>RADA EURÓPSKEJ ÚNIE,</w:t>
      </w:r>
    </w:p>
    <w:p>
      <w:pPr>
        <w:rPr>
          <w:noProof/>
        </w:rPr>
      </w:pPr>
      <w:r>
        <w:rPr>
          <w:noProof/>
        </w:rPr>
        <w:t>so zreteľom na Zmluvu o fungovaní Európskej únie, a najmä jej článok 114 v spojení s jej článkom 218 ods. 9,</w:t>
      </w:r>
    </w:p>
    <w:p>
      <w:pPr>
        <w:rPr>
          <w:noProof/>
        </w:rPr>
      </w:pPr>
      <w:r>
        <w:rPr>
          <w:noProof/>
        </w:rPr>
        <w:t>so zreteľom na nariadenie Rady (ES) č. 2894/94 z 28. novembra 1994 o opatreniach na vykonávanie Dohody o Európskom hospodárskom priestore</w:t>
      </w:r>
      <w:r>
        <w:rPr>
          <w:rStyle w:val="FootnoteReference"/>
          <w:noProof/>
        </w:rPr>
        <w:footnoteReference w:id="2"/>
      </w:r>
      <w:r>
        <w:rPr>
          <w:noProof/>
        </w:rPr>
        <w:t>, a najmä na jeho článok 1 ods. 3,</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Dohoda o Európskom hospodárskom priestore</w:t>
      </w:r>
      <w:r>
        <w:rPr>
          <w:rStyle w:val="FootnoteReference"/>
          <w:noProof/>
        </w:rPr>
        <w:footnoteReference w:id="3"/>
      </w:r>
      <w:r>
        <w:rPr>
          <w:noProof/>
        </w:rPr>
        <w:t xml:space="preserve"> („Dohoda o EHP“) nadobudla platnosť 1. januára 1994.</w:t>
      </w:r>
    </w:p>
    <w:p>
      <w:pPr>
        <w:pStyle w:val="ManualConsidrant"/>
        <w:rPr>
          <w:noProof/>
        </w:rPr>
      </w:pPr>
      <w:r>
        <w:t>(2)</w:t>
      </w:r>
      <w:r>
        <w:tab/>
      </w:r>
      <w:r>
        <w:rPr>
          <w:noProof/>
        </w:rPr>
        <w:t>Podľa článku 98 Dohody o EHP sa na základe rozhodnutia Spoločného výboru EHP môže meniť, okrem iného, príloha IX k Dohode o EHP, ktorá obsahuje ustanovenia týkajúce sa finančných služieb.</w:t>
      </w:r>
    </w:p>
    <w:p>
      <w:pPr>
        <w:pStyle w:val="ManualConsidrant"/>
        <w:rPr>
          <w:noProof/>
        </w:rPr>
      </w:pPr>
      <w:r>
        <w:t>(3)</w:t>
      </w:r>
      <w:r>
        <w:tab/>
      </w:r>
      <w:r>
        <w:rPr>
          <w:noProof/>
        </w:rPr>
        <w:t>Nariadenie Európskeho parlamentu a Rady (EÚ) č. 575/2013</w:t>
      </w:r>
      <w:r>
        <w:rPr>
          <w:rStyle w:val="FootnoteReference"/>
          <w:noProof/>
        </w:rPr>
        <w:footnoteReference w:id="4"/>
      </w:r>
      <w:r>
        <w:rPr>
          <w:noProof/>
        </w:rPr>
        <w:t xml:space="preserve"> a smernica Európskeho parlamentu a Rady 2013/36/EÚ</w:t>
      </w:r>
      <w:r>
        <w:rPr>
          <w:rStyle w:val="FootnoteReference"/>
          <w:noProof/>
        </w:rPr>
        <w:footnoteReference w:id="5"/>
      </w:r>
      <w:r>
        <w:rPr>
          <w:noProof/>
        </w:rPr>
        <w:t xml:space="preserve"> sa majú začleniť do Dohody o EHP.</w:t>
      </w:r>
    </w:p>
    <w:p>
      <w:pPr>
        <w:pStyle w:val="ManualConsidrant"/>
        <w:rPr>
          <w:noProof/>
        </w:rPr>
      </w:pPr>
      <w:r>
        <w:t>(4)</w:t>
      </w:r>
      <w:r>
        <w:tab/>
      </w:r>
      <w:r>
        <w:rPr>
          <w:noProof/>
        </w:rPr>
        <w:t>Príloha IX k Dohode o EHP by sa preto mala zodpovedajúcim spôsobom zmeniť.</w:t>
      </w:r>
    </w:p>
    <w:p>
      <w:pPr>
        <w:pStyle w:val="ManualConsidrant"/>
        <w:rPr>
          <w:noProof/>
        </w:rPr>
      </w:pPr>
      <w:r>
        <w:t>(5)</w:t>
      </w:r>
      <w:r>
        <w:tab/>
      </w:r>
      <w:r>
        <w:rPr>
          <w:noProof/>
        </w:rPr>
        <w:t>Pozícia Únie v Spoločnom výbore EHP by preto mala vychádzať z pripojeného návrhu rozhodnutia,</w:t>
      </w:r>
    </w:p>
    <w:p>
      <w:pPr>
        <w:pStyle w:val="Formuledadoption"/>
        <w:rPr>
          <w:noProof/>
        </w:rPr>
      </w:pPr>
      <w:r>
        <w:rPr>
          <w:noProof/>
        </w:rPr>
        <w:lastRenderedPageBreak/>
        <w:t>PRIJALA TOTO ROZHODNUTIE:</w:t>
      </w:r>
    </w:p>
    <w:p>
      <w:pPr>
        <w:pStyle w:val="Titrearticle"/>
        <w:rPr>
          <w:noProof/>
        </w:rPr>
      </w:pPr>
      <w:r>
        <w:rPr>
          <w:noProof/>
        </w:rPr>
        <w:t>Článok 1</w:t>
      </w:r>
    </w:p>
    <w:p>
      <w:pPr>
        <w:rPr>
          <w:noProof/>
        </w:rPr>
      </w:pPr>
      <w:r>
        <w:rPr>
          <w:noProof/>
        </w:rPr>
        <w:t>Pozícia, ktorá sa má prijať v mene Únie v Spoločnom výbore EHP k navrhovanej zmene prílohy IX (Finančné služby) k Dohode o EHP, je založená na návrhu rozhodnutia Spoločného výboru EHP pripojeného k tomuto rozhodnutiu.</w:t>
      </w:r>
    </w:p>
    <w:p>
      <w:pPr>
        <w:pStyle w:val="Titrearticle"/>
        <w:keepNext w:val="0"/>
        <w:rPr>
          <w:noProof/>
        </w:rPr>
      </w:pPr>
      <w:r>
        <w:rPr>
          <w:noProof/>
        </w:rPr>
        <w:t>Článok 2</w:t>
      </w:r>
    </w:p>
    <w:p>
      <w:pPr>
        <w:keepLines/>
        <w:rPr>
          <w:noProof/>
        </w:rPr>
      </w:pPr>
      <w:r>
        <w:rPr>
          <w:noProof/>
        </w:rPr>
        <w:t>Toto rozhodnutie nadobúda účinnosť dňom jeho prijatia.</w:t>
      </w:r>
    </w:p>
    <w:p>
      <w:pPr>
        <w:keepLines/>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Európskeho parlamentu a Rady (EÚ) č. 575/2013 z 26. júna 2013 o prudenciálnych požiadavkách na úverové inštitúcie a investičné spoločnosti a o zmene nariadenia (EÚ) č. 648/2012 v znení korigend uverejnených v Ú. v. EÚ L 208, 2.8.2013, s. 68 a Ú. v. EÚ L 321, 30.11.2013, s. 6.</w:t>
      </w:r>
    </w:p>
    <w:p>
      <w:pPr>
        <w:pStyle w:val="FootnoteText"/>
        <w:ind w:firstLine="0"/>
      </w:pPr>
      <w:r>
        <w:t>Smernica Európskeho parlamentu a Rady 2013/36/EÚ z 26. júna 2013 o prístupe k činnosti úverových inštitúcií a prudenciálnom dohľade nad úverovými inštitúciami a investičnými spoločnosťami, o zmene smernice 2002/87/ES a o zrušení smerníc 2006/48/ES a 2006/49/ES v znení korigenda uverejneného v Ú. v. EÚ L 208, 2.8.2013, s. 73.</w:t>
      </w:r>
    </w:p>
  </w:footnote>
  <w:footnote w:id="2">
    <w:p>
      <w:pPr>
        <w:pStyle w:val="FootnoteText"/>
      </w:pPr>
      <w:r>
        <w:rPr>
          <w:rStyle w:val="FootnoteReference"/>
        </w:rPr>
        <w:footnoteRef/>
      </w:r>
      <w:r>
        <w:tab/>
        <w:t>Ú. v. ES L 305, 30.11.1994, s. 6.</w:t>
      </w:r>
    </w:p>
  </w:footnote>
  <w:footnote w:id="3">
    <w:p>
      <w:pPr>
        <w:pStyle w:val="FootnoteText"/>
      </w:pPr>
      <w:r>
        <w:rPr>
          <w:rStyle w:val="FootnoteReference"/>
        </w:rPr>
        <w:footnoteRef/>
      </w:r>
      <w:r>
        <w:tab/>
        <w:t xml:space="preserve">Ú. v. ES L 1, 3.1.1994, s. 3. </w:t>
      </w:r>
    </w:p>
  </w:footnote>
  <w:footnote w:id="4">
    <w:p>
      <w:pPr>
        <w:pStyle w:val="FootnoteText"/>
      </w:pPr>
      <w:r>
        <w:rPr>
          <w:rStyle w:val="FootnoteReference"/>
        </w:rPr>
        <w:footnoteRef/>
      </w:r>
      <w:r>
        <w:tab/>
        <w:t xml:space="preserve">Nariadenie Európskeho parlamentu a Rady (EÚ) č. 575/2013 z 26. júna 2013 o prudenciálnych požiadavkách na úverové inštitúcie a investičné spoločnosti a o zmene nariadenia (EÚ) č. 648/2012 (Ú. v. EÚ L 176, 27.6.2013, s. 1) v znení korigend uverejnených v Ú. v. EÚ L 208, 2.8.2013, s. 68, Ú. v. EÚ L 321, 30.11.2013, s. 6 a Ú. v. EÚ L 20, 25.1.2017, s. 2. </w:t>
      </w:r>
    </w:p>
  </w:footnote>
  <w:footnote w:id="5">
    <w:p>
      <w:pPr>
        <w:pStyle w:val="FootnoteText"/>
      </w:pPr>
      <w:r>
        <w:rPr>
          <w:rStyle w:val="FootnoteReference"/>
        </w:rPr>
        <w:footnoteRef/>
      </w:r>
      <w:r>
        <w:tab/>
        <w:t xml:space="preserve">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 v znení korigend uverejnených v Ú. v. EÚ L 208, 2.8.2013, s. 73 a Ú. v. EÚ L 20, 25.1.2017,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80284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89A3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30D9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1A53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54EF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3EF4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26EA78"/>
    <w:lvl w:ilvl="0">
      <w:start w:val="1"/>
      <w:numFmt w:val="decimal"/>
      <w:pStyle w:val="ListNumber"/>
      <w:lvlText w:val="%1."/>
      <w:lvlJc w:val="left"/>
      <w:pPr>
        <w:tabs>
          <w:tab w:val="num" w:pos="360"/>
        </w:tabs>
        <w:ind w:left="360" w:hanging="360"/>
      </w:pPr>
    </w:lvl>
  </w:abstractNum>
  <w:abstractNum w:abstractNumId="7">
    <w:nsid w:val="FFFFFF89"/>
    <w:multiLevelType w:val="singleLevel"/>
    <w:tmpl w:val="8E20FE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5 16:36: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5F7759-AE64-4F63-9BB3-703042053ABD"/>
    <w:docVar w:name="LW_COVERPAGE_TYPE" w:val="1"/>
    <w:docVar w:name="LW_CROSSREFERENCE" w:val="&lt;UNUSED&gt;"/>
    <w:docVar w:name="LW_DocType" w:val="COM"/>
    <w:docVar w:name="LW_EMISSION" w:val="4. 2. 2019"/>
    <w:docVar w:name="LW_EMISSION_ISODATE" w:val="2019-02-04"/>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18"/>
    <w:docVar w:name="LW_REF.II.NEW.CP_YEAR" w:val="2019"/>
    <w:docVar w:name="LW_REF.INST.NEW" w:val="COM"/>
    <w:docVar w:name="LW_REF.INST.NEW_ADOPTED" w:val="final"/>
    <w:docVar w:name="LW_REF.INST.NEW_TEXT" w:val="(2019) 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prija\u357? v mene Európskej únie v Spolo\u269?nom výbore EHP k zmene prílohy IX (Finan\u269?né slu\u382?by) k Dohode o EHP_x000b__x000b_[nariadenie o kapitálových po\u382?iadavkách (EÚ) \u269?. 575/2013 (CRR) a smernica o kapitálových po\u382?iadavkách 2013/36/EÚ (CRD IV)]"/>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9</Pages>
  <Words>2684</Words>
  <Characters>15274</Characters>
  <Application>Microsoft Office Word</Application>
  <DocSecurity>0</DocSecurity>
  <Lines>267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2019-01-18T09:44:00Z</dcterms:created>
  <dcterms:modified xsi:type="dcterms:W3CDTF">2019-01-25T15:36:00Z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