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C9" w:rsidRDefault="00332A9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F2E434F-4B34-4786-8348-6EFF48193234" style="width:450.75pt;height:333.75pt">
            <v:imagedata r:id="rId8" o:title=""/>
          </v:shape>
        </w:pict>
      </w:r>
    </w:p>
    <w:bookmarkEnd w:id="0"/>
    <w:p w:rsidR="005627C9" w:rsidRDefault="005627C9">
      <w:pPr>
        <w:rPr>
          <w:noProof/>
        </w:rPr>
        <w:sectPr w:rsidR="005627C9">
          <w:headerReference w:type="even" r:id="rId9"/>
          <w:headerReference w:type="default" r:id="rId10"/>
          <w:footerReference w:type="even" r:id="rId11"/>
          <w:footerReference w:type="default" r:id="rId12"/>
          <w:headerReference w:type="first" r:id="rId13"/>
          <w:footerReference w:type="first" r:id="rId14"/>
          <w:pgSz w:w="11907" w:h="16840"/>
          <w:pgMar w:top="1134" w:right="1417" w:bottom="1134" w:left="1417" w:header="709" w:footer="709" w:gutter="0"/>
          <w:pgNumType w:start="1"/>
          <w:cols w:space="720"/>
          <w:docGrid w:linePitch="299"/>
        </w:sectPr>
      </w:pPr>
    </w:p>
    <w:p w:rsidR="005627C9" w:rsidRDefault="005627C9">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rsidR="005627C9" w:rsidRDefault="00332A90">
          <w:pPr>
            <w:pStyle w:val="TOCHeading"/>
            <w:rPr>
              <w:noProof/>
            </w:rPr>
          </w:pPr>
          <w:r>
            <w:rPr>
              <w:noProof/>
            </w:rPr>
            <w:t>Innehållsförteckning</w:t>
          </w:r>
        </w:p>
        <w:p w:rsidR="005627C9" w:rsidRDefault="00332A90">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534712952"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Budgetförfarandet för EGFJ 2018</w:t>
            </w:r>
            <w:r>
              <w:rPr>
                <w:noProof/>
                <w:webHidden/>
              </w:rPr>
              <w:tab/>
            </w:r>
            <w:r>
              <w:rPr>
                <w:noProof/>
                <w:webHidden/>
              </w:rPr>
              <w:fldChar w:fldCharType="begin"/>
            </w:r>
            <w:r>
              <w:rPr>
                <w:noProof/>
                <w:webHidden/>
              </w:rPr>
              <w:instrText xml:space="preserve"> PAGEREF _Toc534712952 \h </w:instrText>
            </w:r>
            <w:r>
              <w:rPr>
                <w:noProof/>
                <w:webHidden/>
              </w:rPr>
            </w:r>
            <w:r>
              <w:rPr>
                <w:noProof/>
                <w:webHidden/>
              </w:rPr>
              <w:fldChar w:fldCharType="separate"/>
            </w:r>
            <w:r>
              <w:rPr>
                <w:noProof/>
                <w:webHidden/>
              </w:rPr>
              <w:t>2</w:t>
            </w:r>
            <w:r>
              <w:rPr>
                <w:noProof/>
                <w:webHidden/>
              </w:rPr>
              <w:fldChar w:fldCharType="end"/>
            </w:r>
          </w:hyperlink>
        </w:p>
        <w:p w:rsidR="005627C9" w:rsidRDefault="00332A90">
          <w:pPr>
            <w:pStyle w:val="TOC1"/>
            <w:rPr>
              <w:rFonts w:asciiTheme="minorHAnsi" w:eastAsiaTheme="minorEastAsia" w:hAnsiTheme="minorHAnsi" w:cstheme="minorBidi"/>
              <w:noProof/>
              <w:sz w:val="22"/>
              <w:szCs w:val="22"/>
              <w:lang w:val="en-GB" w:eastAsia="en-GB" w:bidi="ar-SA"/>
            </w:rPr>
          </w:pPr>
          <w:hyperlink w:anchor="_Toc534712953"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Inkomster avsatta för EGFJ</w:t>
            </w:r>
            <w:r>
              <w:rPr>
                <w:noProof/>
                <w:webHidden/>
              </w:rPr>
              <w:tab/>
            </w:r>
            <w:r>
              <w:rPr>
                <w:noProof/>
                <w:webHidden/>
              </w:rPr>
              <w:fldChar w:fldCharType="begin"/>
            </w:r>
            <w:r>
              <w:rPr>
                <w:noProof/>
                <w:webHidden/>
              </w:rPr>
              <w:instrText xml:space="preserve"> PAGEREF _Toc534712953 \h </w:instrText>
            </w:r>
            <w:r>
              <w:rPr>
                <w:noProof/>
                <w:webHidden/>
              </w:rPr>
            </w:r>
            <w:r>
              <w:rPr>
                <w:noProof/>
                <w:webHidden/>
              </w:rPr>
              <w:fldChar w:fldCharType="separate"/>
            </w:r>
            <w:r>
              <w:rPr>
                <w:noProof/>
                <w:webHidden/>
              </w:rPr>
              <w:t>2</w:t>
            </w:r>
            <w:r>
              <w:rPr>
                <w:noProof/>
                <w:webHidden/>
              </w:rPr>
              <w:fldChar w:fldCharType="end"/>
            </w:r>
          </w:hyperlink>
        </w:p>
        <w:p w:rsidR="005627C9" w:rsidRDefault="00332A90">
          <w:pPr>
            <w:pStyle w:val="TOC1"/>
            <w:rPr>
              <w:rFonts w:asciiTheme="minorHAnsi" w:eastAsiaTheme="minorEastAsia" w:hAnsiTheme="minorHAnsi" w:cstheme="minorBidi"/>
              <w:noProof/>
              <w:sz w:val="22"/>
              <w:szCs w:val="22"/>
              <w:lang w:val="en-GB" w:eastAsia="en-GB" w:bidi="ar-SA"/>
            </w:rPr>
          </w:pPr>
          <w:hyperlink w:anchor="_Toc534712954"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Kommentarer till det preliminära genomförandet av 2018 års budget för EGFJ</w:t>
            </w:r>
            <w:r>
              <w:rPr>
                <w:noProof/>
                <w:webHidden/>
              </w:rPr>
              <w:tab/>
            </w:r>
            <w:r>
              <w:rPr>
                <w:noProof/>
                <w:webHidden/>
              </w:rPr>
              <w:fldChar w:fldCharType="begin"/>
            </w:r>
            <w:r>
              <w:rPr>
                <w:noProof/>
                <w:webHidden/>
              </w:rPr>
              <w:instrText xml:space="preserve"> PAGEREF _Toc534712954 \h </w:instrText>
            </w:r>
            <w:r>
              <w:rPr>
                <w:noProof/>
                <w:webHidden/>
              </w:rPr>
            </w:r>
            <w:r>
              <w:rPr>
                <w:noProof/>
                <w:webHidden/>
              </w:rPr>
              <w:fldChar w:fldCharType="separate"/>
            </w:r>
            <w:r>
              <w:rPr>
                <w:noProof/>
                <w:webHidden/>
              </w:rPr>
              <w:t>3</w:t>
            </w:r>
            <w:r>
              <w:rPr>
                <w:noProof/>
                <w:webHidden/>
              </w:rPr>
              <w:fldChar w:fldCharType="end"/>
            </w:r>
          </w:hyperlink>
        </w:p>
        <w:p w:rsidR="005627C9" w:rsidRDefault="00332A90">
          <w:pPr>
            <w:pStyle w:val="TOC2"/>
            <w:tabs>
              <w:tab w:val="left" w:pos="850"/>
              <w:tab w:val="right" w:leader="dot" w:pos="9039"/>
            </w:tabs>
            <w:rPr>
              <w:rFonts w:asciiTheme="minorHAnsi" w:eastAsiaTheme="minorEastAsia" w:hAnsiTheme="minorHAnsi" w:cstheme="minorBidi"/>
              <w:noProof/>
              <w:lang w:val="en-GB" w:eastAsia="en-GB" w:bidi="ar-SA"/>
            </w:rPr>
          </w:pPr>
          <w:hyperlink w:anchor="_Toc534712955" w:history="1">
            <w:r>
              <w:rPr>
                <w:rStyle w:val="Hyperlink"/>
                <w:noProof/>
              </w:rPr>
              <w:t>3.1.</w:t>
            </w:r>
            <w:r>
              <w:rPr>
                <w:rFonts w:asciiTheme="minorHAnsi" w:eastAsiaTheme="minorEastAsia" w:hAnsiTheme="minorHAnsi" w:cstheme="minorBidi"/>
                <w:noProof/>
                <w:lang w:val="en-GB" w:eastAsia="en-GB" w:bidi="ar-SA"/>
              </w:rPr>
              <w:tab/>
            </w:r>
            <w:r>
              <w:rPr>
                <w:rStyle w:val="Hyperlink"/>
                <w:noProof/>
              </w:rPr>
              <w:t>Marknadsåtgärder</w:t>
            </w:r>
            <w:r>
              <w:rPr>
                <w:noProof/>
                <w:webHidden/>
              </w:rPr>
              <w:tab/>
            </w:r>
            <w:r>
              <w:rPr>
                <w:noProof/>
                <w:webHidden/>
              </w:rPr>
              <w:fldChar w:fldCharType="begin"/>
            </w:r>
            <w:r>
              <w:rPr>
                <w:noProof/>
                <w:webHidden/>
              </w:rPr>
              <w:instrText xml:space="preserve"> PAGEREF _Toc534712955 \h </w:instrText>
            </w:r>
            <w:r>
              <w:rPr>
                <w:noProof/>
                <w:webHidden/>
              </w:rPr>
            </w:r>
            <w:r>
              <w:rPr>
                <w:noProof/>
                <w:webHidden/>
              </w:rPr>
              <w:fldChar w:fldCharType="separate"/>
            </w:r>
            <w:r>
              <w:rPr>
                <w:noProof/>
                <w:webHidden/>
              </w:rPr>
              <w:t>3</w:t>
            </w:r>
            <w:r>
              <w:rPr>
                <w:noProof/>
                <w:webHidden/>
              </w:rPr>
              <w:fldChar w:fldCharType="end"/>
            </w:r>
          </w:hyperlink>
        </w:p>
        <w:p w:rsidR="005627C9" w:rsidRDefault="00332A90">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12956" w:history="1">
            <w:r>
              <w:rPr>
                <w:rStyle w:val="Hyperlink"/>
                <w:noProof/>
              </w:rPr>
              <w:t>3.1.1.</w:t>
            </w:r>
            <w:r>
              <w:rPr>
                <w:rFonts w:asciiTheme="minorHAnsi" w:eastAsiaTheme="minorEastAsia" w:hAnsiTheme="minorHAnsi" w:cstheme="minorBidi"/>
                <w:noProof/>
                <w:lang w:val="en-GB" w:eastAsia="en-GB" w:bidi="ar-SA"/>
              </w:rPr>
              <w:tab/>
            </w:r>
            <w:r>
              <w:rPr>
                <w:rStyle w:val="Hyperlink"/>
                <w:noProof/>
              </w:rPr>
              <w:t>Frukt och grönsaker</w:t>
            </w:r>
            <w:r>
              <w:rPr>
                <w:noProof/>
                <w:webHidden/>
              </w:rPr>
              <w:tab/>
            </w:r>
            <w:r>
              <w:rPr>
                <w:noProof/>
                <w:webHidden/>
              </w:rPr>
              <w:fldChar w:fldCharType="begin"/>
            </w:r>
            <w:r>
              <w:rPr>
                <w:noProof/>
                <w:webHidden/>
              </w:rPr>
              <w:instrText xml:space="preserve"> PAGEREF _Toc534712956 \h </w:instrText>
            </w:r>
            <w:r>
              <w:rPr>
                <w:noProof/>
                <w:webHidden/>
              </w:rPr>
            </w:r>
            <w:r>
              <w:rPr>
                <w:noProof/>
                <w:webHidden/>
              </w:rPr>
              <w:fldChar w:fldCharType="separate"/>
            </w:r>
            <w:r>
              <w:rPr>
                <w:noProof/>
                <w:webHidden/>
              </w:rPr>
              <w:t>3</w:t>
            </w:r>
            <w:r>
              <w:rPr>
                <w:noProof/>
                <w:webHidden/>
              </w:rPr>
              <w:fldChar w:fldCharType="end"/>
            </w:r>
          </w:hyperlink>
        </w:p>
        <w:p w:rsidR="005627C9" w:rsidRDefault="00332A90">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12957" w:history="1">
            <w:r>
              <w:rPr>
                <w:rStyle w:val="Hyperlink"/>
                <w:noProof/>
              </w:rPr>
              <w:t>3.1.2.</w:t>
            </w:r>
            <w:r>
              <w:rPr>
                <w:rFonts w:asciiTheme="minorHAnsi" w:eastAsiaTheme="minorEastAsia" w:hAnsiTheme="minorHAnsi" w:cstheme="minorBidi"/>
                <w:noProof/>
                <w:lang w:val="en-GB" w:eastAsia="en-GB" w:bidi="ar-SA"/>
              </w:rPr>
              <w:tab/>
            </w:r>
            <w:r>
              <w:rPr>
                <w:rStyle w:val="Hyperlink"/>
                <w:noProof/>
              </w:rPr>
              <w:t>Produkter inom vinsektorn</w:t>
            </w:r>
            <w:r>
              <w:rPr>
                <w:noProof/>
                <w:webHidden/>
              </w:rPr>
              <w:tab/>
            </w:r>
            <w:r>
              <w:rPr>
                <w:noProof/>
                <w:webHidden/>
              </w:rPr>
              <w:fldChar w:fldCharType="begin"/>
            </w:r>
            <w:r>
              <w:rPr>
                <w:noProof/>
                <w:webHidden/>
              </w:rPr>
              <w:instrText xml:space="preserve"> PAGEREF _Toc534712957 \h </w:instrText>
            </w:r>
            <w:r>
              <w:rPr>
                <w:noProof/>
                <w:webHidden/>
              </w:rPr>
            </w:r>
            <w:r>
              <w:rPr>
                <w:noProof/>
                <w:webHidden/>
              </w:rPr>
              <w:fldChar w:fldCharType="separate"/>
            </w:r>
            <w:r>
              <w:rPr>
                <w:noProof/>
                <w:webHidden/>
              </w:rPr>
              <w:t>4</w:t>
            </w:r>
            <w:r>
              <w:rPr>
                <w:noProof/>
                <w:webHidden/>
              </w:rPr>
              <w:fldChar w:fldCharType="end"/>
            </w:r>
          </w:hyperlink>
        </w:p>
        <w:p w:rsidR="005627C9" w:rsidRDefault="00332A90">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12958" w:history="1">
            <w:r>
              <w:rPr>
                <w:rStyle w:val="Hyperlink"/>
                <w:noProof/>
              </w:rPr>
              <w:t>3.1.3.</w:t>
            </w:r>
            <w:r>
              <w:rPr>
                <w:rFonts w:asciiTheme="minorHAnsi" w:eastAsiaTheme="minorEastAsia" w:hAnsiTheme="minorHAnsi" w:cstheme="minorBidi"/>
                <w:noProof/>
                <w:lang w:val="en-GB" w:eastAsia="en-GB" w:bidi="ar-SA"/>
              </w:rPr>
              <w:tab/>
            </w:r>
            <w:r>
              <w:rPr>
                <w:rStyle w:val="Hyperlink"/>
                <w:noProof/>
              </w:rPr>
              <w:t>Mjölk och mjölkprodukter</w:t>
            </w:r>
            <w:r>
              <w:rPr>
                <w:noProof/>
                <w:webHidden/>
              </w:rPr>
              <w:tab/>
            </w:r>
            <w:r>
              <w:rPr>
                <w:noProof/>
                <w:webHidden/>
              </w:rPr>
              <w:fldChar w:fldCharType="begin"/>
            </w:r>
            <w:r>
              <w:rPr>
                <w:noProof/>
                <w:webHidden/>
              </w:rPr>
              <w:instrText xml:space="preserve"> PAGEREF _Toc534712958 \h </w:instrText>
            </w:r>
            <w:r>
              <w:rPr>
                <w:noProof/>
                <w:webHidden/>
              </w:rPr>
            </w:r>
            <w:r>
              <w:rPr>
                <w:noProof/>
                <w:webHidden/>
              </w:rPr>
              <w:fldChar w:fldCharType="separate"/>
            </w:r>
            <w:r>
              <w:rPr>
                <w:noProof/>
                <w:webHidden/>
              </w:rPr>
              <w:t>4</w:t>
            </w:r>
            <w:r>
              <w:rPr>
                <w:noProof/>
                <w:webHidden/>
              </w:rPr>
              <w:fldChar w:fldCharType="end"/>
            </w:r>
          </w:hyperlink>
        </w:p>
        <w:p w:rsidR="005627C9" w:rsidRDefault="00332A90">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12959" w:history="1">
            <w:r>
              <w:rPr>
                <w:rStyle w:val="Hyperlink"/>
                <w:noProof/>
              </w:rPr>
              <w:t>3.1.4.</w:t>
            </w:r>
            <w:r>
              <w:rPr>
                <w:rFonts w:asciiTheme="minorHAnsi" w:eastAsiaTheme="minorEastAsia" w:hAnsiTheme="minorHAnsi" w:cstheme="minorBidi"/>
                <w:noProof/>
                <w:lang w:val="en-GB" w:eastAsia="en-GB" w:bidi="ar-SA"/>
              </w:rPr>
              <w:tab/>
            </w:r>
            <w:r>
              <w:rPr>
                <w:rStyle w:val="Hyperlink"/>
                <w:noProof/>
              </w:rPr>
              <w:t>Griskött, ägg och fj</w:t>
            </w:r>
            <w:bookmarkStart w:id="1" w:name="_GoBack"/>
            <w:bookmarkEnd w:id="1"/>
            <w:r>
              <w:rPr>
                <w:rStyle w:val="Hyperlink"/>
                <w:noProof/>
              </w:rPr>
              <w:t>äderfän, biodling och andra animaliska produkter</w:t>
            </w:r>
            <w:r>
              <w:rPr>
                <w:noProof/>
                <w:webHidden/>
              </w:rPr>
              <w:tab/>
            </w:r>
            <w:r>
              <w:rPr>
                <w:noProof/>
                <w:webHidden/>
              </w:rPr>
              <w:fldChar w:fldCharType="begin"/>
            </w:r>
            <w:r>
              <w:rPr>
                <w:noProof/>
                <w:webHidden/>
              </w:rPr>
              <w:instrText xml:space="preserve"> PAGEREF _Toc534712959 \h </w:instrText>
            </w:r>
            <w:r>
              <w:rPr>
                <w:noProof/>
                <w:webHidden/>
              </w:rPr>
            </w:r>
            <w:r>
              <w:rPr>
                <w:noProof/>
                <w:webHidden/>
              </w:rPr>
              <w:fldChar w:fldCharType="separate"/>
            </w:r>
            <w:r>
              <w:rPr>
                <w:noProof/>
                <w:webHidden/>
              </w:rPr>
              <w:t>4</w:t>
            </w:r>
            <w:r>
              <w:rPr>
                <w:noProof/>
                <w:webHidden/>
              </w:rPr>
              <w:fldChar w:fldCharType="end"/>
            </w:r>
          </w:hyperlink>
        </w:p>
        <w:p w:rsidR="005627C9" w:rsidRDefault="00332A90">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12960" w:history="1">
            <w:r>
              <w:rPr>
                <w:rStyle w:val="Hyperlink"/>
                <w:noProof/>
              </w:rPr>
              <w:t>3.1.5.</w:t>
            </w:r>
            <w:r>
              <w:rPr>
                <w:rFonts w:asciiTheme="minorHAnsi" w:eastAsiaTheme="minorEastAsia" w:hAnsiTheme="minorHAnsi" w:cstheme="minorBidi"/>
                <w:noProof/>
                <w:lang w:val="en-GB" w:eastAsia="en-GB" w:bidi="ar-SA"/>
              </w:rPr>
              <w:tab/>
            </w:r>
            <w:r>
              <w:rPr>
                <w:rStyle w:val="Hyperlink"/>
                <w:noProof/>
              </w:rPr>
              <w:t>Skolprogram</w:t>
            </w:r>
            <w:r>
              <w:rPr>
                <w:noProof/>
                <w:webHidden/>
              </w:rPr>
              <w:tab/>
            </w:r>
            <w:r>
              <w:rPr>
                <w:noProof/>
                <w:webHidden/>
              </w:rPr>
              <w:fldChar w:fldCharType="begin"/>
            </w:r>
            <w:r>
              <w:rPr>
                <w:noProof/>
                <w:webHidden/>
              </w:rPr>
              <w:instrText xml:space="preserve"> PAGEREF _Toc534712960 \h </w:instrText>
            </w:r>
            <w:r>
              <w:rPr>
                <w:noProof/>
                <w:webHidden/>
              </w:rPr>
            </w:r>
            <w:r>
              <w:rPr>
                <w:noProof/>
                <w:webHidden/>
              </w:rPr>
              <w:fldChar w:fldCharType="separate"/>
            </w:r>
            <w:r>
              <w:rPr>
                <w:noProof/>
                <w:webHidden/>
              </w:rPr>
              <w:t>4</w:t>
            </w:r>
            <w:r>
              <w:rPr>
                <w:noProof/>
                <w:webHidden/>
              </w:rPr>
              <w:fldChar w:fldCharType="end"/>
            </w:r>
          </w:hyperlink>
        </w:p>
        <w:p w:rsidR="005627C9" w:rsidRDefault="00332A90">
          <w:pPr>
            <w:pStyle w:val="TOC2"/>
            <w:tabs>
              <w:tab w:val="left" w:pos="850"/>
              <w:tab w:val="right" w:leader="dot" w:pos="9039"/>
            </w:tabs>
            <w:rPr>
              <w:rFonts w:asciiTheme="minorHAnsi" w:eastAsiaTheme="minorEastAsia" w:hAnsiTheme="minorHAnsi" w:cstheme="minorBidi"/>
              <w:noProof/>
              <w:lang w:val="en-GB" w:eastAsia="en-GB" w:bidi="ar-SA"/>
            </w:rPr>
          </w:pPr>
          <w:hyperlink w:anchor="_Toc534712961" w:history="1">
            <w:r>
              <w:rPr>
                <w:rStyle w:val="Hyperlink"/>
                <w:noProof/>
              </w:rPr>
              <w:t>3.2.</w:t>
            </w:r>
            <w:r>
              <w:rPr>
                <w:rFonts w:asciiTheme="minorHAnsi" w:eastAsiaTheme="minorEastAsia" w:hAnsiTheme="minorHAnsi" w:cstheme="minorBidi"/>
                <w:noProof/>
                <w:lang w:val="en-GB" w:eastAsia="en-GB" w:bidi="ar-SA"/>
              </w:rPr>
              <w:tab/>
            </w:r>
            <w:r>
              <w:rPr>
                <w:rStyle w:val="Hyperlink"/>
                <w:noProof/>
              </w:rPr>
              <w:t>Direktstöd</w:t>
            </w:r>
            <w:r>
              <w:rPr>
                <w:noProof/>
                <w:webHidden/>
              </w:rPr>
              <w:tab/>
            </w:r>
            <w:r>
              <w:rPr>
                <w:noProof/>
                <w:webHidden/>
              </w:rPr>
              <w:fldChar w:fldCharType="begin"/>
            </w:r>
            <w:r>
              <w:rPr>
                <w:noProof/>
                <w:webHidden/>
              </w:rPr>
              <w:instrText xml:space="preserve"> PAGEREF _Toc534712961 \h </w:instrText>
            </w:r>
            <w:r>
              <w:rPr>
                <w:noProof/>
                <w:webHidden/>
              </w:rPr>
            </w:r>
            <w:r>
              <w:rPr>
                <w:noProof/>
                <w:webHidden/>
              </w:rPr>
              <w:fldChar w:fldCharType="separate"/>
            </w:r>
            <w:r>
              <w:rPr>
                <w:noProof/>
                <w:webHidden/>
              </w:rPr>
              <w:t>4</w:t>
            </w:r>
            <w:r>
              <w:rPr>
                <w:noProof/>
                <w:webHidden/>
              </w:rPr>
              <w:fldChar w:fldCharType="end"/>
            </w:r>
          </w:hyperlink>
        </w:p>
        <w:p w:rsidR="005627C9" w:rsidRDefault="00332A90">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12962" w:history="1">
            <w:r>
              <w:rPr>
                <w:rStyle w:val="Hyperlink"/>
                <w:noProof/>
              </w:rPr>
              <w:t>3.2.1.</w:t>
            </w:r>
            <w:r>
              <w:rPr>
                <w:rFonts w:asciiTheme="minorHAnsi" w:eastAsiaTheme="minorEastAsia" w:hAnsiTheme="minorHAnsi" w:cstheme="minorBidi"/>
                <w:noProof/>
                <w:lang w:val="en-GB" w:eastAsia="en-GB" w:bidi="ar-SA"/>
              </w:rPr>
              <w:tab/>
            </w:r>
            <w:r>
              <w:rPr>
                <w:rStyle w:val="Hyperlink"/>
                <w:noProof/>
              </w:rPr>
              <w:t>Frikopplat direktstöd</w:t>
            </w:r>
            <w:r>
              <w:rPr>
                <w:noProof/>
                <w:webHidden/>
              </w:rPr>
              <w:tab/>
            </w:r>
            <w:r>
              <w:rPr>
                <w:noProof/>
                <w:webHidden/>
              </w:rPr>
              <w:fldChar w:fldCharType="begin"/>
            </w:r>
            <w:r>
              <w:rPr>
                <w:noProof/>
                <w:webHidden/>
              </w:rPr>
              <w:instrText xml:space="preserve"> PAGEREF _Toc534712962 \h </w:instrText>
            </w:r>
            <w:r>
              <w:rPr>
                <w:noProof/>
                <w:webHidden/>
              </w:rPr>
            </w:r>
            <w:r>
              <w:rPr>
                <w:noProof/>
                <w:webHidden/>
              </w:rPr>
              <w:fldChar w:fldCharType="separate"/>
            </w:r>
            <w:r>
              <w:rPr>
                <w:noProof/>
                <w:webHidden/>
              </w:rPr>
              <w:t>4</w:t>
            </w:r>
            <w:r>
              <w:rPr>
                <w:noProof/>
                <w:webHidden/>
              </w:rPr>
              <w:fldChar w:fldCharType="end"/>
            </w:r>
          </w:hyperlink>
        </w:p>
        <w:p w:rsidR="005627C9" w:rsidRDefault="00332A90">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12963" w:history="1">
            <w:r>
              <w:rPr>
                <w:rStyle w:val="Hyperlink"/>
                <w:noProof/>
              </w:rPr>
              <w:t>3.2.2.</w:t>
            </w:r>
            <w:r>
              <w:rPr>
                <w:rFonts w:asciiTheme="minorHAnsi" w:eastAsiaTheme="minorEastAsia" w:hAnsiTheme="minorHAnsi" w:cstheme="minorBidi"/>
                <w:noProof/>
                <w:lang w:val="en-GB" w:eastAsia="en-GB" w:bidi="ar-SA"/>
              </w:rPr>
              <w:tab/>
            </w:r>
            <w:r>
              <w:rPr>
                <w:rStyle w:val="Hyperlink"/>
                <w:noProof/>
              </w:rPr>
              <w:t>Övrigt direktstöd</w:t>
            </w:r>
            <w:r>
              <w:rPr>
                <w:noProof/>
                <w:webHidden/>
              </w:rPr>
              <w:tab/>
            </w:r>
            <w:r>
              <w:rPr>
                <w:noProof/>
                <w:webHidden/>
              </w:rPr>
              <w:fldChar w:fldCharType="begin"/>
            </w:r>
            <w:r>
              <w:rPr>
                <w:noProof/>
                <w:webHidden/>
              </w:rPr>
              <w:instrText xml:space="preserve"> PAGEREF _Toc534712963 \h </w:instrText>
            </w:r>
            <w:r>
              <w:rPr>
                <w:noProof/>
                <w:webHidden/>
              </w:rPr>
            </w:r>
            <w:r>
              <w:rPr>
                <w:noProof/>
                <w:webHidden/>
              </w:rPr>
              <w:fldChar w:fldCharType="separate"/>
            </w:r>
            <w:r>
              <w:rPr>
                <w:noProof/>
                <w:webHidden/>
              </w:rPr>
              <w:t>4</w:t>
            </w:r>
            <w:r>
              <w:rPr>
                <w:noProof/>
                <w:webHidden/>
              </w:rPr>
              <w:fldChar w:fldCharType="end"/>
            </w:r>
          </w:hyperlink>
        </w:p>
        <w:p w:rsidR="005627C9" w:rsidRDefault="00332A90">
          <w:pPr>
            <w:pStyle w:val="TOC2"/>
            <w:tabs>
              <w:tab w:val="left" w:pos="850"/>
              <w:tab w:val="right" w:leader="dot" w:pos="9039"/>
            </w:tabs>
            <w:rPr>
              <w:rFonts w:asciiTheme="minorHAnsi" w:eastAsiaTheme="minorEastAsia" w:hAnsiTheme="minorHAnsi" w:cstheme="minorBidi"/>
              <w:noProof/>
              <w:lang w:val="en-GB" w:eastAsia="en-GB" w:bidi="ar-SA"/>
            </w:rPr>
          </w:pPr>
          <w:hyperlink w:anchor="_Toc534712964" w:history="1">
            <w:r>
              <w:rPr>
                <w:rStyle w:val="Hyperlink"/>
                <w:noProof/>
              </w:rPr>
              <w:t>3.3.</w:t>
            </w:r>
            <w:r>
              <w:rPr>
                <w:rFonts w:asciiTheme="minorHAnsi" w:eastAsiaTheme="minorEastAsia" w:hAnsiTheme="minorHAnsi" w:cstheme="minorBidi"/>
                <w:noProof/>
                <w:lang w:val="en-GB" w:eastAsia="en-GB" w:bidi="ar-SA"/>
              </w:rPr>
              <w:tab/>
            </w:r>
            <w:r>
              <w:rPr>
                <w:rStyle w:val="Hyperlink"/>
                <w:noProof/>
              </w:rPr>
              <w:t>Revision av jordbruksutgifter</w:t>
            </w:r>
            <w:r>
              <w:rPr>
                <w:noProof/>
                <w:webHidden/>
              </w:rPr>
              <w:tab/>
            </w:r>
            <w:r>
              <w:rPr>
                <w:noProof/>
                <w:webHidden/>
              </w:rPr>
              <w:fldChar w:fldCharType="begin"/>
            </w:r>
            <w:r>
              <w:rPr>
                <w:noProof/>
                <w:webHidden/>
              </w:rPr>
              <w:instrText xml:space="preserve"> PAGEREF _Toc534712964 \h </w:instrText>
            </w:r>
            <w:r>
              <w:rPr>
                <w:noProof/>
                <w:webHidden/>
              </w:rPr>
            </w:r>
            <w:r>
              <w:rPr>
                <w:noProof/>
                <w:webHidden/>
              </w:rPr>
              <w:fldChar w:fldCharType="separate"/>
            </w:r>
            <w:r>
              <w:rPr>
                <w:noProof/>
                <w:webHidden/>
              </w:rPr>
              <w:t>4</w:t>
            </w:r>
            <w:r>
              <w:rPr>
                <w:noProof/>
                <w:webHidden/>
              </w:rPr>
              <w:fldChar w:fldCharType="end"/>
            </w:r>
          </w:hyperlink>
        </w:p>
        <w:p w:rsidR="005627C9" w:rsidRDefault="00332A90">
          <w:pPr>
            <w:pStyle w:val="TOC1"/>
            <w:rPr>
              <w:rFonts w:asciiTheme="minorHAnsi" w:eastAsiaTheme="minorEastAsia" w:hAnsiTheme="minorHAnsi" w:cstheme="minorBidi"/>
              <w:noProof/>
              <w:sz w:val="22"/>
              <w:szCs w:val="22"/>
              <w:lang w:val="en-GB" w:eastAsia="en-GB" w:bidi="ar-SA"/>
            </w:rPr>
          </w:pPr>
          <w:hyperlink w:anchor="_Toc534712965"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Utnyttjandet av inkomster som avsatts för EGFJ</w:t>
            </w:r>
            <w:r>
              <w:rPr>
                <w:noProof/>
                <w:webHidden/>
              </w:rPr>
              <w:tab/>
            </w:r>
            <w:r>
              <w:rPr>
                <w:noProof/>
                <w:webHidden/>
              </w:rPr>
              <w:fldChar w:fldCharType="begin"/>
            </w:r>
            <w:r>
              <w:rPr>
                <w:noProof/>
                <w:webHidden/>
              </w:rPr>
              <w:instrText xml:space="preserve"> PAGEREF _Toc534712965 \h </w:instrText>
            </w:r>
            <w:r>
              <w:rPr>
                <w:noProof/>
                <w:webHidden/>
              </w:rPr>
            </w:r>
            <w:r>
              <w:rPr>
                <w:noProof/>
                <w:webHidden/>
              </w:rPr>
              <w:fldChar w:fldCharType="separate"/>
            </w:r>
            <w:r>
              <w:rPr>
                <w:noProof/>
                <w:webHidden/>
              </w:rPr>
              <w:t>5</w:t>
            </w:r>
            <w:r>
              <w:rPr>
                <w:noProof/>
                <w:webHidden/>
              </w:rPr>
              <w:fldChar w:fldCharType="end"/>
            </w:r>
          </w:hyperlink>
        </w:p>
        <w:p w:rsidR="005627C9" w:rsidRDefault="00332A90">
          <w:pPr>
            <w:pStyle w:val="TOC1"/>
            <w:rPr>
              <w:rFonts w:asciiTheme="minorHAnsi" w:eastAsiaTheme="minorEastAsia" w:hAnsiTheme="minorHAnsi" w:cstheme="minorBidi"/>
              <w:noProof/>
              <w:sz w:val="22"/>
              <w:szCs w:val="22"/>
              <w:lang w:val="en-GB" w:eastAsia="en-GB" w:bidi="ar-SA"/>
            </w:rPr>
          </w:pPr>
          <w:hyperlink w:anchor="_Toc534712966"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Slutsats</w:t>
            </w:r>
            <w:r>
              <w:rPr>
                <w:noProof/>
                <w:webHidden/>
              </w:rPr>
              <w:tab/>
            </w:r>
            <w:r>
              <w:rPr>
                <w:noProof/>
                <w:webHidden/>
              </w:rPr>
              <w:fldChar w:fldCharType="begin"/>
            </w:r>
            <w:r>
              <w:rPr>
                <w:noProof/>
                <w:webHidden/>
              </w:rPr>
              <w:instrText xml:space="preserve"> PAGEREF _Toc534712966 \h </w:instrText>
            </w:r>
            <w:r>
              <w:rPr>
                <w:noProof/>
                <w:webHidden/>
              </w:rPr>
            </w:r>
            <w:r>
              <w:rPr>
                <w:noProof/>
                <w:webHidden/>
              </w:rPr>
              <w:fldChar w:fldCharType="separate"/>
            </w:r>
            <w:r>
              <w:rPr>
                <w:noProof/>
                <w:webHidden/>
              </w:rPr>
              <w:t>5</w:t>
            </w:r>
            <w:r>
              <w:rPr>
                <w:noProof/>
                <w:webHidden/>
              </w:rPr>
              <w:fldChar w:fldCharType="end"/>
            </w:r>
          </w:hyperlink>
        </w:p>
        <w:p w:rsidR="005627C9" w:rsidRDefault="00332A90">
          <w:pPr>
            <w:pStyle w:val="TOC1"/>
            <w:rPr>
              <w:rFonts w:asciiTheme="minorHAnsi" w:eastAsiaTheme="minorEastAsia" w:hAnsiTheme="minorHAnsi" w:cstheme="minorBidi"/>
              <w:noProof/>
              <w:sz w:val="22"/>
              <w:szCs w:val="22"/>
            </w:rPr>
          </w:pPr>
          <w:r>
            <w:rPr>
              <w:b/>
              <w:bCs/>
              <w:noProof/>
            </w:rPr>
            <w:fldChar w:fldCharType="end"/>
          </w:r>
        </w:p>
      </w:sdtContent>
    </w:sdt>
    <w:p w:rsidR="005627C9" w:rsidRDefault="005627C9">
      <w:pPr>
        <w:spacing w:after="0"/>
        <w:rPr>
          <w:rFonts w:ascii="Times New Roman" w:hAnsi="Times New Roman"/>
          <w:noProof/>
          <w:sz w:val="24"/>
          <w:szCs w:val="24"/>
        </w:rPr>
      </w:pPr>
    </w:p>
    <w:tbl>
      <w:tblPr>
        <w:tblW w:w="0" w:type="auto"/>
        <w:tblLook w:val="01E0" w:firstRow="1" w:lastRow="1" w:firstColumn="1" w:lastColumn="1" w:noHBand="0" w:noVBand="0"/>
      </w:tblPr>
      <w:tblGrid>
        <w:gridCol w:w="1908"/>
        <w:gridCol w:w="7320"/>
      </w:tblGrid>
      <w:tr w:rsidR="005627C9">
        <w:tc>
          <w:tcPr>
            <w:tcW w:w="1908" w:type="dxa"/>
            <w:hideMark/>
          </w:tcPr>
          <w:p w:rsidR="005627C9" w:rsidRDefault="00332A90">
            <w:pPr>
              <w:spacing w:before="120" w:after="120"/>
              <w:ind w:right="612"/>
              <w:rPr>
                <w:rFonts w:ascii="Times New Roman" w:hAnsi="Times New Roman"/>
                <w:smallCaps/>
                <w:noProof/>
              </w:rPr>
            </w:pPr>
            <w:r>
              <w:rPr>
                <w:rFonts w:ascii="Times New Roman" w:hAnsi="Times New Roman"/>
                <w:smallCaps/>
                <w:noProof/>
              </w:rPr>
              <w:t>Bilaga 1:</w:t>
            </w:r>
          </w:p>
          <w:p w:rsidR="005627C9" w:rsidRDefault="005627C9">
            <w:pPr>
              <w:spacing w:before="120" w:after="120"/>
              <w:ind w:right="612"/>
              <w:rPr>
                <w:rFonts w:ascii="Times New Roman" w:hAnsi="Times New Roman"/>
                <w:smallCaps/>
                <w:noProof/>
                <w:sz w:val="24"/>
                <w:szCs w:val="24"/>
              </w:rPr>
            </w:pPr>
          </w:p>
        </w:tc>
        <w:tc>
          <w:tcPr>
            <w:tcW w:w="7320" w:type="dxa"/>
            <w:hideMark/>
          </w:tcPr>
          <w:p w:rsidR="005627C9" w:rsidRDefault="00332A90">
            <w:pPr>
              <w:spacing w:before="120" w:after="120"/>
              <w:rPr>
                <w:rFonts w:ascii="Times New Roman" w:hAnsi="Times New Roman"/>
                <w:smallCaps/>
                <w:noProof/>
                <w:sz w:val="24"/>
                <w:szCs w:val="24"/>
              </w:rPr>
            </w:pPr>
            <w:r>
              <w:rPr>
                <w:rFonts w:ascii="Times New Roman" w:hAnsi="Times New Roman"/>
                <w:smallCaps/>
                <w:noProof/>
              </w:rPr>
              <w:t>Preliminärt utnyttjande av EGFJ:s</w:t>
            </w:r>
            <w:r>
              <w:rPr>
                <w:rFonts w:ascii="Times New Roman" w:hAnsi="Times New Roman"/>
                <w:smallCaps/>
                <w:noProof/>
              </w:rPr>
              <w:t xml:space="preserve"> anslag per 31.12.2018</w:t>
            </w:r>
          </w:p>
        </w:tc>
      </w:tr>
    </w:tbl>
    <w:p w:rsidR="005627C9" w:rsidRDefault="005627C9">
      <w:pPr>
        <w:spacing w:after="0"/>
        <w:rPr>
          <w:noProof/>
        </w:rPr>
      </w:pPr>
    </w:p>
    <w:p w:rsidR="005627C9" w:rsidRDefault="005627C9">
      <w:pPr>
        <w:spacing w:after="0"/>
        <w:rPr>
          <w:noProof/>
        </w:rPr>
        <w:sectPr w:rsidR="005627C9">
          <w:headerReference w:type="even" r:id="rId15"/>
          <w:headerReference w:type="default" r:id="rId16"/>
          <w:footerReference w:type="even" r:id="rId17"/>
          <w:footerReference w:type="default" r:id="rId18"/>
          <w:headerReference w:type="first" r:id="rId19"/>
          <w:footerReference w:type="first" r:id="rId20"/>
          <w:pgSz w:w="11907" w:h="16840"/>
          <w:pgMar w:top="1134" w:right="1418" w:bottom="1134" w:left="1440" w:header="595" w:footer="567" w:gutter="0"/>
          <w:pgNumType w:start="1"/>
          <w:cols w:space="720"/>
        </w:sectPr>
      </w:pPr>
    </w:p>
    <w:p w:rsidR="005627C9" w:rsidRDefault="00332A90">
      <w:pPr>
        <w:pStyle w:val="Heading1"/>
        <w:numPr>
          <w:ilvl w:val="0"/>
          <w:numId w:val="4"/>
        </w:numPr>
        <w:rPr>
          <w:noProof/>
        </w:rPr>
      </w:pPr>
      <w:bookmarkStart w:id="2" w:name="_Toc229306111"/>
      <w:bookmarkStart w:id="3" w:name="_Toc413145207"/>
      <w:bookmarkStart w:id="4" w:name="_Toc530432429"/>
      <w:bookmarkStart w:id="5" w:name="_Toc534712952"/>
      <w:bookmarkStart w:id="6" w:name="_Toc244054012"/>
      <w:bookmarkStart w:id="7" w:name="_Toc244054013"/>
      <w:r>
        <w:rPr>
          <w:noProof/>
        </w:rPr>
        <w:lastRenderedPageBreak/>
        <w:t>Budgetförfarandet för EGFJ 2018</w:t>
      </w:r>
      <w:bookmarkEnd w:id="2"/>
      <w:bookmarkEnd w:id="3"/>
      <w:bookmarkEnd w:id="4"/>
      <w:bookmarkEnd w:id="5"/>
    </w:p>
    <w:p w:rsidR="005627C9" w:rsidRDefault="00332A90">
      <w:pPr>
        <w:pStyle w:val="Text1"/>
        <w:rPr>
          <w:noProof/>
        </w:rPr>
      </w:pPr>
      <w:r>
        <w:rPr>
          <w:noProof/>
        </w:rPr>
        <w:t xml:space="preserve">Europaparlamentet godkände 2018 års EU-budget den 30 november 2017. För Europeiska garantifonden för jordbruket (EGFJ) omfattar budgeten </w:t>
      </w:r>
      <w:r>
        <w:rPr>
          <w:noProof/>
        </w:rPr>
        <w:t>åtagande- och betalningsbemyndiganden som sammanlagt uppgår till 43 235 miljoner euro till direktstöd och 43 189 miljoner euro till marknadsåtgärder inom jordbruket.</w:t>
      </w:r>
    </w:p>
    <w:p w:rsidR="005627C9" w:rsidRDefault="00332A90">
      <w:pPr>
        <w:pStyle w:val="Text1"/>
        <w:rPr>
          <w:noProof/>
        </w:rPr>
      </w:pPr>
      <w:r>
        <w:rPr>
          <w:noProof/>
        </w:rPr>
        <w:t>Skillnaden mellan åtagandebemyndigandena och betalningsbemyndigandena beror på att differe</w:t>
      </w:r>
      <w:r>
        <w:rPr>
          <w:noProof/>
        </w:rPr>
        <w:t>ntierade anslag används för vissa åtgärder som kommissionen genomför direkt. Dessa gäller huvudsakligen säljfrämjande åtgärder för jordbruksprodukter, strategiska frågor och samordning.</w:t>
      </w:r>
    </w:p>
    <w:p w:rsidR="005627C9" w:rsidRDefault="00332A90">
      <w:pPr>
        <w:pStyle w:val="Heading1"/>
        <w:rPr>
          <w:noProof/>
        </w:rPr>
      </w:pPr>
      <w:bookmarkStart w:id="8" w:name="_Toc413145208"/>
      <w:bookmarkStart w:id="9" w:name="_Toc530432430"/>
      <w:bookmarkStart w:id="10" w:name="_Toc534712953"/>
      <w:bookmarkEnd w:id="6"/>
      <w:r>
        <w:rPr>
          <w:noProof/>
        </w:rPr>
        <w:t>Inkomster avsatta för EGFJ</w:t>
      </w:r>
      <w:bookmarkEnd w:id="7"/>
      <w:bookmarkEnd w:id="8"/>
      <w:bookmarkEnd w:id="9"/>
      <w:bookmarkEnd w:id="10"/>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Enligt bestämmelserna i artikel 43 i förord</w:t>
      </w:r>
      <w:r>
        <w:rPr>
          <w:rFonts w:ascii="Times New Roman" w:hAnsi="Times New Roman"/>
          <w:noProof/>
          <w:sz w:val="24"/>
        </w:rPr>
        <w:t>ning (EU) nr 1306/2013 ska inkomster till följd av finansiella korrigeringar i enlighet med beslut i samband med redovisningsbeslut eller beslut om kontroll av överensstämmelse samt som reaktion på oriktigheter betraktas som inkomster avsatta för att finan</w:t>
      </w:r>
      <w:r>
        <w:rPr>
          <w:rFonts w:ascii="Times New Roman" w:hAnsi="Times New Roman"/>
          <w:noProof/>
          <w:sz w:val="24"/>
        </w:rPr>
        <w:t xml:space="preserve">siera EGFJ:s utgifter. </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Enligt dessa bestämmelser kan sådana inkomster användas för att täcka finansieringen av alla typer av EGFJ-utgifter. Om delar av dessa inkomster inte används under budgetåret överförs de automatiskt till nästa budgetår</w:t>
      </w:r>
      <w:r>
        <w:rPr>
          <w:rFonts w:ascii="Times New Roman" w:hAnsi="Times New Roman"/>
          <w:noProof/>
          <w:sz w:val="24"/>
          <w:vertAlign w:val="superscript"/>
        </w:rPr>
        <w:footnoteReference w:id="1"/>
      </w:r>
      <w:r>
        <w:rPr>
          <w:rFonts w:ascii="Times New Roman" w:hAnsi="Times New Roman"/>
          <w:noProof/>
          <w:sz w:val="24"/>
        </w:rPr>
        <w:t>.</w:t>
      </w:r>
    </w:p>
    <w:p w:rsidR="005627C9" w:rsidRDefault="00332A90">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rPr>
        <w:t>EGFJ:s budg</w:t>
      </w:r>
      <w:r>
        <w:rPr>
          <w:rFonts w:ascii="Times New Roman" w:hAnsi="Times New Roman"/>
          <w:noProof/>
          <w:sz w:val="24"/>
        </w:rPr>
        <w:t>et för 2018 innefattar</w:t>
      </w:r>
    </w:p>
    <w:p w:rsidR="005627C9" w:rsidRDefault="00332A90">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kommissionens senaste uppskattningar av finansieringsbehoven för marknadsåtgärder och direktstöd,</w:t>
      </w:r>
    </w:p>
    <w:p w:rsidR="005627C9" w:rsidRDefault="00332A90">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uppskattningar av inkomster avsatta för särskilda ändamål som ska flyta in under budgetåret, och</w:t>
      </w:r>
    </w:p>
    <w:p w:rsidR="005627C9" w:rsidRDefault="00332A90">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överföring av saldot av avsatta inkoms</w:t>
      </w:r>
      <w:r>
        <w:rPr>
          <w:rFonts w:ascii="Times New Roman" w:hAnsi="Times New Roman"/>
          <w:noProof/>
          <w:sz w:val="24"/>
        </w:rPr>
        <w:t>ter som fortfarande finns tillgängliga från föregående budgetår.</w:t>
      </w:r>
    </w:p>
    <w:p w:rsidR="005627C9" w:rsidRDefault="00332A90">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rPr>
        <w:t>I sitt förslag till EGFJ-anslag i 2018 års budget beaktade kommissionen de sammanlagda uppskattade inkomster som är avsatta för särskilda ändamål och begärde för 2018 års budget en anslagsniv</w:t>
      </w:r>
      <w:r>
        <w:rPr>
          <w:rFonts w:ascii="Times New Roman" w:hAnsi="Times New Roman"/>
          <w:noProof/>
          <w:sz w:val="24"/>
        </w:rPr>
        <w:t xml:space="preserve">å motsvarande de uppskattade utgifterna för EGFJ med avdrag för de uppskattade avsatta inkomsterna. Budgetmyndigheten antog budgeten för EGFJ med beaktande av de uppskattade inkomsterna avsatta för särskilda ändamål. </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Vid upprättandet av budgeten för 2018 </w:t>
      </w:r>
      <w:r>
        <w:rPr>
          <w:rFonts w:ascii="Times New Roman" w:hAnsi="Times New Roman"/>
          <w:noProof/>
          <w:sz w:val="24"/>
        </w:rPr>
        <w:t xml:space="preserve">uppskattade kommissionen de tillgängliga avsatta inkomsterna till 1 475,9 miljoner euro, enligt följande: </w:t>
      </w:r>
    </w:p>
    <w:p w:rsidR="005627C9" w:rsidRDefault="00332A90">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De inkomster avsatta för särskilda ändamål som förväntas genereras under budgetåret 2018, som uppskattas till 865,9 miljoner euro (733,9 miljoner </w:t>
      </w:r>
      <w:r>
        <w:rPr>
          <w:rFonts w:ascii="Times New Roman" w:hAnsi="Times New Roman"/>
          <w:noProof/>
          <w:sz w:val="24"/>
        </w:rPr>
        <w:t>euro från korrigeringar till följd av kontroll av överensstämmelse och 132 miljoner euro från oriktigheter).</w:t>
      </w:r>
    </w:p>
    <w:p w:rsidR="005627C9" w:rsidRDefault="00332A90">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lastRenderedPageBreak/>
        <w:t>De inkomster avsatta för särskilda ändamål som ska överföras från budgetåret 2017 till 2018, uppskattade till 610 miljoner euro.</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Kommissionen har a</w:t>
      </w:r>
      <w:r>
        <w:rPr>
          <w:rFonts w:ascii="Times New Roman" w:hAnsi="Times New Roman"/>
          <w:noProof/>
          <w:sz w:val="24"/>
        </w:rPr>
        <w:t xml:space="preserve">vsatt dessa preliminära inkomster på 1 475,9 miljoner euro till följande ordningar: </w:t>
      </w:r>
    </w:p>
    <w:p w:rsidR="005627C9" w:rsidRDefault="00332A90">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400 miljoner euro till producentorganisationernas driftsfonder inom sektorn för frukt och grönsaker.</w:t>
      </w:r>
    </w:p>
    <w:p w:rsidR="005627C9" w:rsidRDefault="00332A90">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1 075,9 miljoner euro till ordningen för grundstöd. </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Summan av godkänd</w:t>
      </w:r>
      <w:r>
        <w:rPr>
          <w:rFonts w:ascii="Times New Roman" w:hAnsi="Times New Roman"/>
          <w:noProof/>
          <w:sz w:val="24"/>
        </w:rPr>
        <w:t>a anslag och ovan nämnda inkomster avsatta för särskilda ändamål motsvarar följande:</w:t>
      </w:r>
    </w:p>
    <w:p w:rsidR="005627C9" w:rsidRDefault="00332A90">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872 miljoner euro till producentorganisationernas driftsfonder inom sektorn för frukt och grönsaker.</w:t>
      </w:r>
    </w:p>
    <w:p w:rsidR="005627C9" w:rsidRDefault="00332A90">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17 402 miljoner euro till ordningen för grundstöd.</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I bilagan visas det preliminära genomförandet av budgeten för 2018. Siffrorna för budgetanslagen på artikelnivå för frukt och grönsaker och för frikopplat direktstöd tar inte hänsyn till de avsatta inkomster som nämns ovan. De godkända anslagen för dessa a</w:t>
      </w:r>
      <w:r>
        <w:rPr>
          <w:rFonts w:ascii="Times New Roman" w:hAnsi="Times New Roman"/>
          <w:noProof/>
          <w:sz w:val="24"/>
        </w:rPr>
        <w:t xml:space="preserve">rtiklar uppgår till 531,8 miljoner euro respektive 34 309,1 miljoner euro. </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När de inkomster som avsatts till dessa artiklar tas med uppgår de totala anslagen i 2018 års budget till 931,8 miljoner euro för frukt och grönsaker och till 35 385 miljoner euro </w:t>
      </w:r>
      <w:r>
        <w:rPr>
          <w:rFonts w:ascii="Times New Roman" w:hAnsi="Times New Roman"/>
          <w:noProof/>
          <w:sz w:val="24"/>
        </w:rPr>
        <w:t xml:space="preserve">för frikopplat direktstöd. </w:t>
      </w:r>
    </w:p>
    <w:p w:rsidR="005627C9" w:rsidRDefault="00332A90">
      <w:pPr>
        <w:pStyle w:val="Heading1"/>
        <w:rPr>
          <w:noProof/>
        </w:rPr>
      </w:pPr>
      <w:bookmarkStart w:id="11" w:name="_Toc244054015"/>
      <w:bookmarkStart w:id="12" w:name="_Toc413145209"/>
      <w:bookmarkStart w:id="13" w:name="_Toc530432431"/>
      <w:bookmarkStart w:id="14" w:name="_Toc534712954"/>
      <w:r>
        <w:rPr>
          <w:noProof/>
        </w:rPr>
        <w:t>Kommentarer till det preliminära genomförandet av 2018 års budget för EGFJ</w:t>
      </w:r>
      <w:bookmarkEnd w:id="11"/>
      <w:bookmarkEnd w:id="12"/>
      <w:bookmarkEnd w:id="13"/>
      <w:bookmarkEnd w:id="14"/>
    </w:p>
    <w:p w:rsidR="005627C9" w:rsidRDefault="00332A90">
      <w:pPr>
        <w:spacing w:before="120" w:after="120" w:line="240" w:lineRule="auto"/>
        <w:ind w:left="850"/>
        <w:jc w:val="both"/>
        <w:rPr>
          <w:rFonts w:ascii="Times New Roman" w:eastAsia="Times New Roman" w:hAnsi="Times New Roman"/>
          <w:noProof/>
          <w:sz w:val="24"/>
          <w:szCs w:val="24"/>
        </w:rPr>
      </w:pPr>
      <w:bookmarkStart w:id="15" w:name="_Toc244054016"/>
      <w:r>
        <w:rPr>
          <w:rFonts w:ascii="Times New Roman" w:hAnsi="Times New Roman"/>
          <w:noProof/>
          <w:sz w:val="24"/>
        </w:rPr>
        <w:t>I rapporten redovisas det preliminära genomförandet av 2018 års budget för EGFJ, närmare uppgifter finns i bilagan. De totala utgifterna på 43 926,6 milj</w:t>
      </w:r>
      <w:r>
        <w:rPr>
          <w:rFonts w:ascii="Times New Roman" w:hAnsi="Times New Roman"/>
          <w:noProof/>
          <w:sz w:val="24"/>
        </w:rPr>
        <w:t xml:space="preserve">oner euro omfattar främst EGFJ:s utgifter inom ramen för delad förvaltning som medlemsstaterna har redovisat under perioden 16 oktober 2017–15 oktober 2018, och de minskningar av månatliga återbetalningar som gjorts under budgetåret. Den innehåller vidare </w:t>
      </w:r>
      <w:r>
        <w:rPr>
          <w:rFonts w:ascii="Times New Roman" w:hAnsi="Times New Roman"/>
          <w:noProof/>
          <w:sz w:val="24"/>
        </w:rPr>
        <w:t>en uppskattning av utgifter under direkt förvaltning på ungefär 15,6 miljoner euro, som väntas uppstå fram till den 31 december 2018.</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En kort kommentar av vissa budgetartiklar, nämligen de som uppvisar störst skillnader mellan faktiska utgifter och motsvar</w:t>
      </w:r>
      <w:r>
        <w:rPr>
          <w:rFonts w:ascii="Times New Roman" w:hAnsi="Times New Roman"/>
          <w:noProof/>
          <w:sz w:val="24"/>
        </w:rPr>
        <w:t>ande anslag i budgeten för 2018, följer nedan.</w:t>
      </w:r>
    </w:p>
    <w:p w:rsidR="005627C9" w:rsidRDefault="00332A90">
      <w:pPr>
        <w:pStyle w:val="Heading2"/>
        <w:rPr>
          <w:noProof/>
        </w:rPr>
      </w:pPr>
      <w:bookmarkStart w:id="16" w:name="_Toc530432432"/>
      <w:bookmarkStart w:id="17" w:name="_Toc534712955"/>
      <w:r>
        <w:rPr>
          <w:noProof/>
        </w:rPr>
        <w:t>Marknadsåtgärder</w:t>
      </w:r>
      <w:bookmarkEnd w:id="15"/>
      <w:bookmarkEnd w:id="16"/>
      <w:bookmarkEnd w:id="17"/>
    </w:p>
    <w:p w:rsidR="005627C9" w:rsidRDefault="00332A90">
      <w:pPr>
        <w:pStyle w:val="Text1"/>
        <w:rPr>
          <w:noProof/>
        </w:rPr>
      </w:pPr>
      <w:r>
        <w:rPr>
          <w:noProof/>
        </w:rPr>
        <w:t>Utnyttjandet av anslag för åtgärder på jordbruksmarknaderna var 351,3 miljoner euro högre än anslagen. Det inbegriper uppskattade utgifter på 6,4 miljoner euro under direkt förvaltning för säl</w:t>
      </w:r>
      <w:r>
        <w:rPr>
          <w:noProof/>
        </w:rPr>
        <w:t>jfrämjande åtgärder, som väntas uppstå fram till den 31 december 2018. Om man dock ser till de inkomster på 400 miljoner euro som avsatts till programmet för frukt och grönsaker uppgår underutnyttjandet till -48,7 miljoner euro (eller endast -1,8 %).</w:t>
      </w:r>
    </w:p>
    <w:p w:rsidR="005627C9" w:rsidRDefault="00332A90">
      <w:pPr>
        <w:pStyle w:val="Heading3"/>
        <w:rPr>
          <w:noProof/>
        </w:rPr>
      </w:pPr>
      <w:bookmarkStart w:id="18" w:name="_Toc525722902"/>
      <w:bookmarkStart w:id="19" w:name="_Toc525734906"/>
      <w:bookmarkStart w:id="20" w:name="_Toc525736637"/>
      <w:bookmarkStart w:id="21" w:name="_Toc526175165"/>
      <w:bookmarkStart w:id="22" w:name="_Toc530432433"/>
      <w:bookmarkStart w:id="23" w:name="_Toc534712956"/>
      <w:bookmarkEnd w:id="18"/>
      <w:bookmarkEnd w:id="19"/>
      <w:bookmarkEnd w:id="20"/>
      <w:bookmarkEnd w:id="21"/>
      <w:r>
        <w:rPr>
          <w:noProof/>
        </w:rPr>
        <w:t>Frukt</w:t>
      </w:r>
      <w:r>
        <w:rPr>
          <w:noProof/>
        </w:rPr>
        <w:t xml:space="preserve"> och grönsaker</w:t>
      </w:r>
      <w:bookmarkEnd w:id="22"/>
      <w:bookmarkEnd w:id="23"/>
    </w:p>
    <w:p w:rsidR="005627C9" w:rsidRDefault="00332A90">
      <w:pPr>
        <w:pStyle w:val="Text1"/>
        <w:rPr>
          <w:noProof/>
        </w:rPr>
      </w:pPr>
      <w:r>
        <w:rPr>
          <w:noProof/>
        </w:rPr>
        <w:t>Det skenbara överutnyttjandet på 333,3 miljoner euro beror på att de inkomster som avsatts för budgetposten inte har tagits med i beräkningen. Om de inkomsterna räknas med föreligger ett underutnyttjande på -66,7 miljoner euro (se fotnot (*)</w:t>
      </w:r>
      <w:r>
        <w:rPr>
          <w:noProof/>
        </w:rPr>
        <w:t xml:space="preserve"> i bilagan). Detta beror främst på lägre betalningar till producentorganisationernas verksamhetsprogram i vissa medlemsstater.</w:t>
      </w:r>
    </w:p>
    <w:p w:rsidR="005627C9" w:rsidRDefault="00332A90">
      <w:pPr>
        <w:pStyle w:val="Heading3"/>
        <w:rPr>
          <w:noProof/>
        </w:rPr>
      </w:pPr>
      <w:bookmarkStart w:id="24" w:name="_Toc530432434"/>
      <w:bookmarkStart w:id="25" w:name="_Toc534712957"/>
      <w:r>
        <w:rPr>
          <w:noProof/>
        </w:rPr>
        <w:t>Produkter inom vinsektorn</w:t>
      </w:r>
      <w:bookmarkEnd w:id="24"/>
      <w:bookmarkEnd w:id="25"/>
    </w:p>
    <w:p w:rsidR="005627C9" w:rsidRDefault="00332A90">
      <w:pPr>
        <w:pStyle w:val="Text1"/>
        <w:rPr>
          <w:noProof/>
        </w:rPr>
      </w:pPr>
      <w:r>
        <w:rPr>
          <w:noProof/>
        </w:rPr>
        <w:t>Den slutliga nyttjandegraden för denna budgetpost är ett underutnyttjande på -89,9 miljoner euro, främs</w:t>
      </w:r>
      <w:r>
        <w:rPr>
          <w:noProof/>
        </w:rPr>
        <w:t>t på grund av lägre betalningar än väntat i vissa medlemsstater.</w:t>
      </w:r>
    </w:p>
    <w:p w:rsidR="005627C9" w:rsidRDefault="00332A90">
      <w:pPr>
        <w:pStyle w:val="Heading3"/>
        <w:rPr>
          <w:noProof/>
        </w:rPr>
      </w:pPr>
      <w:bookmarkStart w:id="26" w:name="_Toc530432435"/>
      <w:bookmarkStart w:id="27" w:name="_Toc534712958"/>
      <w:r>
        <w:rPr>
          <w:noProof/>
        </w:rPr>
        <w:t>Mjölk och mjölkprodukter</w:t>
      </w:r>
      <w:bookmarkEnd w:id="26"/>
      <w:bookmarkEnd w:id="27"/>
      <w:r>
        <w:rPr>
          <w:noProof/>
        </w:rPr>
        <w:t xml:space="preserve"> </w:t>
      </w:r>
    </w:p>
    <w:p w:rsidR="005627C9" w:rsidRDefault="00332A90">
      <w:pPr>
        <w:pStyle w:val="Text1"/>
        <w:rPr>
          <w:noProof/>
        </w:rPr>
      </w:pPr>
      <w:r>
        <w:rPr>
          <w:noProof/>
        </w:rPr>
        <w:t>Överutnyttjandet på 167 miljoner euro inom mjölksektorn förklaras av att skummjölkspulver sålts med förlust, framför allt av nedskrivningen vid årsslutet av värdet p</w:t>
      </w:r>
      <w:r>
        <w:rPr>
          <w:noProof/>
        </w:rPr>
        <w:t xml:space="preserve">å lagren av skummjölkspulver. </w:t>
      </w:r>
    </w:p>
    <w:p w:rsidR="005627C9" w:rsidRDefault="00332A90">
      <w:pPr>
        <w:pStyle w:val="Heading3"/>
        <w:rPr>
          <w:noProof/>
        </w:rPr>
      </w:pPr>
      <w:bookmarkStart w:id="28" w:name="_Toc530432436"/>
      <w:bookmarkStart w:id="29" w:name="_Toc534712959"/>
      <w:r>
        <w:rPr>
          <w:noProof/>
        </w:rPr>
        <w:t>Griskött, ägg och fjäderfän, biodling och andra animaliska produkter</w:t>
      </w:r>
      <w:bookmarkEnd w:id="28"/>
      <w:bookmarkEnd w:id="29"/>
      <w:r>
        <w:rPr>
          <w:noProof/>
        </w:rPr>
        <w:t xml:space="preserve"> </w:t>
      </w:r>
    </w:p>
    <w:p w:rsidR="005627C9" w:rsidRDefault="00332A90">
      <w:pPr>
        <w:pStyle w:val="Text1"/>
        <w:ind w:left="851"/>
        <w:rPr>
          <w:noProof/>
        </w:rPr>
      </w:pPr>
      <w:r>
        <w:rPr>
          <w:noProof/>
        </w:rPr>
        <w:t xml:space="preserve">Under tidigare år ingick utgifter för biodling och åtgärder för grisköttsektorn i denna budgetartikel. Artikeln används 2018 för finansiering av stöd till </w:t>
      </w:r>
      <w:r>
        <w:rPr>
          <w:noProof/>
        </w:rPr>
        <w:t>biodling och extraordinära marknadsstödsåtgärder kopplade till djursjukdomar. Innevarande års genomförandemönster är därför annorlunda än den beräknade profilen som grundar sig på mönstren från tidigare år. De totala utgifterna för budgetartikeln är 31,1 m</w:t>
      </w:r>
      <w:r>
        <w:rPr>
          <w:noProof/>
        </w:rPr>
        <w:t>iljoner euro lägre än vad som ursprungligen budgeterats, särskilt på grund av att medlemsstaternas deklarerade slutgiltiga utgifter för exceptionella stödåtgärder var lägre än de budgeterade beloppen.</w:t>
      </w:r>
    </w:p>
    <w:p w:rsidR="005627C9" w:rsidRDefault="00332A90">
      <w:pPr>
        <w:pStyle w:val="Heading3"/>
        <w:rPr>
          <w:noProof/>
        </w:rPr>
      </w:pPr>
      <w:bookmarkStart w:id="30" w:name="_Toc530432437"/>
      <w:bookmarkStart w:id="31" w:name="_Toc534712960"/>
      <w:r>
        <w:rPr>
          <w:noProof/>
        </w:rPr>
        <w:t>Skolprogram</w:t>
      </w:r>
      <w:bookmarkEnd w:id="30"/>
      <w:bookmarkEnd w:id="31"/>
    </w:p>
    <w:p w:rsidR="005627C9" w:rsidRDefault="00332A90">
      <w:pPr>
        <w:pStyle w:val="Text1"/>
        <w:ind w:left="851"/>
        <w:rPr>
          <w:noProof/>
        </w:rPr>
      </w:pPr>
      <w:r>
        <w:rPr>
          <w:noProof/>
        </w:rPr>
        <w:t>Med början läsåret 2017/2018 har de tidigar</w:t>
      </w:r>
      <w:r>
        <w:rPr>
          <w:noProof/>
        </w:rPr>
        <w:t>e åtskilda skolprogrammen för frukt och mjölk slagits ihop. Utgiftsprofilen för budgetartikel 05 02 18 har tagits fram på basis av genomförandemönstret för de tidigare åtskilda skolprogrammen. De totala utgifterna för denna budgetartikel visar sig vid årss</w:t>
      </w:r>
      <w:r>
        <w:rPr>
          <w:noProof/>
        </w:rPr>
        <w:t>lutet vara 32,2 miljoner euro lägre än vad som budgeterats.</w:t>
      </w:r>
    </w:p>
    <w:p w:rsidR="005627C9" w:rsidRDefault="00332A90">
      <w:pPr>
        <w:pStyle w:val="Heading2"/>
        <w:rPr>
          <w:noProof/>
        </w:rPr>
      </w:pPr>
      <w:bookmarkStart w:id="32" w:name="_Toc530432438"/>
      <w:bookmarkStart w:id="33" w:name="_Toc534712961"/>
      <w:bookmarkStart w:id="34" w:name="_Toc244054022"/>
      <w:r>
        <w:rPr>
          <w:noProof/>
        </w:rPr>
        <w:t>Direktstöd</w:t>
      </w:r>
      <w:bookmarkEnd w:id="32"/>
      <w:bookmarkEnd w:id="33"/>
      <w:r>
        <w:rPr>
          <w:noProof/>
        </w:rPr>
        <w:t xml:space="preserve"> </w:t>
      </w:r>
      <w:bookmarkEnd w:id="34"/>
    </w:p>
    <w:p w:rsidR="005627C9" w:rsidRDefault="00332A90">
      <w:pPr>
        <w:spacing w:before="120" w:after="120" w:line="240" w:lineRule="auto"/>
        <w:ind w:left="850"/>
        <w:jc w:val="both"/>
        <w:rPr>
          <w:rFonts w:ascii="Times New Roman" w:eastAsia="Times New Roman" w:hAnsi="Times New Roman"/>
          <w:noProof/>
          <w:sz w:val="24"/>
          <w:szCs w:val="24"/>
        </w:rPr>
      </w:pPr>
      <w:bookmarkStart w:id="35" w:name="_Toc244054023"/>
      <w:r>
        <w:rPr>
          <w:rFonts w:ascii="Times New Roman" w:hAnsi="Times New Roman"/>
          <w:noProof/>
          <w:sz w:val="24"/>
        </w:rPr>
        <w:t>Utgifterna för direktstöd uppgick till 845,6 miljoner euro mer än budgetanslagen. När hänsyn tas till de inkomster som avsatts till detta budgetkapitel (se även punkt 2 ovan) ligger ut</w:t>
      </w:r>
      <w:r>
        <w:rPr>
          <w:rFonts w:ascii="Times New Roman" w:hAnsi="Times New Roman"/>
          <w:noProof/>
          <w:sz w:val="24"/>
        </w:rPr>
        <w:t>nyttjandet mycket nära vad som väntades (230,3 miljoner euro eller endast -0,6 %).</w:t>
      </w:r>
    </w:p>
    <w:p w:rsidR="005627C9" w:rsidRDefault="00332A90">
      <w:pPr>
        <w:pStyle w:val="Heading3"/>
        <w:rPr>
          <w:noProof/>
        </w:rPr>
      </w:pPr>
      <w:bookmarkStart w:id="36" w:name="_Toc530432439"/>
      <w:bookmarkStart w:id="37" w:name="_Toc534712962"/>
      <w:r>
        <w:rPr>
          <w:noProof/>
        </w:rPr>
        <w:t>Frikopplat direktstöd</w:t>
      </w:r>
      <w:bookmarkEnd w:id="36"/>
      <w:bookmarkEnd w:id="37"/>
    </w:p>
    <w:p w:rsidR="005627C9" w:rsidRDefault="00332A90">
      <w:pPr>
        <w:pStyle w:val="Text1"/>
        <w:rPr>
          <w:noProof/>
        </w:rPr>
      </w:pPr>
      <w:r>
        <w:rPr>
          <w:noProof/>
        </w:rPr>
        <w:t xml:space="preserve">De deklarerade utgifterna överskrider de budgeterade anslagen med 995,7 miljoner euro. När hänsyn tas till de inkomster som avsatts till denna artikel </w:t>
      </w:r>
      <w:r>
        <w:rPr>
          <w:noProof/>
        </w:rPr>
        <w:t>(1 075,9 miljoner euro) är utnyttjandet nästan lika med vad som budgeterats (-80,2 miljoner euro) (se fotnot (*) i bilagan).</w:t>
      </w:r>
    </w:p>
    <w:p w:rsidR="005627C9" w:rsidRDefault="00332A90">
      <w:pPr>
        <w:pStyle w:val="Heading3"/>
        <w:rPr>
          <w:noProof/>
        </w:rPr>
      </w:pPr>
      <w:bookmarkStart w:id="38" w:name="_Toc525734915"/>
      <w:bookmarkStart w:id="39" w:name="_Toc525736646"/>
      <w:bookmarkStart w:id="40" w:name="_Toc526175174"/>
      <w:bookmarkStart w:id="41" w:name="_Toc525734916"/>
      <w:bookmarkStart w:id="42" w:name="_Toc525736647"/>
      <w:bookmarkStart w:id="43" w:name="_Toc526175175"/>
      <w:bookmarkStart w:id="44" w:name="_Toc525734917"/>
      <w:bookmarkStart w:id="45" w:name="_Toc525736648"/>
      <w:bookmarkStart w:id="46" w:name="_Toc526175176"/>
      <w:bookmarkStart w:id="47" w:name="_Toc530432440"/>
      <w:bookmarkStart w:id="48" w:name="_Toc534712963"/>
      <w:bookmarkEnd w:id="38"/>
      <w:bookmarkEnd w:id="39"/>
      <w:bookmarkEnd w:id="40"/>
      <w:bookmarkEnd w:id="41"/>
      <w:bookmarkEnd w:id="42"/>
      <w:bookmarkEnd w:id="43"/>
      <w:bookmarkEnd w:id="44"/>
      <w:bookmarkEnd w:id="45"/>
      <w:bookmarkEnd w:id="46"/>
      <w:r>
        <w:rPr>
          <w:noProof/>
        </w:rPr>
        <w:t>Övrigt direktstöd</w:t>
      </w:r>
      <w:bookmarkEnd w:id="47"/>
      <w:bookmarkEnd w:id="48"/>
    </w:p>
    <w:p w:rsidR="005627C9" w:rsidRDefault="00332A90">
      <w:pPr>
        <w:spacing w:before="120" w:after="120" w:line="240" w:lineRule="auto"/>
        <w:ind w:left="850"/>
        <w:jc w:val="both"/>
        <w:rPr>
          <w:rFonts w:ascii="Times New Roman" w:eastAsia="Times New Roman" w:hAnsi="Times New Roman"/>
          <w:i/>
          <w:noProof/>
          <w:sz w:val="24"/>
          <w:szCs w:val="24"/>
        </w:rPr>
      </w:pPr>
      <w:bookmarkStart w:id="49" w:name="_Toc244054027"/>
      <w:bookmarkEnd w:id="35"/>
      <w:r>
        <w:rPr>
          <w:rFonts w:ascii="Times New Roman" w:hAnsi="Times New Roman"/>
          <w:noProof/>
          <w:sz w:val="24"/>
        </w:rPr>
        <w:t>De slutgiltiga utgifterna för ”Övrigt direktstöd” ligger nära profilen (-150,0 miljoner euro). Särskilt i ordning</w:t>
      </w:r>
      <w:r>
        <w:rPr>
          <w:rFonts w:ascii="Times New Roman" w:hAnsi="Times New Roman"/>
          <w:noProof/>
          <w:sz w:val="24"/>
        </w:rPr>
        <w:t>en för småbrukare var betalningarna lägre än väntat. Å andra sidan var utgifterna för frivilligt kopplat stöd högre än väntat.</w:t>
      </w:r>
    </w:p>
    <w:p w:rsidR="005627C9" w:rsidRDefault="00332A90">
      <w:pPr>
        <w:pStyle w:val="Heading2"/>
        <w:rPr>
          <w:noProof/>
        </w:rPr>
      </w:pPr>
      <w:bookmarkStart w:id="50" w:name="_Toc530432441"/>
      <w:bookmarkStart w:id="51" w:name="_Toc534712964"/>
      <w:r>
        <w:rPr>
          <w:noProof/>
        </w:rPr>
        <w:t>Revision av jordbruksutgifter</w:t>
      </w:r>
      <w:bookmarkEnd w:id="50"/>
      <w:bookmarkEnd w:id="51"/>
    </w:p>
    <w:p w:rsidR="005627C9" w:rsidRDefault="00332A90">
      <w:pPr>
        <w:pStyle w:val="Text1"/>
        <w:rPr>
          <w:noProof/>
        </w:rPr>
      </w:pPr>
      <w:r>
        <w:rPr>
          <w:noProof/>
        </w:rPr>
        <w:t>För budgetkapitel 05 07 finns ett underutnyttjande på -44,9 miljoner euro, främst på grund av att e</w:t>
      </w:r>
      <w:r>
        <w:rPr>
          <w:noProof/>
        </w:rPr>
        <w:t xml:space="preserve">tt större belopp tillhörande budgetrubrik 05 07 02 (tvistlösning) och kopplat till EU-domstolens mål C585/15 ”Tirlemontoise” troligen deklareras 2019 i stället för 2018.  </w:t>
      </w:r>
    </w:p>
    <w:p w:rsidR="005627C9" w:rsidRDefault="00332A90">
      <w:pPr>
        <w:pStyle w:val="Heading1"/>
        <w:rPr>
          <w:noProof/>
        </w:rPr>
      </w:pPr>
      <w:bookmarkStart w:id="52" w:name="_Toc413145210"/>
      <w:bookmarkStart w:id="53" w:name="_Toc530432442"/>
      <w:bookmarkStart w:id="54" w:name="_Toc534712965"/>
      <w:r>
        <w:rPr>
          <w:noProof/>
        </w:rPr>
        <w:t>Utnyttjandet av inkomster som avsatts för EGFJ</w:t>
      </w:r>
      <w:bookmarkEnd w:id="49"/>
      <w:bookmarkEnd w:id="52"/>
      <w:bookmarkEnd w:id="53"/>
      <w:bookmarkEnd w:id="54"/>
    </w:p>
    <w:p w:rsidR="005627C9" w:rsidRDefault="00332A90">
      <w:pPr>
        <w:spacing w:before="120" w:after="120" w:line="240" w:lineRule="auto"/>
        <w:ind w:left="850"/>
        <w:jc w:val="both"/>
        <w:rPr>
          <w:rFonts w:ascii="Times New Roman" w:hAnsi="Times New Roman"/>
          <w:noProof/>
          <w:sz w:val="24"/>
          <w:szCs w:val="24"/>
        </w:rPr>
      </w:pPr>
      <w:bookmarkStart w:id="55" w:name="_Toc244054028"/>
      <w:r>
        <w:rPr>
          <w:rFonts w:ascii="Times New Roman" w:hAnsi="Times New Roman"/>
          <w:noProof/>
          <w:sz w:val="24"/>
        </w:rPr>
        <w:t>Tabellen i bilagan visar att de total</w:t>
      </w:r>
      <w:r>
        <w:rPr>
          <w:rFonts w:ascii="Times New Roman" w:hAnsi="Times New Roman"/>
          <w:noProof/>
          <w:sz w:val="24"/>
        </w:rPr>
        <w:t>a inkomster avsatta för särskilda ändamål som slutligen var tillgängliga för 2018 uppgick till 1 598,2 miljoner euro.</w:t>
      </w:r>
    </w:p>
    <w:p w:rsidR="005627C9" w:rsidRDefault="00332A90">
      <w:pPr>
        <w:spacing w:before="120" w:after="120" w:line="240" w:lineRule="auto"/>
        <w:ind w:left="850"/>
        <w:jc w:val="both"/>
        <w:rPr>
          <w:rFonts w:ascii="Times New Roman" w:hAnsi="Times New Roman"/>
          <w:noProof/>
          <w:sz w:val="24"/>
          <w:szCs w:val="24"/>
        </w:rPr>
      </w:pPr>
      <w:r>
        <w:rPr>
          <w:rFonts w:ascii="Times New Roman" w:hAnsi="Times New Roman"/>
          <w:noProof/>
          <w:sz w:val="24"/>
        </w:rPr>
        <w:t xml:space="preserve">Jämfört med det uppskattade beloppet visar sig inkomsterna från räkenskapsavslutningen bli 125,5 miljoner euro större, medan det slutliga </w:t>
      </w:r>
      <w:r>
        <w:rPr>
          <w:rFonts w:ascii="Times New Roman" w:hAnsi="Times New Roman"/>
          <w:noProof/>
          <w:sz w:val="24"/>
        </w:rPr>
        <w:t>beloppet för oriktigheter ligger nära prognosen (-0,4 miljoner euro). En del resterande inkomster från tilläggsavgiften för mjölkproducenter har också bokförts (3,9 miljoner euro).</w:t>
      </w:r>
    </w:p>
    <w:p w:rsidR="005627C9" w:rsidRDefault="00332A90">
      <w:pPr>
        <w:spacing w:before="120" w:after="120" w:line="240" w:lineRule="auto"/>
        <w:ind w:left="850"/>
        <w:jc w:val="both"/>
        <w:rPr>
          <w:noProof/>
        </w:rPr>
      </w:pPr>
      <w:r>
        <w:rPr>
          <w:rFonts w:ascii="Times New Roman" w:hAnsi="Times New Roman"/>
          <w:noProof/>
          <w:sz w:val="24"/>
        </w:rPr>
        <w:t xml:space="preserve">Återstående ej använda inkomster kommer att överföras till budgetåret 2019 </w:t>
      </w:r>
      <w:r>
        <w:rPr>
          <w:rFonts w:ascii="Times New Roman" w:hAnsi="Times New Roman"/>
          <w:noProof/>
          <w:sz w:val="24"/>
        </w:rPr>
        <w:t xml:space="preserve">för att bidra till finansieringen av EGFJ:s utgifter för det året. </w:t>
      </w:r>
    </w:p>
    <w:p w:rsidR="005627C9" w:rsidRDefault="00332A90">
      <w:pPr>
        <w:pStyle w:val="Heading1"/>
        <w:rPr>
          <w:noProof/>
        </w:rPr>
      </w:pPr>
      <w:bookmarkStart w:id="56" w:name="_Toc244054030"/>
      <w:bookmarkStart w:id="57" w:name="_Toc413145211"/>
      <w:bookmarkStart w:id="58" w:name="_Toc530432443"/>
      <w:bookmarkStart w:id="59" w:name="_Toc534712966"/>
      <w:bookmarkEnd w:id="55"/>
      <w:r>
        <w:rPr>
          <w:noProof/>
        </w:rPr>
        <w:t>Slutsats</w:t>
      </w:r>
      <w:bookmarkEnd w:id="56"/>
      <w:bookmarkEnd w:id="57"/>
      <w:bookmarkEnd w:id="58"/>
      <w:bookmarkEnd w:id="59"/>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Det preliminära utnyttjandet 2018 års EGFJ-anslag, inklusive beräknade utgifter för åtgärder under direkt förvaltning av kommissionen fram till och med den 31 december 2018, tyder</w:t>
      </w:r>
      <w:r>
        <w:rPr>
          <w:rFonts w:ascii="Times New Roman" w:hAnsi="Times New Roman"/>
          <w:noProof/>
          <w:sz w:val="24"/>
        </w:rPr>
        <w:t xml:space="preserve"> på ett överutnyttjande på 1 152 miljoner euro jämfört med de godkända budgetanslagen. Detta överutnyttjande täcks av de tillgängliga inkomsterna avsatta för särskilda ändamål på 1 598 miljoner euro.</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Krisreserven har inte utnyttjats under 2018 (459,5 miljo</w:t>
      </w:r>
      <w:r>
        <w:rPr>
          <w:rFonts w:ascii="Times New Roman" w:hAnsi="Times New Roman"/>
          <w:noProof/>
          <w:sz w:val="24"/>
        </w:rPr>
        <w:t>ner euro). Därför kommer det belopp för finansiell disciplin som faktiskt tillämpades under 2018 att överföras till 2019 för återbetalning av direktstöd till stödmottagarna.</w:t>
      </w:r>
    </w:p>
    <w:p w:rsidR="005627C9" w:rsidRDefault="00332A90">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Ett antal justeringar och överföringar av anslag i slutet av året som ännu inte är</w:t>
      </w:r>
      <w:r>
        <w:rPr>
          <w:rFonts w:ascii="Times New Roman" w:hAnsi="Times New Roman"/>
          <w:noProof/>
          <w:sz w:val="24"/>
        </w:rPr>
        <w:t xml:space="preserve"> gjorda kommer att inverka marginellt på det slutliga saldot av avsatta inkomster som ska föras över till 2019 års budget. I samband med förlikningsförfarandet avseende budgeten för 2019 uppskattades det slutgiltiga saldo som ska föras över till 2019 till </w:t>
      </w:r>
      <w:r>
        <w:rPr>
          <w:rFonts w:ascii="Times New Roman" w:hAnsi="Times New Roman"/>
          <w:noProof/>
          <w:sz w:val="24"/>
        </w:rPr>
        <w:t>444 miljoner euro.</w:t>
      </w:r>
    </w:p>
    <w:sectPr w:rsidR="005627C9">
      <w:headerReference w:type="even" r:id="rId21"/>
      <w:headerReference w:type="default" r:id="rId22"/>
      <w:footerReference w:type="even" r:id="rId23"/>
      <w:footerReference w:type="default" r:id="rId24"/>
      <w:headerReference w:type="first" r:id="rId25"/>
      <w:footerReference w:type="first" r:id="rId26"/>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C9" w:rsidRDefault="00332A90">
      <w:pPr>
        <w:spacing w:after="0" w:line="240" w:lineRule="auto"/>
      </w:pPr>
      <w:r>
        <w:separator/>
      </w:r>
    </w:p>
  </w:endnote>
  <w:endnote w:type="continuationSeparator" w:id="0">
    <w:p w:rsidR="005627C9" w:rsidRDefault="0033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332A90">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332A90">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p w:rsidR="005627C9" w:rsidRDefault="005627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332A90">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w:t>
    </w:r>
    <w:r>
      <w:rPr>
        <w:noProof/>
        <w:szCs w:val="24"/>
      </w:rPr>
      <w:fldChar w:fldCharType="end"/>
    </w:r>
  </w:p>
  <w:p w:rsidR="005627C9" w:rsidRDefault="005627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C9" w:rsidRDefault="00332A90">
      <w:pPr>
        <w:spacing w:after="0" w:line="240" w:lineRule="auto"/>
      </w:pPr>
      <w:r>
        <w:separator/>
      </w:r>
    </w:p>
  </w:footnote>
  <w:footnote w:type="continuationSeparator" w:id="0">
    <w:p w:rsidR="005627C9" w:rsidRDefault="00332A90">
      <w:pPr>
        <w:spacing w:after="0" w:line="240" w:lineRule="auto"/>
      </w:pPr>
      <w:r>
        <w:continuationSeparator/>
      </w:r>
    </w:p>
  </w:footnote>
  <w:footnote w:id="1">
    <w:p w:rsidR="005627C9" w:rsidRDefault="00332A90">
      <w:pPr>
        <w:pStyle w:val="FootnoteText"/>
        <w:spacing w:after="60"/>
        <w:ind w:left="851" w:hanging="851"/>
        <w:jc w:val="both"/>
        <w:rPr>
          <w:rFonts w:ascii="Times New Roman" w:hAnsi="Times New Roman"/>
        </w:rPr>
      </w:pPr>
      <w:r>
        <w:rPr>
          <w:rStyle w:val="FootnoteReference"/>
          <w:rFonts w:ascii="Times New Roman" w:hAnsi="Times New Roman"/>
        </w:rPr>
        <w:footnoteRef/>
      </w:r>
      <w:r>
        <w:tab/>
      </w:r>
      <w:r>
        <w:rPr>
          <w:rFonts w:ascii="Times New Roman" w:hAnsi="Times New Roman"/>
        </w:rPr>
        <w:t xml:space="preserve">Enligt artikel 12.4 b i Europaparlamentets och rådets förordning (EU, Euratom) nr 2018/1046 om finansiella regler för unionens allmänna budget får interna inkomster som avsatts för särskilda ändamål endast överföras till närmast följande budgetår. För att </w:t>
      </w:r>
      <w:r>
        <w:rPr>
          <w:rFonts w:ascii="Times New Roman" w:hAnsi="Times New Roman"/>
        </w:rPr>
        <w:t xml:space="preserve">säkerställa en sund budgetförvaltning används dessa avsatta inkomster i allmänhet före de anslag som godkänts för den berörda budgetartikeln.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C9" w:rsidRDefault="0056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15:restartNumberingAfterBreak="0">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15:restartNumberingAfterBreak="0">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F2E434F-4B34-4786-8348-6EFF48193234"/>
    <w:docVar w:name="LW_COVERPAGE_TYPE" w:val="1"/>
    <w:docVar w:name="LW_CROSSREFERENCE" w:val="&lt;UNUSED&gt;"/>
    <w:docVar w:name="LW_DocType" w:val="NORMAL"/>
    <w:docVar w:name="LW_EMISSION" w:val="1.2.2019"/>
    <w:docVar w:name="LW_EMISSION_ISODATE" w:val="2019-02-01"/>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m EGFJ:s utgifter_x000d__x000d__x000d__x000b__x000d__x000d__x000d__x000b__x000d__x000d__x000d__x000b_System för tidig varning nr 11-12/2018"/>
    <w:docVar w:name="LW_TYPE.DOC.CP" w:val="RAPPORT FRÅN KOMMISSIONEN TILL EUROPAPARLAMENTET OCH RÅDET"/>
  </w:docVars>
  <w:rsids>
    <w:rsidRoot w:val="005627C9"/>
    <w:rsid w:val="00332A90"/>
    <w:rsid w:val="0056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ABCACC85-2CB9-4DA5-BE22-4E101559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sv-SE"/>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sv-S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sv-SE"/>
    </w:rPr>
  </w:style>
  <w:style w:type="character" w:customStyle="1" w:styleId="Heading2Char">
    <w:name w:val="Heading 2 Char"/>
    <w:link w:val="Heading2"/>
    <w:rPr>
      <w:rFonts w:ascii="Times New Roman" w:eastAsia="Times New Roman" w:hAnsi="Times New Roman"/>
      <w:b/>
      <w:bCs/>
      <w:iCs/>
      <w:sz w:val="24"/>
      <w:szCs w:val="28"/>
      <w:lang w:eastAsia="sv-SE"/>
    </w:rPr>
  </w:style>
  <w:style w:type="character" w:customStyle="1" w:styleId="Heading3Char">
    <w:name w:val="Heading 3 Char"/>
    <w:link w:val="Heading3"/>
    <w:rPr>
      <w:rFonts w:ascii="Times New Roman" w:eastAsia="Times New Roman" w:hAnsi="Times New Roman"/>
      <w:bCs/>
      <w:i/>
      <w:sz w:val="24"/>
      <w:szCs w:val="26"/>
      <w:lang w:eastAsia="sv-SE"/>
    </w:rPr>
  </w:style>
  <w:style w:type="character" w:customStyle="1" w:styleId="Heading4Char">
    <w:name w:val="Heading 4 Char"/>
    <w:link w:val="Heading4"/>
    <w:semiHidden/>
    <w:rPr>
      <w:rFonts w:ascii="Times New Roman" w:eastAsia="Times New Roman" w:hAnsi="Times New Roman"/>
      <w:bCs/>
      <w:sz w:val="24"/>
      <w:szCs w:val="28"/>
      <w:lang w:eastAsia="sv-SE"/>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sv-SE"/>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v-SE"/>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sv-SE"/>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1275-8A62-4A95-8972-BA64D512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1694</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KONONIUK Agnieszka (SG)</cp:lastModifiedBy>
  <cp:revision>25</cp:revision>
  <cp:lastPrinted>2018-11-22T13:29:00Z</cp:lastPrinted>
  <dcterms:created xsi:type="dcterms:W3CDTF">2018-11-22T15:08:00Z</dcterms:created>
  <dcterms:modified xsi:type="dcterms:W3CDTF">2019-02-01T14:53:00Z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