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03E9" w:rsidRDefault="00F77AE9" w:rsidP="00F77AE9">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EDF2423A-9EC5-4A03-BA97-4D613CC35D51" style="width:450.85pt;height:455.25pt">
            <v:imagedata r:id="rId8" o:title=""/>
          </v:shape>
        </w:pict>
      </w:r>
    </w:p>
    <w:bookmarkEnd w:id="0"/>
    <w:p w:rsidR="003D03E9" w:rsidRDefault="003D03E9">
      <w:pPr>
        <w:jc w:val="both"/>
        <w:rPr>
          <w:rFonts w:ascii="Times New Roman" w:hAnsi="Times New Roman" w:cs="Times New Roman"/>
          <w:noProof/>
        </w:rPr>
        <w:sectPr w:rsidR="003D03E9" w:rsidSect="00F77AE9">
          <w:headerReference w:type="even" r:id="rId9"/>
          <w:headerReference w:type="default" r:id="rId10"/>
          <w:footerReference w:type="even" r:id="rId11"/>
          <w:footerReference w:type="default" r:id="rId12"/>
          <w:headerReference w:type="first" r:id="rId13"/>
          <w:footerReference w:type="first" r:id="rId14"/>
          <w:pgSz w:w="11906" w:h="16838" w:code="9"/>
          <w:pgMar w:top="1134" w:right="1417" w:bottom="1134" w:left="1417" w:header="709" w:footer="709" w:gutter="0"/>
          <w:pgNumType w:start="1"/>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3D03E9" w:rsidRPr="00F77AE9">
        <w:tc>
          <w:tcPr>
            <w:tcW w:w="9288" w:type="dxa"/>
            <w:shd w:val="clear" w:color="auto" w:fill="BFBFBF"/>
          </w:tcPr>
          <w:p w:rsidR="003D03E9" w:rsidRDefault="00F77AE9">
            <w:pPr>
              <w:jc w:val="both"/>
              <w:rPr>
                <w:rFonts w:ascii="Times New Roman" w:hAnsi="Times New Roman" w:cs="Times New Roman"/>
                <w:i/>
                <w:noProof/>
                <w:lang w:val="lv-LV" w:eastAsia="lv-LV" w:bidi="lv-LV"/>
              </w:rPr>
            </w:pPr>
            <w:r>
              <w:rPr>
                <w:rFonts w:ascii="Times New Roman" w:hAnsi="Times New Roman" w:cs="Times New Roman"/>
                <w:b/>
                <w:noProof/>
              </w:rPr>
              <w:lastRenderedPageBreak/>
              <w:t xml:space="preserve"> </w:t>
            </w:r>
            <w:r>
              <w:rPr>
                <w:rFonts w:ascii="Times New Roman" w:hAnsi="Times New Roman"/>
                <w:i/>
                <w:noProof/>
                <w:lang w:val="lv-LV" w:eastAsia="lv-LV" w:bidi="lv-LV"/>
              </w:rPr>
              <w:t>Brīdināšanas mehānisma ziņojums (BMZ) ir ikgadējā cikla sākumpunkts makroekonomikas nelīdzsvarotības novēršanas procedūrai (MNNP), kuras mērķis ir konstatēt un novērst nelīdzsvarotību, kas kavē dalībvalstu ekonomiku vai ES ekonomikas pienācīgu darbību un v</w:t>
            </w:r>
            <w:r>
              <w:rPr>
                <w:rFonts w:ascii="Times New Roman" w:hAnsi="Times New Roman"/>
                <w:i/>
                <w:noProof/>
                <w:lang w:val="lv-LV" w:eastAsia="lv-LV" w:bidi="lv-LV"/>
              </w:rPr>
              <w:t xml:space="preserve">ar apdraudēt ekonomiskās un monetārās savienības pareizu darbību. </w:t>
            </w:r>
          </w:p>
          <w:p w:rsidR="003D03E9" w:rsidRDefault="00F77AE9">
            <w:pPr>
              <w:jc w:val="both"/>
              <w:rPr>
                <w:rFonts w:ascii="Times New Roman" w:hAnsi="Times New Roman" w:cs="Times New Roman"/>
                <w:noProof/>
                <w:lang w:val="lv-LV" w:eastAsia="lv-LV" w:bidi="lv-LV"/>
              </w:rPr>
            </w:pPr>
            <w:r>
              <w:rPr>
                <w:rFonts w:ascii="Times New Roman" w:hAnsi="Times New Roman"/>
                <w:i/>
                <w:noProof/>
                <w:lang w:val="lv-LV" w:eastAsia="lv-LV" w:bidi="lv-LV"/>
              </w:rPr>
              <w:t>Lai izvērtētu dalībvalstu iespējamo ekonomikas nelīdzsvarotību, kuras novēršanai nepieciešama politikas rīcība, BMZ ir izmantots atlasītu rādītāju kopsavilkums, kā arī plašāks palīgrādītāju</w:t>
            </w:r>
            <w:r>
              <w:rPr>
                <w:rFonts w:ascii="Times New Roman" w:hAnsi="Times New Roman"/>
                <w:i/>
                <w:noProof/>
                <w:lang w:val="lv-LV" w:eastAsia="lv-LV" w:bidi="lv-LV"/>
              </w:rPr>
              <w:t xml:space="preserve"> kopums un cita nozīmīga informācija. BMZ tiek identificētas tās dalībvalstis, par kurām jāveic padziļināts pārskats (PP), lai izvērtētu šo dalībvalstu makroekonomikas risku palielināšanos vai attiecīgi samazināšanos un izdarītu secinājumus par to, vai pas</w:t>
            </w:r>
            <w:r>
              <w:rPr>
                <w:rFonts w:ascii="Times New Roman" w:hAnsi="Times New Roman"/>
                <w:i/>
                <w:noProof/>
                <w:lang w:val="lv-LV" w:eastAsia="lv-LV" w:bidi="lv-LV"/>
              </w:rPr>
              <w:t xml:space="preserve">tāv nelīdzsvarotība vai pārmērīga nelīdzsvarotība. Kad par BMZ būs notikušas diskusijas ar Eiropas Parlamentu un diskusijas Padomē un </w:t>
            </w:r>
            <w:r>
              <w:rPr>
                <w:rFonts w:ascii="Times New Roman" w:hAnsi="Times New Roman"/>
                <w:noProof/>
                <w:lang w:val="lv-LV" w:eastAsia="lv-LV" w:bidi="lv-LV"/>
              </w:rPr>
              <w:t>Eurogrupā</w:t>
            </w:r>
            <w:r>
              <w:rPr>
                <w:rFonts w:ascii="Times New Roman" w:hAnsi="Times New Roman"/>
                <w:i/>
                <w:noProof/>
                <w:lang w:val="lv-LV" w:eastAsia="lv-LV" w:bidi="lv-LV"/>
              </w:rPr>
              <w:t>, Komisija, ņemot vērā to rezultātus, sagatavos PP par attiecīgajām dalībvalstīm. Saskaņā ar iedibināto praksi PP</w:t>
            </w:r>
            <w:r>
              <w:rPr>
                <w:rFonts w:ascii="Times New Roman" w:hAnsi="Times New Roman"/>
                <w:i/>
                <w:noProof/>
                <w:lang w:val="lv-LV" w:eastAsia="lv-LV" w:bidi="lv-LV"/>
              </w:rPr>
              <w:t xml:space="preserve"> jebkurā gadījumā tiek sagatavoti par tām dalībvalstīm, kurās nelīdzsvarotība bija konstatēta iepriekšējā PP sagatavošanas kārtā. PP konstatējumi tiks ņemti vērā konkrētām valstīm adresētajos ieteikumos (KVAI) Eiropas ekonomikas politikas koordinēšanas pus</w:t>
            </w:r>
            <w:r>
              <w:rPr>
                <w:rFonts w:ascii="Times New Roman" w:hAnsi="Times New Roman"/>
                <w:i/>
                <w:noProof/>
                <w:lang w:val="lv-LV" w:eastAsia="lv-LV" w:bidi="lv-LV"/>
              </w:rPr>
              <w:t>gada ietvaros. Paredzams, ka PP tiks publicēti 2019. gada februārī — pirms Eiropas pusgada ietvaros sniegtajiem KVAI.</w:t>
            </w:r>
          </w:p>
        </w:tc>
      </w:tr>
    </w:tbl>
    <w:p w:rsidR="003D03E9" w:rsidRDefault="003D03E9">
      <w:pPr>
        <w:jc w:val="both"/>
        <w:rPr>
          <w:rFonts w:ascii="Times New Roman" w:hAnsi="Times New Roman" w:cs="Times New Roman"/>
          <w:b/>
          <w:bCs/>
          <w:noProof/>
          <w:lang w:val="lv-LV" w:eastAsia="lv-LV" w:bidi="lv-LV"/>
        </w:rPr>
      </w:pPr>
    </w:p>
    <w:p w:rsidR="003D03E9" w:rsidRDefault="00F77AE9">
      <w:pPr>
        <w:jc w:val="both"/>
        <w:rPr>
          <w:rFonts w:ascii="Times New Roman" w:hAnsi="Times New Roman" w:cs="Times New Roman"/>
          <w:b/>
          <w:bCs/>
          <w:noProof/>
          <w:lang w:val="lv-LV" w:eastAsia="lv-LV" w:bidi="lv-LV"/>
        </w:rPr>
      </w:pPr>
      <w:r>
        <w:rPr>
          <w:rFonts w:ascii="Times New Roman" w:hAnsi="Times New Roman"/>
          <w:b/>
          <w:noProof/>
          <w:lang w:val="lv-LV" w:eastAsia="lv-LV" w:bidi="lv-LV"/>
        </w:rPr>
        <w:t>1.</w:t>
      </w:r>
      <w:r>
        <w:rPr>
          <w:noProof/>
          <w:lang w:val="lv-LV" w:eastAsia="lv-LV" w:bidi="lv-LV"/>
        </w:rPr>
        <w:tab/>
      </w:r>
      <w:r>
        <w:rPr>
          <w:rFonts w:ascii="Times New Roman Bold" w:hAnsi="Times New Roman Bold"/>
          <w:b/>
          <w:smallCaps/>
          <w:noProof/>
          <w:lang w:val="lv-LV" w:eastAsia="lv-LV" w:bidi="lv-LV"/>
        </w:rPr>
        <w:t>Kopsavilkums</w:t>
      </w:r>
    </w:p>
    <w:p w:rsidR="003D03E9" w:rsidRDefault="00F77AE9">
      <w:pPr>
        <w:jc w:val="both"/>
        <w:rPr>
          <w:rFonts w:ascii="Times New Roman" w:hAnsi="Times New Roman" w:cs="Times New Roman"/>
          <w:noProof/>
          <w:lang w:val="lv-LV" w:eastAsia="lv-LV" w:bidi="lv-LV"/>
        </w:rPr>
      </w:pPr>
      <w:r>
        <w:rPr>
          <w:rFonts w:ascii="Times New Roman" w:hAnsi="Times New Roman"/>
          <w:b/>
          <w:noProof/>
          <w:lang w:val="lv-LV" w:eastAsia="lv-LV" w:bidi="lv-LV"/>
        </w:rPr>
        <w:t>Ar šo ziņojumu tiek aizsākta makroekonomikas nelīdzsvarotības novēršanas procedūras (MNNP) astotā ikgadējā kārta</w:t>
      </w:r>
      <w:r>
        <w:rPr>
          <w:rFonts w:ascii="Times New Roman" w:hAnsi="Times New Roman"/>
          <w:noProof/>
          <w:vertAlign w:val="superscript"/>
          <w:lang w:val="lv-LV" w:eastAsia="lv-LV" w:bidi="lv-LV"/>
        </w:rPr>
        <w:footnoteReference w:id="1"/>
      </w:r>
      <w:r>
        <w:rPr>
          <w:rFonts w:ascii="Times New Roman" w:hAnsi="Times New Roman"/>
          <w:b/>
          <w:noProof/>
          <w:lang w:val="lv-LV" w:eastAsia="lv-LV" w:bidi="lv-LV"/>
        </w:rPr>
        <w:t>.</w:t>
      </w:r>
      <w:r>
        <w:rPr>
          <w:rFonts w:ascii="Times New Roman" w:hAnsi="Times New Roman"/>
          <w:noProof/>
          <w:lang w:val="lv-LV" w:eastAsia="lv-LV" w:bidi="lv-LV"/>
        </w:rPr>
        <w:t xml:space="preserve"> Procedūras mērķis ir identificēt nelīdzsvarotību, kas kavē dalībvalstu tautsaimniecību pienācīgu darbību, un stimulēt atbilstošus politikas risinājumus. MNNP īstenošana ir iekļauta Eiropas ekonomikas politikas koordinēšanas pusgadā, lai nodrošinātu saskaņ</w:t>
      </w:r>
      <w:r>
        <w:rPr>
          <w:rFonts w:ascii="Times New Roman" w:hAnsi="Times New Roman"/>
          <w:noProof/>
          <w:lang w:val="lv-LV" w:eastAsia="lv-LV" w:bidi="lv-LV"/>
        </w:rPr>
        <w:t>otību ar analīzi un ieteikumiem, kas sniegti citu ekonomikas pārraudzības instrumentu ietvaros. Gada izaugsmes pētījumā (GIP), kas pieņemts vienlaikus ar šo ziņojumu, ir apskatīta ekonomikas un sociālā situācija Eiropā un nākamajam gadam noteiktas vispārēj</w:t>
      </w:r>
      <w:r>
        <w:rPr>
          <w:rFonts w:ascii="Times New Roman" w:hAnsi="Times New Roman"/>
          <w:noProof/>
          <w:lang w:val="lv-LV" w:eastAsia="lv-LV" w:bidi="lv-LV"/>
        </w:rPr>
        <w:t>ās politikas prioritātes ES kopumā.</w:t>
      </w:r>
    </w:p>
    <w:p w:rsidR="003D03E9" w:rsidRDefault="00F77AE9">
      <w:pPr>
        <w:jc w:val="both"/>
        <w:rPr>
          <w:rFonts w:ascii="Times New Roman" w:hAnsi="Times New Roman" w:cs="Times New Roman"/>
          <w:noProof/>
          <w:lang w:val="lv-LV" w:eastAsia="lv-LV" w:bidi="lv-LV"/>
        </w:rPr>
      </w:pPr>
      <w:r>
        <w:rPr>
          <w:rFonts w:ascii="Times New Roman" w:hAnsi="Times New Roman"/>
          <w:b/>
          <w:noProof/>
          <w:lang w:val="lv-LV" w:eastAsia="lv-LV" w:bidi="lv-LV"/>
        </w:rPr>
        <w:t>Šajā ziņojumā ir norādītas dalībvalstis, attiecībā uz kurām būtu jāveic padziļināti pārskati (PP), lai izvērtētu, vai tajās ir nelīdzsvarotība, kuras novēršanai nepieciešama politikas rīcība</w:t>
      </w:r>
      <w:r>
        <w:rPr>
          <w:rFonts w:ascii="Times New Roman" w:hAnsi="Times New Roman"/>
          <w:noProof/>
          <w:vertAlign w:val="superscript"/>
          <w:lang w:val="lv-LV" w:eastAsia="lv-LV" w:bidi="lv-LV"/>
        </w:rPr>
        <w:footnoteReference w:id="2"/>
      </w:r>
      <w:r>
        <w:rPr>
          <w:rFonts w:ascii="Times New Roman" w:hAnsi="Times New Roman"/>
          <w:b/>
          <w:noProof/>
          <w:lang w:val="lv-LV" w:eastAsia="lv-LV" w:bidi="lv-LV"/>
        </w:rPr>
        <w:t>.</w:t>
      </w:r>
      <w:r>
        <w:rPr>
          <w:rFonts w:ascii="Times New Roman" w:hAnsi="Times New Roman"/>
          <w:noProof/>
          <w:lang w:val="lv-LV" w:eastAsia="lv-LV" w:bidi="lv-LV"/>
        </w:rPr>
        <w:t xml:space="preserve"> Brīdināšanas mehānisma ziņo</w:t>
      </w:r>
      <w:r>
        <w:rPr>
          <w:rFonts w:ascii="Times New Roman" w:hAnsi="Times New Roman"/>
          <w:noProof/>
          <w:lang w:val="lv-LV" w:eastAsia="lv-LV" w:bidi="lv-LV"/>
        </w:rPr>
        <w:t>jums (BMZ), ko publicē katra ekonomikas politikas koordinēšanas ikgadējā cikla sākumā, ir ekonomikas nelīdzsvarotības konstatēšanas instruments. Tā pamatā ir ekonomiskā interpretācija par noteiktu rādītāju (kuriem ir konkrētas indikatīvās robežvērtības) ko</w:t>
      </w:r>
      <w:r>
        <w:rPr>
          <w:rFonts w:ascii="Times New Roman" w:hAnsi="Times New Roman"/>
          <w:noProof/>
          <w:lang w:val="lv-LV" w:eastAsia="lv-LV" w:bidi="lv-LV"/>
        </w:rPr>
        <w:t>psavilkumu un dažādiem palīgrādītājiem. BMZ ir iekļauta arī analīze par dalībvalstu nelīdzsvarotības ietekmi uz visu eurozonu un ir izvērtēts, kādā mērā, ņemot vērā eurozonas valstu savstarpējo atkarību, nepieciešama koordinēta pieeja politikas risinājumie</w:t>
      </w:r>
      <w:r>
        <w:rPr>
          <w:rFonts w:ascii="Times New Roman" w:hAnsi="Times New Roman"/>
          <w:noProof/>
          <w:lang w:val="lv-LV" w:eastAsia="lv-LV" w:bidi="lv-LV"/>
        </w:rPr>
        <w:t>m</w:t>
      </w:r>
      <w:r>
        <w:rPr>
          <w:rFonts w:ascii="Times New Roman" w:hAnsi="Times New Roman"/>
          <w:noProof/>
          <w:vertAlign w:val="superscript"/>
          <w:lang w:val="lv-LV" w:eastAsia="lv-LV" w:bidi="lv-LV"/>
        </w:rPr>
        <w:footnoteReference w:id="3"/>
      </w:r>
      <w:r>
        <w:rPr>
          <w:rFonts w:ascii="Times New Roman" w:hAnsi="Times New Roman"/>
          <w:noProof/>
          <w:lang w:val="lv-LV" w:eastAsia="lv-LV" w:bidi="lv-LV"/>
        </w:rPr>
        <w:t xml:space="preserve">. Šajā sakarā analīze, kas </w:t>
      </w:r>
      <w:r>
        <w:rPr>
          <w:rFonts w:ascii="Times New Roman" w:hAnsi="Times New Roman"/>
          <w:noProof/>
          <w:lang w:val="lv-LV" w:eastAsia="lv-LV" w:bidi="lv-LV"/>
        </w:rPr>
        <w:lastRenderedPageBreak/>
        <w:t>ietverta šajā ziņojumā, papildina novērtējumu, kurš ietverts Eiropas Komisijas dienestu darba dokumentā “Analysis of the Euro Area economy”, kas pievienots Komisijas ieteikumam Padomes ieteikumam par eurozonas ekonomikas politi</w:t>
      </w:r>
      <w:r>
        <w:rPr>
          <w:rFonts w:ascii="Times New Roman" w:hAnsi="Times New Roman"/>
          <w:noProof/>
          <w:lang w:val="lv-LV" w:eastAsia="lv-LV" w:bidi="lv-LV"/>
        </w:rPr>
        <w:t>ku.</w:t>
      </w:r>
    </w:p>
    <w:p w:rsidR="003D03E9" w:rsidRDefault="00F77AE9">
      <w:pPr>
        <w:jc w:val="both"/>
        <w:rPr>
          <w:rFonts w:ascii="Times New Roman" w:hAnsi="Times New Roman" w:cs="Times New Roman"/>
          <w:noProof/>
          <w:lang w:val="lv-LV" w:eastAsia="lv-LV" w:bidi="lv-LV"/>
        </w:rPr>
      </w:pPr>
      <w:r>
        <w:rPr>
          <w:rFonts w:ascii="Times New Roman" w:hAnsi="Times New Roman"/>
          <w:b/>
          <w:noProof/>
          <w:lang w:val="lv-LV" w:eastAsia="lv-LV" w:bidi="lv-LV"/>
        </w:rPr>
        <w:t xml:space="preserve">BMZ novērtējums tiek veikts, ņemot vērā ekonomikas izaugsmi, kas joprojām ir plaša, neraugoties uz nelielu pieauguma palēninājumu. </w:t>
      </w:r>
      <w:r>
        <w:rPr>
          <w:rFonts w:ascii="Times New Roman" w:hAnsi="Times New Roman"/>
          <w:noProof/>
          <w:lang w:val="lv-LV" w:eastAsia="lv-LV" w:bidi="lv-LV"/>
        </w:rPr>
        <w:t>Eiropas Komisijas 2018. gada rudens ekonomikas prognozē lēsts, ka reālā IKP pieaugums ES un eurozonā 2018. gadā būs 2,1 %</w:t>
      </w:r>
      <w:r>
        <w:rPr>
          <w:rFonts w:ascii="Times New Roman" w:hAnsi="Times New Roman"/>
          <w:noProof/>
          <w:lang w:val="lv-LV" w:eastAsia="lv-LV" w:bidi="lv-LV"/>
        </w:rPr>
        <w:t xml:space="preserve"> un 2019. gadā — 1,9 %; tas ir neliels pieauguma palēninājums salīdzinājumā ar 2017. gadā reģistrēto 2,4 % pieaugumu. Visās dalībvalstīs ir gaidāma pozitīva izaugsme. Paredzams, ka nodarbinātības apstākļi turpinās uzlaboties un pakāpeniski izraisīs darba s</w:t>
      </w:r>
      <w:r>
        <w:rPr>
          <w:rFonts w:ascii="Times New Roman" w:hAnsi="Times New Roman"/>
          <w:noProof/>
          <w:lang w:val="lv-LV" w:eastAsia="lv-LV" w:bidi="lv-LV"/>
        </w:rPr>
        <w:t>amaksas ilgtspējīgāku pieaugumu, kas atbalstītu patēriņu un laika gaitā veidotu pamatu pamatinflācijas dinamikai, kas tuvojas monetāro iestāžu inflācijas mērķim; paredzams, ka ieguldījumu pieaugums saglabāsies stabils, neraugoties uz nelielu pieauguma palē</w:t>
      </w:r>
      <w:r>
        <w:rPr>
          <w:rFonts w:ascii="Times New Roman" w:hAnsi="Times New Roman"/>
          <w:noProof/>
          <w:lang w:val="lv-LV" w:eastAsia="lv-LV" w:bidi="lv-LV"/>
        </w:rPr>
        <w:t>ninājumu. No otras puses, ir pazīmes, kas liecina par neto eksporta devuma mazināšanos izaugsmes nodrošināšanā, ņemot vērā pieaugošo nenoteiktību tirdzniecības politikas vidē un neseno euro vērtības pieaugumu. Kopumā izaugsmes perspektīvas joprojām ir bals</w:t>
      </w:r>
      <w:r>
        <w:rPr>
          <w:rFonts w:ascii="Times New Roman" w:hAnsi="Times New Roman"/>
          <w:noProof/>
          <w:lang w:val="lv-LV" w:eastAsia="lv-LV" w:bidi="lv-LV"/>
        </w:rPr>
        <w:t>tītas uz stabiliem pamatrādītājiem, tostarp kopumā spēcīgiem darba tirgiem, labvēlīgiem kreditēšanas nosacījumiem, uzlabotām bilancēm un banku un nefinanšu sabiedrību peļņu, tomēr izaugsmes prognozes pazeminās, ņemot vērā to, ka cikls galvenajos pasaules r</w:t>
      </w:r>
      <w:r>
        <w:rPr>
          <w:rFonts w:ascii="Times New Roman" w:hAnsi="Times New Roman"/>
          <w:noProof/>
          <w:lang w:val="lv-LV" w:eastAsia="lv-LV" w:bidi="lv-LV"/>
        </w:rPr>
        <w:t>eģionos tuvojas kulminācijai</w:t>
      </w:r>
      <w:r>
        <w:rPr>
          <w:rFonts w:ascii="Times New Roman" w:hAnsi="Times New Roman"/>
          <w:noProof/>
          <w:vertAlign w:val="superscript"/>
          <w:lang w:val="lv-LV" w:eastAsia="lv-LV" w:bidi="lv-LV"/>
        </w:rPr>
        <w:footnoteReference w:id="4"/>
      </w:r>
      <w:r>
        <w:rPr>
          <w:rFonts w:ascii="Times New Roman" w:hAnsi="Times New Roman"/>
          <w:noProof/>
          <w:lang w:val="lv-LV" w:eastAsia="lv-LV" w:bidi="lv-LV"/>
        </w:rPr>
        <w:t xml:space="preserve">. </w:t>
      </w:r>
    </w:p>
    <w:p w:rsidR="003D03E9" w:rsidRDefault="00F77AE9">
      <w:pPr>
        <w:jc w:val="both"/>
        <w:rPr>
          <w:rFonts w:ascii="Times New Roman" w:hAnsi="Times New Roman" w:cs="Times New Roman"/>
          <w:noProof/>
          <w:lang w:val="lv-LV" w:eastAsia="lv-LV" w:bidi="lv-LV"/>
        </w:rPr>
      </w:pPr>
      <w:r>
        <w:rPr>
          <w:b/>
          <w:noProof/>
          <w:lang w:val="lv-LV" w:eastAsia="lv-LV" w:bidi="lv-LV"/>
        </w:rPr>
        <w:t>Makroekonomikas nelīdzsvarotības korekcija ES virzās uz priekšu, ņemot vērā to, ka nominālā IKP pieaugums nostiprinās, bet vidējā termiņa perspektīvā palielinās nenoteiktība</w:t>
      </w:r>
      <w:r>
        <w:rPr>
          <w:noProof/>
          <w:lang w:val="lv-LV" w:eastAsia="lv-LV" w:bidi="lv-LV"/>
        </w:rPr>
        <w:t>.</w:t>
      </w:r>
      <w:r>
        <w:rPr>
          <w:rFonts w:ascii="Times New Roman" w:hAnsi="Times New Roman"/>
          <w:noProof/>
          <w:lang w:val="lv-LV" w:eastAsia="lv-LV" w:bidi="lv-LV"/>
        </w:rPr>
        <w:t xml:space="preserve"> Ekonomikas ekspansija un inflācijas rādītāji pakā</w:t>
      </w:r>
      <w:r>
        <w:rPr>
          <w:rFonts w:ascii="Times New Roman" w:hAnsi="Times New Roman"/>
          <w:noProof/>
          <w:lang w:val="lv-LV" w:eastAsia="lv-LV" w:bidi="lv-LV"/>
        </w:rPr>
        <w:t>peniski tuvojas mērķim, kas palīdz mazināt parāda attiecību pret IKP. Tomēr privātā sektora un valdības parāda krājumu līmenis saglabājas vēsturiski augstā līmenī, un finanšu sektora bilancēs pastāv neaizsargātības faktori. Tā kā inflācija pakāpeniski tuvo</w:t>
      </w:r>
      <w:r>
        <w:rPr>
          <w:rFonts w:ascii="Times New Roman" w:hAnsi="Times New Roman"/>
          <w:noProof/>
          <w:lang w:val="lv-LV" w:eastAsia="lv-LV" w:bidi="lv-LV"/>
        </w:rPr>
        <w:t>jas ECB mērķim, monetārās politikas normalizācijas pamatojums nostiprināsies, ietekmējot aizņēmumu izmaksas, aktīvu cenas un bilances. Šajā kontekstā vairāki izraisītājmehānismi var izraisīt riska attieksmes virzienmaiņu, ietekmējot uzticēšanos dalībvalstī</w:t>
      </w:r>
      <w:r>
        <w:rPr>
          <w:rFonts w:ascii="Times New Roman" w:hAnsi="Times New Roman"/>
          <w:noProof/>
          <w:lang w:val="lv-LV" w:eastAsia="lv-LV" w:bidi="lv-LV"/>
        </w:rPr>
        <w:t>m ar sliktākām perspektīvām publisko finanšu ziņā vai finanšu sektorā vai dalībvalstīm, kuras tiks pakļautas negatīviem izlaides satricinājumiem (tostarp saistībā ar ietekmi, ko rada Apvienotās Karalistes izstāšanās no ES). Vairāki lejupējie riski izriet n</w:t>
      </w:r>
      <w:r>
        <w:rPr>
          <w:rFonts w:ascii="Times New Roman" w:hAnsi="Times New Roman"/>
          <w:noProof/>
          <w:lang w:val="lv-LV" w:eastAsia="lv-LV" w:bidi="lv-LV"/>
        </w:rPr>
        <w:t xml:space="preserve">o ES ārējās vides, īpaši saistībā ar protekcionisma tirdzniecības politikas pasākumu materializēšanos, ģeopolitiskās spriedzes ietekmi, īpaši enerģijas cenu jomā, ASV fiskālās ekspansijas pārtraukšanu stingrākas monetārās politikas kontekstā un ietekmi uz </w:t>
      </w:r>
      <w:r>
        <w:rPr>
          <w:rFonts w:ascii="Times New Roman" w:hAnsi="Times New Roman"/>
          <w:noProof/>
          <w:lang w:val="lv-LV" w:eastAsia="lv-LV" w:bidi="lv-LV"/>
        </w:rPr>
        <w:t>kapitāla plūsmām un valūtas kursiem, kas izriet no monetārās politikas asinhronās normalizācijas dažādos pasaules ekonomikas reģionos</w:t>
      </w:r>
      <w:r>
        <w:rPr>
          <w:rFonts w:ascii="Times New Roman" w:hAnsi="Times New Roman"/>
          <w:noProof/>
          <w:vertAlign w:val="superscript"/>
          <w:lang w:val="lv-LV" w:eastAsia="lv-LV" w:bidi="lv-LV"/>
        </w:rPr>
        <w:footnoteReference w:id="5"/>
      </w:r>
      <w:r>
        <w:rPr>
          <w:rFonts w:ascii="Times New Roman" w:hAnsi="Times New Roman"/>
          <w:noProof/>
          <w:lang w:val="lv-LV" w:eastAsia="lv-LV" w:bidi="lv-LV"/>
        </w:rPr>
        <w:t>. Iepriekš minēto riska avotu mijiedarbība nosver risku līdzsvaru lejup, un prognozes kļūst arvien neskaidrākas, ņemot vēr</w:t>
      </w:r>
      <w:r>
        <w:rPr>
          <w:rFonts w:ascii="Times New Roman" w:hAnsi="Times New Roman"/>
          <w:noProof/>
          <w:lang w:val="lv-LV" w:eastAsia="lv-LV" w:bidi="lv-LV"/>
        </w:rPr>
        <w:t>ā to, ka attiecīgā skaitā dalībvalstu satricinājumu amortizācijas iespējas, izmantojot privātus un publiskus ietaupījumus, ir ierobežotas.</w:t>
      </w:r>
    </w:p>
    <w:p w:rsidR="003D03E9" w:rsidRDefault="00F77AE9">
      <w:pPr>
        <w:jc w:val="both"/>
        <w:rPr>
          <w:rFonts w:ascii="Times New Roman" w:hAnsi="Times New Roman" w:cs="Times New Roman"/>
          <w:b/>
          <w:noProof/>
          <w:lang w:val="lv-LV" w:eastAsia="lv-LV" w:bidi="lv-LV"/>
        </w:rPr>
      </w:pPr>
      <w:r>
        <w:rPr>
          <w:rFonts w:ascii="Times New Roman" w:hAnsi="Times New Roman"/>
          <w:b/>
          <w:noProof/>
          <w:lang w:val="lv-LV" w:eastAsia="lv-LV" w:bidi="lv-LV"/>
        </w:rPr>
        <w:t>BMZ sniegtie horizontālās analīzes rezultāti liek izdarīt vairākus secinājumus.</w:t>
      </w:r>
    </w:p>
    <w:p w:rsidR="003D03E9" w:rsidRDefault="00F77AE9">
      <w:pPr>
        <w:numPr>
          <w:ilvl w:val="0"/>
          <w:numId w:val="1"/>
        </w:numPr>
        <w:jc w:val="both"/>
        <w:rPr>
          <w:rFonts w:ascii="Times New Roman" w:hAnsi="Times New Roman" w:cs="Times New Roman"/>
          <w:noProof/>
          <w:lang w:val="lv-LV" w:eastAsia="lv-LV" w:bidi="lv-LV"/>
        </w:rPr>
      </w:pPr>
      <w:r>
        <w:rPr>
          <w:rFonts w:ascii="Times New Roman" w:hAnsi="Times New Roman"/>
          <w:b/>
          <w:noProof/>
          <w:lang w:val="lv-LV" w:eastAsia="lv-LV" w:bidi="lv-LV"/>
        </w:rPr>
        <w:t>Ir jāturpina tekošā konta pozīciju lī</w:t>
      </w:r>
      <w:r>
        <w:rPr>
          <w:rFonts w:ascii="Times New Roman" w:hAnsi="Times New Roman"/>
          <w:b/>
          <w:noProof/>
          <w:lang w:val="lv-LV" w:eastAsia="lv-LV" w:bidi="lv-LV"/>
        </w:rPr>
        <w:t>dzsvarošana.</w:t>
      </w:r>
      <w:r>
        <w:rPr>
          <w:rFonts w:ascii="Times New Roman" w:hAnsi="Times New Roman"/>
          <w:noProof/>
          <w:lang w:val="lv-LV" w:eastAsia="lv-LV" w:bidi="lv-LV"/>
        </w:rPr>
        <w:t xml:space="preserve"> Lielākajā daļā dalībvalstu ir novērsti lieli tekošā konta deficīti, bet dažos gadījumos ir vajadzīgas piesardzīgākas ārējās pozīcijas, lai </w:t>
      </w:r>
      <w:r>
        <w:rPr>
          <w:rFonts w:ascii="Times New Roman" w:hAnsi="Times New Roman"/>
          <w:noProof/>
          <w:lang w:val="lv-LV" w:eastAsia="lv-LV" w:bidi="lv-LV"/>
        </w:rPr>
        <w:lastRenderedPageBreak/>
        <w:t>saglabātu neto ārvalstu saistību krājumu atbilstošu samazinājuma tempu. Dažu lielāko tekošā konta pārpal</w:t>
      </w:r>
      <w:r>
        <w:rPr>
          <w:rFonts w:ascii="Times New Roman" w:hAnsi="Times New Roman"/>
          <w:noProof/>
          <w:lang w:val="lv-LV" w:eastAsia="lv-LV" w:bidi="lv-LV"/>
        </w:rPr>
        <w:t xml:space="preserve">ikumu samazinājums ir reģistrēts tikai nesen, un tas joprojām ir pieticīgs. Vairākās dalībvalstīs tekošā konta datus arvien vairāk ietekmē pārrobežu darījumi, kas saistīti ar starptautisku uzņēmumu darbībām un starptautiski orientētām pakalpojumu nozarēm, </w:t>
      </w:r>
      <w:r>
        <w:rPr>
          <w:rFonts w:ascii="Times New Roman" w:hAnsi="Times New Roman"/>
          <w:noProof/>
          <w:lang w:val="lv-LV" w:eastAsia="lv-LV" w:bidi="lv-LV"/>
        </w:rPr>
        <w:t>un tie ietekmē gan tirdzniecības, gan ienākumu saldo.</w:t>
      </w:r>
    </w:p>
    <w:p w:rsidR="003D03E9" w:rsidRDefault="00F77AE9">
      <w:pPr>
        <w:numPr>
          <w:ilvl w:val="0"/>
          <w:numId w:val="1"/>
        </w:numPr>
        <w:jc w:val="both"/>
        <w:rPr>
          <w:rFonts w:ascii="Times New Roman" w:hAnsi="Times New Roman" w:cs="Times New Roman"/>
          <w:noProof/>
          <w:lang w:val="lv-LV" w:eastAsia="lv-LV" w:bidi="lv-LV"/>
        </w:rPr>
      </w:pPr>
      <w:r>
        <w:rPr>
          <w:rFonts w:ascii="Times New Roman" w:hAnsi="Times New Roman"/>
          <w:b/>
          <w:noProof/>
          <w:lang w:val="lv-LV" w:eastAsia="lv-LV" w:bidi="lv-LV"/>
        </w:rPr>
        <w:t xml:space="preserve">Ārējo krājumu pozīcijas joprojām ir nelīdzsvarotas, un korekcijas tiek veiktas pakāpeniski. </w:t>
      </w:r>
      <w:r>
        <w:rPr>
          <w:rFonts w:ascii="Times New Roman" w:hAnsi="Times New Roman"/>
          <w:noProof/>
          <w:lang w:val="lv-LV" w:eastAsia="lv-LV" w:bidi="lv-LV"/>
        </w:rPr>
        <w:t>Lielās negatīvās neto starptautisko ieguldījumu pozīcijas (</w:t>
      </w:r>
      <w:r>
        <w:rPr>
          <w:rFonts w:ascii="Times New Roman" w:hAnsi="Times New Roman"/>
          <w:i/>
          <w:noProof/>
          <w:lang w:val="lv-LV" w:eastAsia="lv-LV" w:bidi="lv-LV"/>
        </w:rPr>
        <w:t>NIIP</w:t>
      </w:r>
      <w:r>
        <w:rPr>
          <w:rFonts w:ascii="Times New Roman" w:hAnsi="Times New Roman"/>
          <w:noProof/>
          <w:lang w:val="lv-LV" w:eastAsia="lv-LV" w:bidi="lv-LV"/>
        </w:rPr>
        <w:t>), kas dalībvalstīs reģistrētas kopā ar lielu t</w:t>
      </w:r>
      <w:r>
        <w:rPr>
          <w:rFonts w:ascii="Times New Roman" w:hAnsi="Times New Roman"/>
          <w:noProof/>
          <w:lang w:val="lv-LV" w:eastAsia="lv-LV" w:bidi="lv-LV"/>
        </w:rPr>
        <w:t>ekošā konta deficītu, tiek koriģētas, pamatojoties uz ārējās plūsmas pozīcijām, kas ir tuvu līdzsvaram vai ir ar pārpalikumu, un pamatojoties uz atsākto nominālā IKP pieaugumu, kas ir jānotur, lai panāktu saistību samazinājumu līdz piesardzīgākiem līmeņiem</w:t>
      </w:r>
      <w:r>
        <w:rPr>
          <w:rFonts w:ascii="Times New Roman" w:hAnsi="Times New Roman"/>
          <w:noProof/>
          <w:lang w:val="lv-LV" w:eastAsia="lv-LV" w:bidi="lv-LV"/>
        </w:rPr>
        <w:t xml:space="preserve">. </w:t>
      </w:r>
      <w:r>
        <w:rPr>
          <w:rFonts w:ascii="Times New Roman" w:hAnsi="Times New Roman"/>
          <w:i/>
          <w:noProof/>
          <w:lang w:val="lv-LV" w:eastAsia="lv-LV" w:bidi="lv-LV"/>
        </w:rPr>
        <w:t>NIIP</w:t>
      </w:r>
      <w:r>
        <w:rPr>
          <w:rFonts w:ascii="Times New Roman" w:hAnsi="Times New Roman"/>
          <w:noProof/>
          <w:lang w:val="lv-LV" w:eastAsia="lv-LV" w:bidi="lv-LV"/>
        </w:rPr>
        <w:t xml:space="preserve"> valstīs ar lielu pārpalikumu turpina pieaugt. </w:t>
      </w:r>
    </w:p>
    <w:p w:rsidR="003D03E9" w:rsidRDefault="00F77AE9">
      <w:pPr>
        <w:numPr>
          <w:ilvl w:val="0"/>
          <w:numId w:val="1"/>
        </w:numPr>
        <w:jc w:val="both"/>
        <w:rPr>
          <w:rFonts w:ascii="Times New Roman" w:hAnsi="Times New Roman" w:cs="Times New Roman"/>
          <w:noProof/>
          <w:lang w:val="lv-LV" w:eastAsia="lv-LV" w:bidi="lv-LV"/>
        </w:rPr>
      </w:pPr>
      <w:r>
        <w:rPr>
          <w:rFonts w:ascii="Times New Roman" w:hAnsi="Times New Roman"/>
          <w:b/>
          <w:noProof/>
          <w:lang w:val="lv-LV" w:eastAsia="lv-LV" w:bidi="lv-LV"/>
        </w:rPr>
        <w:t xml:space="preserve">Izmaksu konkurētspējas nosacījumi vairākās dalībvalstīs kļūst mazāk labvēlīgi un kopumā mazāk atbalsta simetriskāku līdzsvarošanu. </w:t>
      </w:r>
      <w:r>
        <w:rPr>
          <w:rFonts w:ascii="Times New Roman" w:hAnsi="Times New Roman"/>
          <w:noProof/>
          <w:lang w:val="lv-LV" w:eastAsia="lv-LV" w:bidi="lv-LV"/>
        </w:rPr>
        <w:t>Kopš 2016. gada vienības darbaspēka izmaksas lielākajā daļā dalībvalstu</w:t>
      </w:r>
      <w:r>
        <w:rPr>
          <w:rFonts w:ascii="Times New Roman" w:hAnsi="Times New Roman"/>
          <w:noProof/>
          <w:lang w:val="lv-LV" w:eastAsia="lv-LV" w:bidi="lv-LV"/>
        </w:rPr>
        <w:t xml:space="preserve"> pieaug straujāk — sevišķi straujš pieauguma paātrinājums reģistrēts vairākās ES valstīs Centrāleiropā un Austrumeiropā, kas daļēji skaidrojams ar nepietiekamu piedāvājumu. Pēckrīzes izmaksu konkurētspējas pieaugums eurozonas neto debitorvalstīs bija strau</w:t>
      </w:r>
      <w:r>
        <w:rPr>
          <w:rFonts w:ascii="Times New Roman" w:hAnsi="Times New Roman"/>
          <w:noProof/>
          <w:lang w:val="lv-LV" w:eastAsia="lv-LV" w:bidi="lv-LV"/>
        </w:rPr>
        <w:t>jāks nekā neto kreditorvalstīs. Tomēr pēdējā laikā neto debitorvalstu priekšrocība izmaksu konkurētspējas dinamikas ziņā ir salīdzinoši gājusi mazumā, ņemot vērā to, ka darba tirgos aug pieprasījums, bet ražīguma uzlabojumi notiek lēnāk, savukārt pieprasīj</w:t>
      </w:r>
      <w:r>
        <w:rPr>
          <w:rFonts w:ascii="Times New Roman" w:hAnsi="Times New Roman"/>
          <w:noProof/>
          <w:lang w:val="lv-LV" w:eastAsia="lv-LV" w:bidi="lv-LV"/>
        </w:rPr>
        <w:t>uma pieaugums neto kreditorvalstu darba tirgos līdz šim nav izraisījis būtisku darba samaksas pieauguma paātrinājumu. Šīs nesenās izmaksu konkurētspējas izmaiņas pilnībā nav atspoguļotas attiecīgajā cenu konkurētspējas pasliktinājumā, iespējams, pateicotie</w:t>
      </w:r>
      <w:r>
        <w:rPr>
          <w:rFonts w:ascii="Times New Roman" w:hAnsi="Times New Roman"/>
          <w:noProof/>
          <w:lang w:val="lv-LV" w:eastAsia="lv-LV" w:bidi="lv-LV"/>
        </w:rPr>
        <w:t>s kompensējošai ietekmei, ko rada zemākas cenas un izmaksu starpības. Šī ietekme varētu būt viens no iemesliem, kādēļ nav pirmšķietamu pierādījumu, kas liecinātu par to, ka izmaksu konkurētspējas zudumi jau ir ietekmējuši eksporta tirgus daļas pieaugumu, b</w:t>
      </w:r>
      <w:r>
        <w:rPr>
          <w:rFonts w:ascii="Times New Roman" w:hAnsi="Times New Roman"/>
          <w:noProof/>
          <w:lang w:val="lv-LV" w:eastAsia="lv-LV" w:bidi="lv-LV"/>
        </w:rPr>
        <w:t>et ietekme varētu kļūt redzama, ja šādas tendences saglabāsies.</w:t>
      </w:r>
    </w:p>
    <w:p w:rsidR="003D03E9" w:rsidRDefault="00F77AE9">
      <w:pPr>
        <w:numPr>
          <w:ilvl w:val="0"/>
          <w:numId w:val="1"/>
        </w:numPr>
        <w:jc w:val="both"/>
        <w:rPr>
          <w:rFonts w:ascii="Times New Roman" w:hAnsi="Times New Roman" w:cs="Times New Roman"/>
          <w:noProof/>
          <w:lang w:val="lv-LV" w:eastAsia="lv-LV" w:bidi="lv-LV"/>
        </w:rPr>
      </w:pPr>
      <w:r>
        <w:rPr>
          <w:rFonts w:ascii="Times New Roman" w:hAnsi="Times New Roman"/>
          <w:b/>
          <w:noProof/>
          <w:lang w:val="lv-LV" w:eastAsia="lv-LV" w:bidi="lv-LV"/>
        </w:rPr>
        <w:t xml:space="preserve">Privātajā sektorā samazinās aizņemto līdzekļu īpatsvars, arvien vairāk pateicoties atsāktajai nominālajai izaugsmei. </w:t>
      </w:r>
      <w:r>
        <w:rPr>
          <w:rFonts w:ascii="Times New Roman" w:hAnsi="Times New Roman"/>
          <w:noProof/>
          <w:lang w:val="lv-LV" w:eastAsia="lv-LV" w:bidi="lv-LV"/>
        </w:rPr>
        <w:t xml:space="preserve">Privātā sektora parāda attiecība pret IKP ir samazinājusies lielākā skaitā </w:t>
      </w:r>
      <w:r>
        <w:rPr>
          <w:rFonts w:ascii="Times New Roman" w:hAnsi="Times New Roman"/>
          <w:noProof/>
          <w:lang w:val="lv-LV" w:eastAsia="lv-LV" w:bidi="lv-LV"/>
        </w:rPr>
        <w:t xml:space="preserve">dalībvalstu salīdzinājumā ar iepriekšējo gadu. Tas ir saistīts ar straujāku nominālā IKP pieaugumu, jo aktīvs aizņemto līdzekļu īpatsvara samazināšanas process, t. i., aizņemto līdzekļu īpatsvara samazināšanās, pateicoties parāda līmeņa sarukumam nominālā </w:t>
      </w:r>
      <w:r>
        <w:rPr>
          <w:rFonts w:ascii="Times New Roman" w:hAnsi="Times New Roman"/>
          <w:noProof/>
          <w:lang w:val="lv-LV" w:eastAsia="lv-LV" w:bidi="lv-LV"/>
        </w:rPr>
        <w:t>izteiksmē, notiek tikai dažās valstīs, un tas notiek pieticīgā tempā. Aktīvs aizņemto līdzekļu īpatsvara samazināšanas process galvenokārt ir saistīts ar uzņēmumu sektoru, jo mājsaimniecību aizņēmumi atguvuši dinamismu. Aizņemto līdzekļu īpatsvara samazinā</w:t>
      </w:r>
      <w:r>
        <w:rPr>
          <w:rFonts w:ascii="Times New Roman" w:hAnsi="Times New Roman"/>
          <w:noProof/>
          <w:lang w:val="lv-LV" w:eastAsia="lv-LV" w:bidi="lv-LV"/>
        </w:rPr>
        <w:t xml:space="preserve">šanas procesa temps uzņēmumu sektorā joprojām ir straujāks nekā mājsaimniecību sektorā, arī tāpēc, ka mājsaimniecību sektorā krājumi ir lielāki, un tādējādi nominālā IKP pieauguma ietekme uz parāda attiecību ir ievērojamāka. </w:t>
      </w:r>
    </w:p>
    <w:p w:rsidR="003D03E9" w:rsidRDefault="00F77AE9">
      <w:pPr>
        <w:numPr>
          <w:ilvl w:val="0"/>
          <w:numId w:val="1"/>
        </w:numPr>
        <w:jc w:val="both"/>
        <w:rPr>
          <w:rFonts w:ascii="Times New Roman" w:hAnsi="Times New Roman" w:cs="Times New Roman"/>
          <w:noProof/>
          <w:lang w:val="lv-LV" w:eastAsia="lv-LV" w:bidi="lv-LV"/>
        </w:rPr>
      </w:pPr>
      <w:r>
        <w:rPr>
          <w:b/>
          <w:noProof/>
          <w:lang w:val="lv-LV" w:eastAsia="lv-LV" w:bidi="lv-LV"/>
        </w:rPr>
        <w:t>Valstīs, kurās ir augsts publi</w:t>
      </w:r>
      <w:r>
        <w:rPr>
          <w:b/>
          <w:noProof/>
          <w:lang w:val="lv-LV" w:eastAsia="lv-LV" w:bidi="lv-LV"/>
        </w:rPr>
        <w:t>skā sektora parāda līmenis, valdību aizņemto līdzekļu īpatsvara samazināšanas process ir sācies vien nesen un notiek gausi.</w:t>
      </w:r>
      <w:r>
        <w:rPr>
          <w:rFonts w:ascii="Times New Roman" w:hAnsi="Times New Roman"/>
          <w:noProof/>
          <w:lang w:val="lv-LV" w:eastAsia="lv-LV" w:bidi="lv-LV"/>
        </w:rPr>
        <w:t xml:space="preserve"> Neraugoties uz atsākto nominālo izaugsmi un samazinātiem procentu maksājumiem, kas lielākajā daļā dalībvalstu palīdzēja panākt valdī</w:t>
      </w:r>
      <w:r>
        <w:rPr>
          <w:rFonts w:ascii="Times New Roman" w:hAnsi="Times New Roman"/>
          <w:noProof/>
          <w:lang w:val="lv-LV" w:eastAsia="lv-LV" w:bidi="lv-LV"/>
        </w:rPr>
        <w:t xml:space="preserve">bas parāda attiecību pret IKP lejupvērstu tendenci, aizvien </w:t>
      </w:r>
      <w:r>
        <w:rPr>
          <w:rFonts w:ascii="Times New Roman" w:hAnsi="Times New Roman"/>
          <w:noProof/>
          <w:lang w:val="lv-LV" w:eastAsia="lv-LV" w:bidi="lv-LV"/>
        </w:rPr>
        <w:lastRenderedPageBreak/>
        <w:t xml:space="preserve">lielākā skaitā valstu notiek prociklisks fiskālās stingrības mazināšanas process, un tas ietekmē satricinājumu amortizācijas iespējas grūtos laikos. </w:t>
      </w:r>
    </w:p>
    <w:p w:rsidR="003D03E9" w:rsidRDefault="00F77AE9">
      <w:pPr>
        <w:numPr>
          <w:ilvl w:val="0"/>
          <w:numId w:val="1"/>
        </w:numPr>
        <w:jc w:val="both"/>
        <w:rPr>
          <w:rFonts w:ascii="Times New Roman" w:hAnsi="Times New Roman" w:cs="Times New Roman"/>
          <w:noProof/>
          <w:lang w:val="lv-LV" w:eastAsia="lv-LV" w:bidi="lv-LV"/>
        </w:rPr>
      </w:pPr>
      <w:r>
        <w:rPr>
          <w:rFonts w:ascii="Times New Roman" w:hAnsi="Times New Roman"/>
          <w:b/>
          <w:noProof/>
          <w:lang w:val="lv-LV" w:eastAsia="lv-LV" w:bidi="lv-LV"/>
        </w:rPr>
        <w:t>Nosacījumi ES banku sektorā uzlabojas, bet daž</w:t>
      </w:r>
      <w:r>
        <w:rPr>
          <w:rFonts w:ascii="Times New Roman" w:hAnsi="Times New Roman"/>
          <w:b/>
          <w:noProof/>
          <w:lang w:val="lv-LV" w:eastAsia="lv-LV" w:bidi="lv-LV"/>
        </w:rPr>
        <w:t xml:space="preserve">ās dalībvalstīs joprojām ir zems rentabilitātes līmenis un lieli ieņēmumus nenesošu aizdevumu (INA) krājumi. </w:t>
      </w:r>
      <w:r>
        <w:rPr>
          <w:rFonts w:ascii="Times New Roman" w:hAnsi="Times New Roman"/>
          <w:noProof/>
          <w:lang w:val="lv-LV" w:eastAsia="lv-LV" w:bidi="lv-LV"/>
        </w:rPr>
        <w:t xml:space="preserve">Rentabilitāte ir uzlabojusies, īpaši valstīs, kurās banku sektoram raksturīga zema rentabilitāte. INA rādītāji ir vēl vairāk samazinājušies, īpaši </w:t>
      </w:r>
      <w:r>
        <w:rPr>
          <w:rFonts w:ascii="Times New Roman" w:hAnsi="Times New Roman"/>
          <w:noProof/>
          <w:lang w:val="lv-LV" w:eastAsia="lv-LV" w:bidi="lv-LV"/>
        </w:rPr>
        <w:t xml:space="preserve">dalībvalstīs, kurās to krājumi ir vislielākie. Lielākajā daļā valstu vēl vairāk uzlabojušies kapitalizācijas rādītāji. Banku pašu kapitāla novērtējumi līdz 2018. gada sākumam pieauga, un pēc tam notika lejupēja korekcija. </w:t>
      </w:r>
    </w:p>
    <w:p w:rsidR="003D03E9" w:rsidRDefault="00F77AE9">
      <w:pPr>
        <w:numPr>
          <w:ilvl w:val="0"/>
          <w:numId w:val="14"/>
        </w:numPr>
        <w:contextualSpacing/>
        <w:jc w:val="both"/>
        <w:rPr>
          <w:rFonts w:ascii="Times New Roman" w:hAnsi="Times New Roman" w:cs="Times New Roman"/>
          <w:noProof/>
          <w:lang w:val="lv-LV" w:eastAsia="lv-LV" w:bidi="lv-LV"/>
        </w:rPr>
      </w:pPr>
      <w:r>
        <w:rPr>
          <w:rFonts w:ascii="Times New Roman" w:hAnsi="Times New Roman"/>
          <w:b/>
          <w:noProof/>
          <w:lang w:val="lv-LV" w:eastAsia="lv-LV" w:bidi="lv-LV"/>
        </w:rPr>
        <w:t xml:space="preserve">Mājokļu cenu pieaugums ir paātrinājies un kļuvis pozitīvs arvien lielākā skaitā dalībvalstu, un arvien vairāk valstu uzrāda, iespējams, pārāk augsta novērtējuma pazīmes. </w:t>
      </w:r>
      <w:r>
        <w:rPr>
          <w:rFonts w:ascii="Times New Roman" w:hAnsi="Times New Roman"/>
          <w:noProof/>
          <w:lang w:val="lv-LV" w:eastAsia="lv-LV" w:bidi="lv-LV"/>
        </w:rPr>
        <w:t>Vienlaikus mājokļu cenu pieaugums nesen ir samazinājies valstīs, kurās pierādījumi par</w:t>
      </w:r>
      <w:r>
        <w:rPr>
          <w:rFonts w:ascii="Times New Roman" w:hAnsi="Times New Roman"/>
          <w:noProof/>
          <w:lang w:val="lv-LV" w:eastAsia="lv-LV" w:bidi="lv-LV"/>
        </w:rPr>
        <w:t xml:space="preserve"> pārāk augstu novērtējumu ir pamatotākie. No otras puses, ir vērojams spēcīgs pieauguma paātrinājums jo īpaši valstīs, kurās pašlaik nav pierādījumu par pārāk augstu novērtējumu vai ir bijuši mazāk pamatoti pierādījumi par to, ka novērtējums ir pārāk augst</w:t>
      </w:r>
      <w:r>
        <w:rPr>
          <w:rFonts w:ascii="Times New Roman" w:hAnsi="Times New Roman"/>
          <w:noProof/>
          <w:lang w:val="lv-LV" w:eastAsia="lv-LV" w:bidi="lv-LV"/>
        </w:rPr>
        <w:t xml:space="preserve">s. </w:t>
      </w:r>
    </w:p>
    <w:p w:rsidR="003D03E9" w:rsidRDefault="00F77AE9">
      <w:pPr>
        <w:numPr>
          <w:ilvl w:val="0"/>
          <w:numId w:val="1"/>
        </w:numPr>
        <w:jc w:val="both"/>
        <w:rPr>
          <w:rFonts w:ascii="Times New Roman" w:hAnsi="Times New Roman" w:cs="Times New Roman"/>
          <w:noProof/>
          <w:lang w:val="lv-LV" w:eastAsia="lv-LV" w:bidi="lv-LV"/>
        </w:rPr>
      </w:pPr>
      <w:r>
        <w:rPr>
          <w:rFonts w:ascii="Times New Roman" w:hAnsi="Times New Roman"/>
          <w:b/>
          <w:noProof/>
          <w:lang w:val="lv-LV" w:eastAsia="lv-LV" w:bidi="lv-LV"/>
        </w:rPr>
        <w:t xml:space="preserve">Darba tirgi turpina uzlaboties, un pamazām atsākas darba samaksas pieaugums. </w:t>
      </w:r>
      <w:r>
        <w:rPr>
          <w:rFonts w:ascii="Times New Roman" w:hAnsi="Times New Roman"/>
          <w:noProof/>
          <w:lang w:val="lv-LV" w:eastAsia="lv-LV" w:bidi="lv-LV"/>
        </w:rPr>
        <w:t xml:space="preserve">Bezdarba līmenis turpina samazināties, tostarp jauniešu un ilgstošo bezdarbnieku vidū, tomēr bezdarba līmenis dažās dalībvalstīs joprojām ir augsts, un līdzdalība darba tirgū </w:t>
      </w:r>
      <w:r>
        <w:rPr>
          <w:rFonts w:ascii="Times New Roman" w:hAnsi="Times New Roman"/>
          <w:noProof/>
          <w:lang w:val="lv-LV" w:eastAsia="lv-LV" w:bidi="lv-LV"/>
        </w:rPr>
        <w:t xml:space="preserve">ir zema, lai gan bieži vien tā pieaug. Sociālā spriedze mazinās, neraugoties uz </w:t>
      </w:r>
      <w:r>
        <w:rPr>
          <w:rFonts w:ascii="Times New Roman" w:hAnsi="Times New Roman"/>
          <w:b/>
          <w:noProof/>
          <w:lang w:val="lv-LV" w:eastAsia="lv-LV" w:bidi="lv-LV"/>
        </w:rPr>
        <w:t>pārmantoto ieilgušo bezdarbu</w:t>
      </w:r>
      <w:r>
        <w:rPr>
          <w:rFonts w:ascii="Times New Roman" w:hAnsi="Times New Roman"/>
          <w:noProof/>
          <w:lang w:val="lv-LV" w:eastAsia="lv-LV" w:bidi="lv-LV"/>
        </w:rPr>
        <w:t xml:space="preserve"> un zemiem ienākumiem vairākās valstīs</w:t>
      </w:r>
      <w:r>
        <w:rPr>
          <w:rFonts w:ascii="Times New Roman" w:hAnsi="Times New Roman"/>
          <w:noProof/>
          <w:vertAlign w:val="superscript"/>
          <w:lang w:val="lv-LV" w:eastAsia="lv-LV" w:bidi="lv-LV"/>
        </w:rPr>
        <w:footnoteReference w:id="6"/>
      </w:r>
      <w:r>
        <w:rPr>
          <w:rFonts w:ascii="Times New Roman" w:hAnsi="Times New Roman"/>
          <w:noProof/>
          <w:lang w:val="lv-LV" w:eastAsia="lv-LV" w:bidi="lv-LV"/>
        </w:rPr>
        <w:t>. Pamatojoties uz vēsturiskajiem datiem, darba samaksas pieaugums eurozonas līmenī joprojām ir zemāks par to,</w:t>
      </w:r>
      <w:r>
        <w:rPr>
          <w:rFonts w:ascii="Times New Roman" w:hAnsi="Times New Roman"/>
          <w:noProof/>
          <w:lang w:val="lv-LV" w:eastAsia="lv-LV" w:bidi="lv-LV"/>
        </w:rPr>
        <w:t xml:space="preserve"> kas būtu sagaidāms pašreizējā bezdarba līmeņa apstākļos. Tomēr darba samaksas pieaugums ar atšķirīgu tempu ES valstīs pakāpeniski atjaunojas, kas lielā mērā atspoguļo augošu pieprasījumu darba tirgū un darbaspēka nepietiekamu piedāvājumu dažās valstīs. </w:t>
      </w:r>
    </w:p>
    <w:p w:rsidR="003D03E9" w:rsidRDefault="00F77AE9">
      <w:pPr>
        <w:jc w:val="both"/>
        <w:rPr>
          <w:rFonts w:ascii="Times New Roman" w:hAnsi="Times New Roman" w:cs="Times New Roman"/>
          <w:noProof/>
          <w:lang w:val="lv-LV" w:eastAsia="lv-LV" w:bidi="lv-LV"/>
        </w:rPr>
      </w:pPr>
      <w:r>
        <w:rPr>
          <w:rFonts w:ascii="Times New Roman" w:hAnsi="Times New Roman"/>
          <w:b/>
          <w:noProof/>
          <w:lang w:val="lv-LV" w:eastAsia="lv-LV" w:bidi="lv-LV"/>
        </w:rPr>
        <w:t>L</w:t>
      </w:r>
      <w:r>
        <w:rPr>
          <w:rFonts w:ascii="Times New Roman" w:hAnsi="Times New Roman"/>
          <w:b/>
          <w:noProof/>
          <w:lang w:val="lv-LV" w:eastAsia="lv-LV" w:bidi="lv-LV"/>
        </w:rPr>
        <w:t xml:space="preserve">īdzsvarošanas jautājumiem eurozonā joprojām ir jāpievērš īpaša uzmanība. </w:t>
      </w:r>
      <w:r>
        <w:rPr>
          <w:rFonts w:ascii="Times New Roman" w:hAnsi="Times New Roman"/>
          <w:noProof/>
          <w:lang w:val="lv-LV" w:eastAsia="lv-LV" w:bidi="lv-LV"/>
        </w:rPr>
        <w:t>Eurozonas tekošā konta pārpalikums 2016. gadā stabilizējās un pēc tam saglabājās visumā nemainīgs. Tā līmenis ir augstākais pasaulē, un tas ir virs līmeņa, kas atbilst ekonomikas pama</w:t>
      </w:r>
      <w:r>
        <w:rPr>
          <w:rFonts w:ascii="Times New Roman" w:hAnsi="Times New Roman"/>
          <w:noProof/>
          <w:lang w:val="lv-LV" w:eastAsia="lv-LV" w:bidi="lv-LV"/>
        </w:rPr>
        <w:t>trādītājiem. Ņemot vērā eurozonas savstarpējo saistību un blakusietekmi, visās eurozonas valstīs ir nepieciešams atbilstošs politikas kopums, lai nodrošinātu, ka izaugsmes atjaunošana ir ilgtspējīga un atbilst makroekonomikas stabilitātei. Lai neto debitor</w:t>
      </w:r>
      <w:r>
        <w:rPr>
          <w:rFonts w:ascii="Times New Roman" w:hAnsi="Times New Roman"/>
          <w:noProof/>
          <w:lang w:val="lv-LV" w:eastAsia="lv-LV" w:bidi="lv-LV"/>
        </w:rPr>
        <w:t>valstīs samazinātu lielus ārvalstu un iekšzemes parāda krājumus, ir jāsaglabā piesardzīgs tekošā konta saldo un jānodrošina atbilstošs parāda samazināšanas temps, neietekmējot mērķi palielināt izaugsmes potenciālu un novērst procikliska sarukuma risku grūt</w:t>
      </w:r>
      <w:r>
        <w:rPr>
          <w:rFonts w:ascii="Times New Roman" w:hAnsi="Times New Roman"/>
          <w:noProof/>
          <w:lang w:val="lv-LV" w:eastAsia="lv-LV" w:bidi="lv-LV"/>
        </w:rPr>
        <w:t>os laikos. Vēršanās pret noturīgi lielu pārpalikumu neto kreditorvalstīs, izmantojot politiku, ar ko stimulē ieguldījumus un pārvar darba samaksas inerci, varētu veicināt izaugsmes potenciālu un padarīt izaugsmes iespējas mazāk atkarīgas no ārvalstu piepra</w:t>
      </w:r>
      <w:r>
        <w:rPr>
          <w:rFonts w:ascii="Times New Roman" w:hAnsi="Times New Roman"/>
          <w:noProof/>
          <w:lang w:val="lv-LV" w:eastAsia="lv-LV" w:bidi="lv-LV"/>
        </w:rPr>
        <w:t>sījuma. 2. izcēlumā lielāka uzmanība tiek pievērsta nelīdzsvarotības eurozonas dimensijai.</w:t>
      </w:r>
    </w:p>
    <w:p w:rsidR="003D03E9" w:rsidRDefault="00F77AE9">
      <w:pPr>
        <w:jc w:val="both"/>
        <w:rPr>
          <w:rFonts w:ascii="Times New Roman" w:hAnsi="Times New Roman" w:cs="Times New Roman"/>
          <w:noProof/>
          <w:lang w:val="lv-LV" w:eastAsia="lv-LV" w:bidi="lv-LV"/>
        </w:rPr>
      </w:pPr>
      <w:r>
        <w:rPr>
          <w:rFonts w:ascii="Times New Roman" w:hAnsi="Times New Roman"/>
          <w:b/>
          <w:noProof/>
          <w:lang w:val="lv-LV" w:eastAsia="lv-LV" w:bidi="lv-LV"/>
        </w:rPr>
        <w:t>Kopumā riski, kas saistīti ar esošo nelīdzsvarotību, turpina samazināties, pateicoties ekonomikas ekspansijai, tomēr saglabājas neaizsargātības faktori, kas saistīta</w:t>
      </w:r>
      <w:r>
        <w:rPr>
          <w:rFonts w:ascii="Times New Roman" w:hAnsi="Times New Roman"/>
          <w:b/>
          <w:noProof/>
          <w:lang w:val="lv-LV" w:eastAsia="lv-LV" w:bidi="lv-LV"/>
        </w:rPr>
        <w:t xml:space="preserve">s ar uzkrājumu nelīdzsvarotību, un ir vērojamas pazīmes, kas liecina par tendencēm, kuras nav ilgtspējīgas. </w:t>
      </w:r>
      <w:r>
        <w:rPr>
          <w:rFonts w:ascii="Times New Roman" w:hAnsi="Times New Roman"/>
          <w:noProof/>
          <w:lang w:val="lv-LV" w:eastAsia="lv-LV" w:bidi="lv-LV"/>
        </w:rPr>
        <w:t xml:space="preserve">Potenciālie riska avoti kopumā ir tādi paši kā 2018. gada BMZ noteiktie riska avoti. Pastāv lieli pārpalikumi, savukārt konkurētspējas tendences ir </w:t>
      </w:r>
      <w:r>
        <w:rPr>
          <w:rFonts w:ascii="Times New Roman" w:hAnsi="Times New Roman"/>
          <w:noProof/>
          <w:lang w:val="lv-LV" w:eastAsia="lv-LV" w:bidi="lv-LV"/>
        </w:rPr>
        <w:t xml:space="preserve">kļuvušas mazāk labvēlīgas līdzsvarošanas </w:t>
      </w:r>
      <w:r>
        <w:rPr>
          <w:rFonts w:ascii="Times New Roman" w:hAnsi="Times New Roman"/>
          <w:noProof/>
          <w:lang w:val="lv-LV" w:eastAsia="lv-LV" w:bidi="lv-LV"/>
        </w:rPr>
        <w:lastRenderedPageBreak/>
        <w:t>panākšanai. Privātā sektora aizņemto līdzekļu īpatsvara samazinājums ir noticis, pateicoties ekonomikas ekspansijai, tomēr tas joprojām ir nevienmērīgs, jo lielo parāda krājumu korekcija nenotiek pietiekamā tempā. V</w:t>
      </w:r>
      <w:r>
        <w:rPr>
          <w:rFonts w:ascii="Times New Roman" w:hAnsi="Times New Roman"/>
          <w:noProof/>
          <w:lang w:val="lv-LV" w:eastAsia="lv-LV" w:bidi="lv-LV"/>
        </w:rPr>
        <w:t>ēl būtiskāk, aktīvs aizņemto līdzekļu īpatsvara samazināšanas process privātajā un īpaši publiskajā sektorā liek uzdot jautājumu, vai aizņemto līdzekļu īpatsvara samazināšanas process varētu arī turpmāk notikt, pateicoties potenciālajam IKP pieaugumam. Šād</w:t>
      </w:r>
      <w:r>
        <w:rPr>
          <w:rFonts w:ascii="Times New Roman" w:hAnsi="Times New Roman"/>
          <w:noProof/>
          <w:lang w:val="lv-LV" w:eastAsia="lv-LV" w:bidi="lv-LV"/>
        </w:rPr>
        <w:t>s problēmjautājums pamato nepieciešamību turpināt vairākās ES valstīs sākto reformu procesu un darba kārtībā kā prioritārus saglabāt politikas pasākumus un reformas, kuru mērķis ir palielināt izaugsmes potenciālu</w:t>
      </w:r>
      <w:r>
        <w:rPr>
          <w:rFonts w:ascii="Times New Roman" w:hAnsi="Times New Roman"/>
          <w:noProof/>
          <w:vertAlign w:val="superscript"/>
          <w:lang w:val="lv-LV" w:eastAsia="lv-LV" w:bidi="lv-LV"/>
        </w:rPr>
        <w:footnoteReference w:id="7"/>
      </w:r>
      <w:r>
        <w:rPr>
          <w:rFonts w:ascii="Times New Roman" w:hAnsi="Times New Roman"/>
          <w:noProof/>
          <w:lang w:val="lv-LV" w:eastAsia="lv-LV" w:bidi="lv-LV"/>
        </w:rPr>
        <w:t>. Ņemot vērā to, ka vidējā termiņa prognoze</w:t>
      </w:r>
      <w:r>
        <w:rPr>
          <w:rFonts w:ascii="Times New Roman" w:hAnsi="Times New Roman"/>
          <w:noProof/>
          <w:lang w:val="lv-LV" w:eastAsia="lv-LV" w:bidi="lv-LV"/>
        </w:rPr>
        <w:t>s kļūst aizvien neskaidrākas, privātā un publiskā sektora centieni samazināt aizņemto līdzekļu īpatsvaru pašreizējā ekonomikas ekspansijas periodā ir svarīgi arī tādēļ, lai radītu iespēju amortizēt negatīvus izlaides satricinājumus, kad ekonomiskie apstākļ</w:t>
      </w:r>
      <w:r>
        <w:rPr>
          <w:rFonts w:ascii="Times New Roman" w:hAnsi="Times New Roman"/>
          <w:noProof/>
          <w:lang w:val="lv-LV" w:eastAsia="lv-LV" w:bidi="lv-LV"/>
        </w:rPr>
        <w:t>i būs kļuvuši mazāk labvēlīgi un riski būs materializējušies. Vienlaikus vairākās valstīs ir vērojamas iespējamas pārkaršanas pazīmes, kas galvenokārt saistītas ar strauji augošajām vienības darbaspēka izmaksām, kuras izraisa izmaksu mazāku konkurētspēju u</w:t>
      </w:r>
      <w:r>
        <w:rPr>
          <w:rFonts w:ascii="Times New Roman" w:hAnsi="Times New Roman"/>
          <w:noProof/>
          <w:lang w:val="lv-LV" w:eastAsia="lv-LV" w:bidi="lv-LV"/>
        </w:rPr>
        <w:t xml:space="preserve">n dinamisku mājokļu cenu pieaugumu no līmeņa, kas jau ir salīdzinoši augsts. Ņemot vērā lielākās daļas plūsmas nelīdzsvarotības korekciju un krājumu nelīdzsvarotības smaguma pakāpenisku samazinājumu, kā arī iespējamas pārkaršanas pazīmes vairākās valstīs, </w:t>
      </w:r>
      <w:r>
        <w:rPr>
          <w:rFonts w:ascii="Times New Roman" w:hAnsi="Times New Roman"/>
          <w:noProof/>
          <w:lang w:val="lv-LV" w:eastAsia="lv-LV" w:bidi="lv-LV"/>
        </w:rPr>
        <w:t>MNNP uzraudzības virziens pakāpeniski tiks novirzīts, lielāku uzmanību pievērošot, iespējams, neilgtspējīgām tendencēm un to risku konfigurāciju novēršanai, kas varētu kristalizēties vidējā termiņā.</w:t>
      </w:r>
    </w:p>
    <w:p w:rsidR="003D03E9" w:rsidRDefault="00F77AE9">
      <w:pPr>
        <w:jc w:val="both"/>
        <w:rPr>
          <w:rFonts w:ascii="Times New Roman" w:hAnsi="Times New Roman" w:cs="Times New Roman"/>
          <w:noProof/>
          <w:lang w:val="lv-LV" w:eastAsia="lv-LV" w:bidi="lv-LV"/>
        </w:rPr>
      </w:pPr>
      <w:r>
        <w:rPr>
          <w:b/>
          <w:noProof/>
          <w:lang w:val="lv-LV" w:eastAsia="lv-LV" w:bidi="lv-LV"/>
        </w:rPr>
        <w:t>Vairākām dalībvalstīm, kas iekļautas BMZ, PP tiks ietvert</w:t>
      </w:r>
      <w:r>
        <w:rPr>
          <w:b/>
          <w:noProof/>
          <w:lang w:val="lv-LV" w:eastAsia="lv-LV" w:bidi="lv-LV"/>
        </w:rPr>
        <w:t>a sīkāka un aptverošāka analīze.</w:t>
      </w:r>
      <w:r>
        <w:rPr>
          <w:rFonts w:ascii="Times New Roman" w:hAnsi="Times New Roman"/>
          <w:noProof/>
          <w:lang w:val="lv-LV" w:eastAsia="lv-LV" w:bidi="lv-LV"/>
        </w:rPr>
        <w:t xml:space="preserve"> Tāpat kā iepriekšējos ikgadējos ciklos PP tiks iekļauti ziņojumos par valstīm, kuros sniegta Komisijas dienestu analīze par ekonomikas un sociālajiem problēmjautājumiem ES dalībvalstīs. Lai sagatavotu PP, Komisija veiks ana</w:t>
      </w:r>
      <w:r>
        <w:rPr>
          <w:rFonts w:ascii="Times New Roman" w:hAnsi="Times New Roman"/>
          <w:noProof/>
          <w:lang w:val="lv-LV" w:eastAsia="lv-LV" w:bidi="lv-LV"/>
        </w:rPr>
        <w:t>līzi par bagātīgu datu kopumu, attiecīgu informāciju un novērtējuma satvariem, ko sadarbībā ar Padomes komitejām un darba grupām izstrādājusi Komisija. PP ietvertā analīze veidos pamatu nelīdzsvarotības vai pārmērīgas nelīdzsvarotības konstatēšanai dalībva</w:t>
      </w:r>
      <w:r>
        <w:rPr>
          <w:rFonts w:ascii="Times New Roman" w:hAnsi="Times New Roman"/>
          <w:noProof/>
          <w:lang w:val="lv-LV" w:eastAsia="lv-LV" w:bidi="lv-LV"/>
        </w:rPr>
        <w:t>lstīs un iespējamiem atjauninājumiem konkrētai valstij adresētajos ieteikumos (KVAI), kas izdoti dalībvalstīm</w:t>
      </w:r>
      <w:r>
        <w:rPr>
          <w:rFonts w:ascii="Times New Roman" w:hAnsi="Times New Roman"/>
          <w:noProof/>
          <w:vertAlign w:val="superscript"/>
          <w:lang w:val="lv-LV" w:eastAsia="lv-LV" w:bidi="lv-LV"/>
        </w:rPr>
        <w:footnoteReference w:id="8"/>
      </w:r>
      <w:r>
        <w:rPr>
          <w:rFonts w:ascii="Times New Roman" w:hAnsi="Times New Roman"/>
          <w:noProof/>
          <w:lang w:val="lv-LV" w:eastAsia="lv-LV" w:bidi="lv-LV"/>
        </w:rPr>
        <w:t>. Valstis, kurām konstatēta nelīdzsvarotība vai pārmērīga nelīdzsvarotība, jau tiek un arī turpmāk tiks īpaši uzraudzītas, lai nodrošinātu MNNP īs</w:t>
      </w:r>
      <w:r>
        <w:rPr>
          <w:rFonts w:ascii="Times New Roman" w:hAnsi="Times New Roman"/>
          <w:noProof/>
          <w:lang w:val="lv-LV" w:eastAsia="lv-LV" w:bidi="lv-LV"/>
        </w:rPr>
        <w:t>tenotās politikas pastāvīgu pārraudzību.</w:t>
      </w:r>
    </w:p>
    <w:p w:rsidR="003D03E9" w:rsidRDefault="00F77AE9">
      <w:pPr>
        <w:jc w:val="both"/>
        <w:rPr>
          <w:rFonts w:ascii="Times New Roman" w:hAnsi="Times New Roman" w:cs="Times New Roman"/>
          <w:noProof/>
          <w:lang w:val="lv-LV" w:eastAsia="lv-LV" w:bidi="lv-LV"/>
        </w:rPr>
      </w:pPr>
      <w:r>
        <w:rPr>
          <w:rFonts w:ascii="Times New Roman" w:hAnsi="Times New Roman"/>
          <w:b/>
          <w:noProof/>
          <w:lang w:val="lv-LV" w:eastAsia="lv-LV" w:bidi="lv-LV"/>
        </w:rPr>
        <w:t xml:space="preserve">PP tiks sagatavoti tām dalībvalstīm, kurām jau ir konstatēta nelīdzsvarotība vai pārmērīga nelīdzsvarotība. </w:t>
      </w:r>
      <w:r>
        <w:rPr>
          <w:rFonts w:ascii="Times New Roman" w:hAnsi="Times New Roman"/>
          <w:noProof/>
          <w:lang w:val="lv-LV" w:eastAsia="lv-LV" w:bidi="lv-LV"/>
        </w:rPr>
        <w:t xml:space="preserve">Saskaņā ar iedibināto prudenciālo praksi PP tiks izdoti, lai izvērtētu, vai, ņemot vērā īstenoto korektīvo </w:t>
      </w:r>
      <w:r>
        <w:rPr>
          <w:rFonts w:ascii="Times New Roman" w:hAnsi="Times New Roman"/>
          <w:noProof/>
          <w:lang w:val="lv-LV" w:eastAsia="lv-LV" w:bidi="lv-LV"/>
        </w:rPr>
        <w:t>politiku, esošā nelīdzsvarotība samazinās, saglabājas vai palielinās. Tāpēc ir paredzēts sagatavot PP par 11 dalībvalstīm, kurās nelīdzsvarotība bija konstatēta iepriekšējos 2018. gada PP konstatējumos</w:t>
      </w:r>
      <w:r>
        <w:rPr>
          <w:rFonts w:ascii="Times New Roman" w:hAnsi="Times New Roman"/>
          <w:noProof/>
          <w:vertAlign w:val="superscript"/>
          <w:lang w:val="lv-LV" w:eastAsia="lv-LV" w:bidi="lv-LV"/>
        </w:rPr>
        <w:footnoteReference w:id="9"/>
      </w:r>
      <w:r>
        <w:rPr>
          <w:rFonts w:ascii="Times New Roman" w:hAnsi="Times New Roman"/>
          <w:noProof/>
          <w:lang w:val="lv-LV" w:eastAsia="lv-LV" w:bidi="lv-LV"/>
        </w:rPr>
        <w:t xml:space="preserve">. Tās ir </w:t>
      </w:r>
      <w:r>
        <w:rPr>
          <w:rFonts w:ascii="Times New Roman" w:hAnsi="Times New Roman"/>
          <w:b/>
          <w:noProof/>
          <w:lang w:val="lv-LV" w:eastAsia="lv-LV" w:bidi="lv-LV"/>
        </w:rPr>
        <w:t>Bulgārija, Francija, Horvātija, Itālija, Īrij</w:t>
      </w:r>
      <w:r>
        <w:rPr>
          <w:rFonts w:ascii="Times New Roman" w:hAnsi="Times New Roman"/>
          <w:b/>
          <w:noProof/>
          <w:lang w:val="lv-LV" w:eastAsia="lv-LV" w:bidi="lv-LV"/>
        </w:rPr>
        <w:t xml:space="preserve">a, Kipra, Nīderlande, Portugāle, Spānija, Vācija </w:t>
      </w:r>
      <w:r>
        <w:rPr>
          <w:rFonts w:ascii="Times New Roman" w:hAnsi="Times New Roman"/>
          <w:noProof/>
          <w:lang w:val="lv-LV" w:eastAsia="lv-LV" w:bidi="lv-LV"/>
        </w:rPr>
        <w:t>un</w:t>
      </w:r>
      <w:r>
        <w:rPr>
          <w:rFonts w:ascii="Times New Roman" w:hAnsi="Times New Roman"/>
          <w:b/>
          <w:noProof/>
          <w:lang w:val="lv-LV" w:eastAsia="lv-LV" w:bidi="lv-LV"/>
        </w:rPr>
        <w:t xml:space="preserve"> Zviedrija</w:t>
      </w:r>
      <w:r>
        <w:rPr>
          <w:rFonts w:ascii="Times New Roman" w:hAnsi="Times New Roman"/>
          <w:noProof/>
          <w:lang w:val="lv-LV" w:eastAsia="lv-LV" w:bidi="lv-LV"/>
        </w:rPr>
        <w:t>.</w:t>
      </w:r>
    </w:p>
    <w:p w:rsidR="003D03E9" w:rsidRDefault="00F77AE9">
      <w:pPr>
        <w:jc w:val="both"/>
        <w:rPr>
          <w:rFonts w:ascii="Times New Roman" w:hAnsi="Times New Roman" w:cs="Times New Roman"/>
          <w:noProof/>
          <w:lang w:val="lv-LV" w:eastAsia="lv-LV" w:bidi="lv-LV"/>
        </w:rPr>
      </w:pPr>
      <w:r>
        <w:rPr>
          <w:rFonts w:ascii="Times New Roman" w:hAnsi="Times New Roman"/>
          <w:b/>
          <w:noProof/>
          <w:lang w:val="lv-LV" w:eastAsia="lv-LV" w:bidi="lv-LV"/>
        </w:rPr>
        <w:t xml:space="preserve">Padziļinātie pārskati tiks sagatavoti arī attiecībā uz Grieķiju, kas pirmo reizi ir pakļauta MNNP uzraudzībai, un Rumāniju. </w:t>
      </w:r>
      <w:r>
        <w:rPr>
          <w:rFonts w:ascii="Times New Roman" w:hAnsi="Times New Roman"/>
          <w:noProof/>
          <w:lang w:val="lv-LV" w:eastAsia="lv-LV" w:bidi="lv-LV"/>
        </w:rPr>
        <w:t xml:space="preserve">Ņemot vērā BMZ analīzi, PP tiks izdots </w:t>
      </w:r>
      <w:r>
        <w:rPr>
          <w:rFonts w:ascii="Times New Roman" w:hAnsi="Times New Roman"/>
          <w:b/>
          <w:noProof/>
          <w:lang w:val="lv-LV" w:eastAsia="lv-LV" w:bidi="lv-LV"/>
        </w:rPr>
        <w:t>Grieķijai</w:t>
      </w:r>
      <w:r>
        <w:rPr>
          <w:rFonts w:ascii="Times New Roman" w:hAnsi="Times New Roman"/>
          <w:noProof/>
          <w:lang w:val="lv-LV" w:eastAsia="lv-LV" w:bidi="lv-LV"/>
        </w:rPr>
        <w:t>, kas iepriekš tika i</w:t>
      </w:r>
      <w:r>
        <w:rPr>
          <w:rFonts w:ascii="Times New Roman" w:hAnsi="Times New Roman"/>
          <w:noProof/>
          <w:lang w:val="lv-LV" w:eastAsia="lv-LV" w:bidi="lv-LV"/>
        </w:rPr>
        <w:t xml:space="preserve">zslēgta no MNNP uzraudzības, jo līdz 2018. gada augustam finansiālās palīdzības kontekstā uz to </w:t>
      </w:r>
      <w:r>
        <w:rPr>
          <w:rFonts w:ascii="Times New Roman" w:hAnsi="Times New Roman"/>
          <w:noProof/>
          <w:lang w:val="lv-LV" w:eastAsia="lv-LV" w:bidi="lv-LV"/>
        </w:rPr>
        <w:lastRenderedPageBreak/>
        <w:t>attiecās makroekonomikas korekciju programma</w:t>
      </w:r>
      <w:r>
        <w:rPr>
          <w:rFonts w:ascii="Times New Roman" w:hAnsi="Times New Roman"/>
          <w:noProof/>
          <w:vertAlign w:val="superscript"/>
          <w:lang w:val="lv-LV" w:eastAsia="lv-LV" w:bidi="lv-LV"/>
        </w:rPr>
        <w:footnoteReference w:id="10"/>
      </w:r>
      <w:r>
        <w:rPr>
          <w:rFonts w:ascii="Times New Roman" w:hAnsi="Times New Roman"/>
          <w:noProof/>
          <w:lang w:val="lv-LV" w:eastAsia="lv-LV" w:bidi="lv-LV"/>
        </w:rPr>
        <w:t>. BMZ novērtējums neliecina par būtiskiem papildu riskiem salīdzinājumā ar tiem, kas pēdējos pieejamajos PP konstat</w:t>
      </w:r>
      <w:r>
        <w:rPr>
          <w:rFonts w:ascii="Times New Roman" w:hAnsi="Times New Roman"/>
          <w:noProof/>
          <w:lang w:val="lv-LV" w:eastAsia="lv-LV" w:bidi="lv-LV"/>
        </w:rPr>
        <w:t>ēti vairākām dalībvalstīm, kurām pēdējos gados ir izbeigta MNNP uzraudzība, proti, Slovēnijai (2018. gadā tika konstatēts, ka nelīdzsvarotība nepastāv), Somijai (izbeigta 2017. gadā), Beļģijai un Ungārijai (izbeigta 2016. gadā). Apstākļi arī nav ievērojami</w:t>
      </w:r>
      <w:r>
        <w:rPr>
          <w:rFonts w:ascii="Times New Roman" w:hAnsi="Times New Roman"/>
          <w:noProof/>
          <w:lang w:val="lv-LV" w:eastAsia="lv-LV" w:bidi="lv-LV"/>
        </w:rPr>
        <w:t xml:space="preserve"> mainījušies Austrijā kopš novērtējuma, kas ietverts 2016. gada PP, kura rezultātā konstatēts, ka nelīdzsvarotība nepastāv. Igaunijas gadījums arī tika analizēts 2016. gada PP, kurā secināts, ka nelīdzsvarotība nepastāv. Lai gan kopš tā laika ir strauji pi</w:t>
      </w:r>
      <w:r>
        <w:rPr>
          <w:rFonts w:ascii="Times New Roman" w:hAnsi="Times New Roman"/>
          <w:noProof/>
          <w:lang w:val="lv-LV" w:eastAsia="lv-LV" w:bidi="lv-LV"/>
        </w:rPr>
        <w:t>eaugušas darbaspēka izmaksas, tam nebija būtiskas ietekmes uz ārējo saldo, un iemesli jauna PP sagatavošanai attiecībā uz Igauniju nav pārliecinoši, lai gan gaidāmajā ziņojumā par valsti ir nepieciešama cieša uzraudzība. Tā vietā šķiet pamatoti izdot PP, l</w:t>
      </w:r>
      <w:r>
        <w:rPr>
          <w:rFonts w:ascii="Times New Roman" w:hAnsi="Times New Roman"/>
          <w:noProof/>
          <w:lang w:val="lv-LV" w:eastAsia="lv-LV" w:bidi="lv-LV"/>
        </w:rPr>
        <w:t xml:space="preserve">ai analizētu situāciju </w:t>
      </w:r>
      <w:r>
        <w:rPr>
          <w:rFonts w:ascii="Times New Roman" w:hAnsi="Times New Roman"/>
          <w:b/>
          <w:noProof/>
          <w:lang w:val="lv-LV" w:eastAsia="lv-LV" w:bidi="lv-LV"/>
        </w:rPr>
        <w:t>Rumānijā</w:t>
      </w:r>
      <w:r>
        <w:rPr>
          <w:rFonts w:ascii="Times New Roman" w:hAnsi="Times New Roman"/>
          <w:noProof/>
          <w:lang w:val="lv-LV" w:eastAsia="lv-LV" w:bidi="lv-LV"/>
        </w:rPr>
        <w:t xml:space="preserve"> nolūkā izvērtēt jau iepriekšējos PP (2015. un 2016. gadā) konstatēto riskanto tendenču attīstību un iespējamo atkārtošanos, jo īpaši saistībā ar konkurētspēju un ārējo saldo. Rūpīga analīze ziņojumos par valstīm šķiet pamato</w:t>
      </w:r>
      <w:r>
        <w:rPr>
          <w:rFonts w:ascii="Times New Roman" w:hAnsi="Times New Roman"/>
          <w:noProof/>
          <w:lang w:val="lv-LV" w:eastAsia="lv-LV" w:bidi="lv-LV"/>
        </w:rPr>
        <w:t>ta attiecībā uz riskiem, kas saistīti ar mājokļu tirgus attīstību vairākās dalībvalstīs (Apvienotā Karaliste, Austrija, Beļģija, Čehija, Dānija, Luksemburga un Ungārija) un saistībā ar konkurētspējas attīstību (Čehija, Igaunija, Latvija, Lietuva un Ungārij</w:t>
      </w:r>
      <w:r>
        <w:rPr>
          <w:rFonts w:ascii="Times New Roman" w:hAnsi="Times New Roman"/>
          <w:noProof/>
          <w:lang w:val="lv-LV" w:eastAsia="lv-LV" w:bidi="lv-LV"/>
        </w:rPr>
        <w:t>a)</w:t>
      </w:r>
      <w:r>
        <w:rPr>
          <w:rFonts w:ascii="Times New Roman" w:hAnsi="Times New Roman"/>
          <w:noProof/>
          <w:vertAlign w:val="superscript"/>
          <w:lang w:val="lv-LV" w:eastAsia="lv-LV" w:bidi="lv-LV"/>
        </w:rPr>
        <w:footnoteReference w:id="11"/>
      </w:r>
      <w:r>
        <w:rPr>
          <w:rFonts w:ascii="Times New Roman" w:hAnsi="Times New Roman"/>
          <w:noProof/>
          <w:lang w:val="lv-LV" w:eastAsia="lv-LV" w:bidi="lv-LV"/>
        </w:rPr>
        <w:t>. Līdz ar to kopumā BMZ aicināts PP sagatavot par 13 dalībvalstīm salīdzinājumā ar 12 dalībvalstīm iepriekšējā ciklā.</w:t>
      </w:r>
    </w:p>
    <w:p w:rsidR="003D03E9" w:rsidRDefault="003D03E9">
      <w:pPr>
        <w:jc w:val="both"/>
        <w:rPr>
          <w:rFonts w:ascii="Times New Roman" w:hAnsi="Times New Roman" w:cs="Times New Roman"/>
          <w:noProof/>
          <w:lang w:val="lv-LV" w:eastAsia="lv-LV" w:bidi="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8"/>
      </w:tblGrid>
      <w:tr w:rsidR="003D03E9" w:rsidRPr="00F77AE9">
        <w:tc>
          <w:tcPr>
            <w:tcW w:w="9288" w:type="dxa"/>
            <w:shd w:val="clear" w:color="auto" w:fill="BFBFBF"/>
          </w:tcPr>
          <w:p w:rsidR="003D03E9" w:rsidRDefault="00F77AE9">
            <w:pPr>
              <w:spacing w:after="60"/>
              <w:jc w:val="both"/>
              <w:rPr>
                <w:b/>
                <w:noProof/>
                <w:lang w:val="lv-LV" w:eastAsia="lv-LV" w:bidi="lv-LV"/>
              </w:rPr>
            </w:pPr>
            <w:r>
              <w:rPr>
                <w:noProof/>
                <w:lang w:val="lv-LV" w:eastAsia="lv-LV" w:bidi="lv-LV"/>
              </w:rPr>
              <w:br w:type="page"/>
            </w:r>
            <w:r>
              <w:rPr>
                <w:noProof/>
                <w:lang w:val="lv-LV" w:eastAsia="lv-LV" w:bidi="lv-LV"/>
              </w:rPr>
              <w:br w:type="page"/>
            </w:r>
            <w:r>
              <w:rPr>
                <w:noProof/>
                <w:lang w:val="lv-LV" w:eastAsia="lv-LV" w:bidi="lv-LV"/>
              </w:rPr>
              <w:br w:type="page"/>
            </w:r>
            <w:r>
              <w:rPr>
                <w:rFonts w:ascii="Times New Roman" w:hAnsi="Times New Roman"/>
                <w:b/>
                <w:i/>
                <w:noProof/>
                <w:lang w:val="lv-LV" w:eastAsia="lv-LV" w:bidi="lv-LV"/>
              </w:rPr>
              <w:t xml:space="preserve">1. izcēlums. </w:t>
            </w:r>
            <w:r>
              <w:rPr>
                <w:b/>
                <w:noProof/>
                <w:lang w:val="lv-LV" w:eastAsia="lv-LV" w:bidi="lv-LV"/>
              </w:rPr>
              <w:t>Korekcijas, kas ieviestas MNNP rādītāju kopsavilkuma palīgrādītājos</w:t>
            </w:r>
          </w:p>
          <w:p w:rsidR="003D03E9" w:rsidRDefault="00F77AE9">
            <w:pPr>
              <w:spacing w:before="120" w:after="60" w:line="240" w:lineRule="auto"/>
              <w:jc w:val="both"/>
              <w:rPr>
                <w:noProof/>
                <w:lang w:val="lv-LV" w:eastAsia="lv-LV" w:bidi="lv-LV"/>
              </w:rPr>
            </w:pPr>
            <w:r>
              <w:rPr>
                <w:b/>
                <w:noProof/>
                <w:lang w:val="lv-LV" w:eastAsia="lv-LV" w:bidi="lv-LV"/>
              </w:rPr>
              <w:t>MNNP rādītāju kopsavilkumu papildina palīgrādītāju</w:t>
            </w:r>
            <w:r>
              <w:rPr>
                <w:b/>
                <w:noProof/>
                <w:lang w:val="lv-LV" w:eastAsia="lv-LV" w:bidi="lv-LV"/>
              </w:rPr>
              <w:t xml:space="preserve"> kopums.</w:t>
            </w:r>
            <w:r>
              <w:rPr>
                <w:noProof/>
                <w:lang w:val="lv-LV" w:eastAsia="lv-LV" w:bidi="lv-LV"/>
              </w:rPr>
              <w:t xml:space="preserve"> Kā noteikts MNNP regulā (Regula (ES) Nr. 1176/2011), rādītāju kopsavilkuma ekonomiskajā interpretācijā izmanto ne tikai kopsavilkuma pamatrādītājus, bet arī papildu attiecīgos rādītājus un informāciju. Kopš MNNP uzraudzības sākuma palīgrādītāju ko</w:t>
            </w:r>
            <w:r>
              <w:rPr>
                <w:noProof/>
                <w:lang w:val="lv-LV" w:eastAsia="lv-LV" w:bidi="lv-LV"/>
              </w:rPr>
              <w:t>pums ir papildinājis pamatrādītāju ekonomisko interpretāciju. Atšķirībā no pamatrādītājiem palīgrādītājiem nav noteiktas robežvērtības (skatīt 2.1. tabulu).</w:t>
            </w:r>
          </w:p>
          <w:p w:rsidR="003D03E9" w:rsidRDefault="00F77AE9">
            <w:pPr>
              <w:spacing w:before="120" w:after="60" w:line="240" w:lineRule="auto"/>
              <w:jc w:val="both"/>
              <w:rPr>
                <w:noProof/>
                <w:lang w:val="lv-LV" w:eastAsia="lv-LV" w:bidi="lv-LV"/>
              </w:rPr>
            </w:pPr>
            <w:r>
              <w:rPr>
                <w:b/>
                <w:noProof/>
                <w:lang w:val="lv-LV" w:eastAsia="lv-LV" w:bidi="lv-LV"/>
              </w:rPr>
              <w:t xml:space="preserve">MNNP regulā noteikts, ka Komisijai vajadzības gadījumā regulāri jāpārskata un jākoriģē MNNP rādītāju kopsavilkums. </w:t>
            </w:r>
            <w:r>
              <w:rPr>
                <w:noProof/>
                <w:lang w:val="lv-LV" w:eastAsia="lv-LV" w:bidi="lv-LV"/>
              </w:rPr>
              <w:t>Kopš MNNP sākuma rādītāju kopsavilkumā ir veiktas vairākas korekcijas. 2012. gadā tika pievienots finanšu sektora pamatrādītājs (kopējās fina</w:t>
            </w:r>
            <w:r>
              <w:rPr>
                <w:noProof/>
                <w:lang w:val="lv-LV" w:eastAsia="lv-LV" w:bidi="lv-LV"/>
              </w:rPr>
              <w:t>nšu sektora saistības). 2013. gadā tika pārskatīti vairāki rādītāju kopsavilkuma mainīgie pamatlielumi (reālais efektīvais valūtas kurss, privātā sektora parāds un kredītplūsma) un tika pievienoti daži palīgrādītāji (tostarp sociālo un nodarbinātības rādīt</w:t>
            </w:r>
            <w:r>
              <w:rPr>
                <w:noProof/>
                <w:lang w:val="lv-LV" w:eastAsia="lv-LV" w:bidi="lv-LV"/>
              </w:rPr>
              <w:t xml:space="preserve">āju kopums). 2015. gadā tika pievienoti nodarbinātības pamatrādītāji. Kopumā izmaiņas ir bijušas mērķtiecīgas un ierobežotas. </w:t>
            </w:r>
          </w:p>
          <w:p w:rsidR="003D03E9" w:rsidRDefault="00F77AE9">
            <w:pPr>
              <w:spacing w:before="120" w:after="60" w:line="240" w:lineRule="auto"/>
              <w:jc w:val="both"/>
              <w:rPr>
                <w:noProof/>
                <w:lang w:val="lv-LV" w:eastAsia="lv-LV" w:bidi="lv-LV"/>
              </w:rPr>
            </w:pPr>
            <w:r>
              <w:rPr>
                <w:b/>
                <w:noProof/>
                <w:lang w:val="lv-LV" w:eastAsia="lv-LV" w:bidi="lv-LV"/>
              </w:rPr>
              <w:t>Ar šo BMZ tiek ieviestas dažas palīgrādītāju korekcijas, lai gūtu labumu no pieejamās statistikas uzlabojumiem un nodrošinātu rād</w:t>
            </w:r>
            <w:r>
              <w:rPr>
                <w:b/>
                <w:noProof/>
                <w:lang w:val="lv-LV" w:eastAsia="lv-LV" w:bidi="lv-LV"/>
              </w:rPr>
              <w:t>ītāju piemērotību.</w:t>
            </w:r>
            <w:r>
              <w:rPr>
                <w:noProof/>
                <w:lang w:val="lv-LV" w:eastAsia="lv-LV" w:bidi="lv-LV"/>
              </w:rPr>
              <w:t xml:space="preserve"> Minētās pēdējās korekcijas palīgrādītāju kopumā veiktas, lai varētu gūt labumu no uzlabotas statistikas par maksājumu bilances un banku sektora datiem (īpaši par ieņēmumus nenesošiem aizdevumiem) un palīdzētu rādītāju kopsavilkumā atspog</w:t>
            </w:r>
            <w:r>
              <w:rPr>
                <w:noProof/>
                <w:lang w:val="lv-LV" w:eastAsia="lv-LV" w:bidi="lv-LV"/>
              </w:rPr>
              <w:t xml:space="preserve">uļot rādītājus, kas jau plaši izmantoti BMZ un PP analīzē. Tāpat kā iepriekšējās rādītāju kopsavilkuma koriģēšanas reizēs notika pienācīga apspriešanās ar Eiropas Parlamentu un </w:t>
            </w:r>
            <w:r>
              <w:rPr>
                <w:noProof/>
                <w:lang w:val="lv-LV" w:eastAsia="lv-LV" w:bidi="lv-LV"/>
              </w:rPr>
              <w:lastRenderedPageBreak/>
              <w:t>Padomi (tostarp tās ekspertu komitejām), un Eiropas Sistēmisko risku kolēģija t</w:t>
            </w:r>
            <w:r>
              <w:rPr>
                <w:noProof/>
                <w:lang w:val="lv-LV" w:eastAsia="lv-LV" w:bidi="lv-LV"/>
              </w:rPr>
              <w:t>ika informēta. Minētās korekcijas var apkopot šādi</w:t>
            </w:r>
            <w:r>
              <w:rPr>
                <w:noProof/>
                <w:vertAlign w:val="superscript"/>
                <w:lang w:val="lv-LV" w:eastAsia="lv-LV" w:bidi="lv-LV"/>
              </w:rPr>
              <w:footnoteReference w:id="12"/>
            </w:r>
            <w:r>
              <w:rPr>
                <w:noProof/>
                <w:lang w:val="lv-LV" w:eastAsia="lv-LV" w:bidi="lv-LV"/>
              </w:rPr>
              <w:t>:</w:t>
            </w:r>
          </w:p>
          <w:p w:rsidR="003D03E9" w:rsidRDefault="00F77AE9">
            <w:pPr>
              <w:numPr>
                <w:ilvl w:val="0"/>
                <w:numId w:val="21"/>
              </w:numPr>
              <w:spacing w:before="120" w:after="60" w:line="240" w:lineRule="auto"/>
              <w:ind w:left="284" w:hanging="284"/>
              <w:jc w:val="both"/>
              <w:rPr>
                <w:rFonts w:ascii="Times New Roman" w:hAnsi="Times New Roman" w:cs="Times New Roman"/>
                <w:noProof/>
                <w:lang w:val="lv-LV" w:eastAsia="lv-LV" w:bidi="lv-LV"/>
              </w:rPr>
            </w:pPr>
            <w:r>
              <w:rPr>
                <w:i/>
                <w:noProof/>
                <w:lang w:val="lv-LV" w:eastAsia="lv-LV" w:bidi="lv-LV"/>
              </w:rPr>
              <w:t>neto ārējais parāds</w:t>
            </w:r>
            <w:r>
              <w:rPr>
                <w:noProof/>
                <w:lang w:val="lv-LV" w:eastAsia="lv-LV" w:bidi="lv-LV"/>
              </w:rPr>
              <w:t xml:space="preserve"> (</w:t>
            </w:r>
            <w:r>
              <w:rPr>
                <w:i/>
                <w:noProof/>
                <w:lang w:val="lv-LV" w:eastAsia="lv-LV" w:bidi="lv-LV"/>
              </w:rPr>
              <w:t>NED</w:t>
            </w:r>
            <w:r>
              <w:rPr>
                <w:noProof/>
                <w:lang w:val="lv-LV" w:eastAsia="lv-LV" w:bidi="lv-LV"/>
              </w:rPr>
              <w:t xml:space="preserve">) ir aizstāts ar </w:t>
            </w:r>
            <w:r>
              <w:rPr>
                <w:i/>
                <w:noProof/>
                <w:lang w:val="lv-LV" w:eastAsia="lv-LV" w:bidi="lv-LV"/>
              </w:rPr>
              <w:t>NIIP</w:t>
            </w:r>
            <w:r>
              <w:rPr>
                <w:noProof/>
                <w:lang w:val="lv-LV" w:eastAsia="lv-LV" w:bidi="lv-LV"/>
              </w:rPr>
              <w:t>, izņemot instrumentus bez saistību neizpildes riska (</w:t>
            </w:r>
            <w:r>
              <w:rPr>
                <w:i/>
                <w:noProof/>
                <w:lang w:val="lv-LV" w:eastAsia="lv-LV" w:bidi="lv-LV"/>
              </w:rPr>
              <w:t>NENDI</w:t>
            </w:r>
            <w:r>
              <w:rPr>
                <w:noProof/>
                <w:lang w:val="lv-LV" w:eastAsia="lv-LV" w:bidi="lv-LV"/>
              </w:rPr>
              <w:t>), lai panāktu tādu ārējo krājumu (gan aktīvu, gan saistību) plašāku pārstāvību, kuriem ir saistību</w:t>
            </w:r>
            <w:r>
              <w:rPr>
                <w:noProof/>
                <w:lang w:val="lv-LV" w:eastAsia="lv-LV" w:bidi="lv-LV"/>
              </w:rPr>
              <w:t xml:space="preserve"> neizpildes riski.</w:t>
            </w:r>
            <w:r>
              <w:rPr>
                <w:rFonts w:ascii="Times New Roman" w:hAnsi="Times New Roman"/>
                <w:noProof/>
                <w:lang w:val="lv-LV" w:eastAsia="lv-LV" w:bidi="lv-LV"/>
              </w:rPr>
              <w:t xml:space="preserve"> Jaunais rādītājs gūst labumu no koriģētās maksājumu bilances statistikas metodikas (no BPM5 uz BPM6), kas ļauj sniegt sīkāku ārvalstu aktīvu un saistību dalījumu. </w:t>
            </w:r>
            <w:r>
              <w:rPr>
                <w:noProof/>
                <w:lang w:val="lv-LV" w:eastAsia="lv-LV" w:bidi="lv-LV"/>
              </w:rPr>
              <w:t xml:space="preserve">Salīdzinot ar </w:t>
            </w:r>
            <w:r>
              <w:rPr>
                <w:i/>
                <w:noProof/>
                <w:lang w:val="lv-LV" w:eastAsia="lv-LV" w:bidi="lv-LV"/>
              </w:rPr>
              <w:t>NED</w:t>
            </w:r>
            <w:r>
              <w:rPr>
                <w:noProof/>
                <w:lang w:val="lv-LV" w:eastAsia="lv-LV" w:bidi="lv-LV"/>
              </w:rPr>
              <w:t xml:space="preserve">, </w:t>
            </w:r>
            <w:r>
              <w:rPr>
                <w:i/>
                <w:noProof/>
                <w:lang w:val="lv-LV" w:eastAsia="lv-LV" w:bidi="lv-LV"/>
              </w:rPr>
              <w:t>NENDI</w:t>
            </w:r>
            <w:r>
              <w:rPr>
                <w:noProof/>
                <w:lang w:val="lv-LV" w:eastAsia="lv-LV" w:bidi="lv-LV"/>
              </w:rPr>
              <w:t>: i) neietver neto uzņēmuma iekšējo ārvalstu tiešo</w:t>
            </w:r>
            <w:r>
              <w:rPr>
                <w:noProof/>
                <w:lang w:val="lv-LV" w:eastAsia="lv-LV" w:bidi="lv-LV"/>
              </w:rPr>
              <w:t xml:space="preserve"> ieguldījumu (ĀTI) parādu, kas dažos gadījumos veido lielu daļu no pārrobežu parāda, neradot bažas par maksātspēju, ii) ietver kopieguldījumu fondu daļas, kas dažreiz veido ļoti lielu pozīciju un lielākoties ir nodrošinātas ar obligācijām, un iii) ietver n</w:t>
            </w:r>
            <w:r>
              <w:rPr>
                <w:noProof/>
                <w:lang w:val="lv-LV" w:eastAsia="lv-LV" w:bidi="lv-LV"/>
              </w:rPr>
              <w:t xml:space="preserve">eto atvasinātos finanšu instrumentus. Raugoties no citas perspektīvas, </w:t>
            </w:r>
            <w:r>
              <w:rPr>
                <w:i/>
                <w:noProof/>
                <w:lang w:val="lv-LV" w:eastAsia="lv-LV" w:bidi="lv-LV"/>
              </w:rPr>
              <w:t>NENDI</w:t>
            </w:r>
            <w:r>
              <w:rPr>
                <w:noProof/>
                <w:lang w:val="lv-LV" w:eastAsia="lv-LV" w:bidi="lv-LV"/>
              </w:rPr>
              <w:t xml:space="preserve"> ir </w:t>
            </w:r>
            <w:r>
              <w:rPr>
                <w:i/>
                <w:noProof/>
                <w:lang w:val="lv-LV" w:eastAsia="lv-LV" w:bidi="lv-LV"/>
              </w:rPr>
              <w:t>NIIP</w:t>
            </w:r>
            <w:r>
              <w:rPr>
                <w:noProof/>
                <w:lang w:val="lv-LV" w:eastAsia="lv-LV" w:bidi="lv-LV"/>
              </w:rPr>
              <w:t xml:space="preserve"> apakškopa, kurā neietilpst ar pašu kapitālu saistītie komponenti, proti, ĀTI pašu kapitāls un pašu kapitāla daļas un uzņēmuma iekšējo pārrobežu ĀTI parāds. </w:t>
            </w:r>
          </w:p>
          <w:p w:rsidR="003D03E9" w:rsidRDefault="00F77AE9">
            <w:pPr>
              <w:numPr>
                <w:ilvl w:val="0"/>
                <w:numId w:val="21"/>
              </w:numPr>
              <w:spacing w:before="120" w:after="60" w:line="240" w:lineRule="auto"/>
              <w:ind w:left="284" w:hanging="284"/>
              <w:jc w:val="both"/>
              <w:rPr>
                <w:rFonts w:ascii="Times New Roman" w:hAnsi="Times New Roman" w:cs="Times New Roman"/>
                <w:noProof/>
                <w:lang w:val="lv-LV" w:eastAsia="lv-LV" w:bidi="lv-LV"/>
              </w:rPr>
            </w:pPr>
            <w:r>
              <w:rPr>
                <w:rFonts w:ascii="Times New Roman" w:hAnsi="Times New Roman"/>
                <w:i/>
                <w:noProof/>
                <w:lang w:val="lv-LV" w:eastAsia="lv-LV" w:bidi="lv-LV"/>
              </w:rPr>
              <w:t xml:space="preserve">Nekonsolidētā </w:t>
            </w:r>
            <w:r>
              <w:rPr>
                <w:rFonts w:ascii="Times New Roman" w:hAnsi="Times New Roman"/>
                <w:i/>
                <w:noProof/>
                <w:lang w:val="lv-LV" w:eastAsia="lv-LV" w:bidi="lv-LV"/>
              </w:rPr>
              <w:t>finanšu sektora aizņemto līdzekļu īpatsvara</w:t>
            </w:r>
            <w:r>
              <w:rPr>
                <w:rFonts w:ascii="Times New Roman" w:hAnsi="Times New Roman"/>
                <w:noProof/>
                <w:lang w:val="lv-LV" w:eastAsia="lv-LV" w:bidi="lv-LV"/>
              </w:rPr>
              <w:t xml:space="preserve"> rādītājs no nacionālajiem kontiem ir aizstāts ar </w:t>
            </w:r>
            <w:r>
              <w:rPr>
                <w:rFonts w:ascii="Times New Roman" w:hAnsi="Times New Roman"/>
                <w:i/>
                <w:noProof/>
                <w:lang w:val="lv-LV" w:eastAsia="lv-LV" w:bidi="lv-LV"/>
              </w:rPr>
              <w:t xml:space="preserve">konsolidēto banku aizņemto līdzekļu īpatsvara, iekšzemes un ārvalstu vienību </w:t>
            </w:r>
            <w:r>
              <w:rPr>
                <w:rFonts w:ascii="Times New Roman" w:hAnsi="Times New Roman"/>
                <w:noProof/>
                <w:lang w:val="lv-LV" w:eastAsia="lv-LV" w:bidi="lv-LV"/>
              </w:rPr>
              <w:t>rādītāju, ko iegūst no ECB konsolidētajiem banku datiem, kam ir skaidrāka ekonomiskā i</w:t>
            </w:r>
            <w:r>
              <w:rPr>
                <w:rFonts w:ascii="Times New Roman" w:hAnsi="Times New Roman"/>
                <w:noProof/>
                <w:lang w:val="lv-LV" w:eastAsia="lv-LV" w:bidi="lv-LV"/>
              </w:rPr>
              <w:t xml:space="preserve">nterpretācija, kas ir salīdzināms visās valstīs un ir konsekvents, pamatojoties uz uzskaites vērtību, pat ja tas attiecas tikai uz banku sektoru. </w:t>
            </w:r>
          </w:p>
          <w:p w:rsidR="003D03E9" w:rsidRDefault="00F77AE9">
            <w:pPr>
              <w:numPr>
                <w:ilvl w:val="0"/>
                <w:numId w:val="21"/>
              </w:numPr>
              <w:spacing w:before="120" w:after="60" w:line="240" w:lineRule="auto"/>
              <w:ind w:left="284" w:hanging="284"/>
              <w:jc w:val="both"/>
              <w:rPr>
                <w:rFonts w:ascii="Times New Roman" w:hAnsi="Times New Roman" w:cs="Times New Roman"/>
                <w:noProof/>
                <w:lang w:val="lv-LV" w:eastAsia="lv-LV" w:bidi="lv-LV"/>
              </w:rPr>
            </w:pPr>
            <w:r>
              <w:rPr>
                <w:rFonts w:ascii="Times New Roman" w:hAnsi="Times New Roman"/>
                <w:noProof/>
                <w:lang w:val="lv-LV" w:eastAsia="lv-LV" w:bidi="lv-LV"/>
              </w:rPr>
              <w:t xml:space="preserve">Ir pievienoti divi rādītāji, ko regulāri izmanto MNNP analīzē: pirmkārt, </w:t>
            </w:r>
            <w:r>
              <w:rPr>
                <w:rFonts w:ascii="Times New Roman" w:hAnsi="Times New Roman"/>
                <w:i/>
                <w:noProof/>
                <w:lang w:val="lv-LV" w:eastAsia="lv-LV" w:bidi="lv-LV"/>
              </w:rPr>
              <w:t xml:space="preserve">mājsaimniecību </w:t>
            </w:r>
            <w:r>
              <w:rPr>
                <w:rFonts w:ascii="Times New Roman" w:hAnsi="Times New Roman"/>
                <w:noProof/>
                <w:lang w:val="lv-LV" w:eastAsia="lv-LV" w:bidi="lv-LV"/>
              </w:rPr>
              <w:t>(</w:t>
            </w:r>
            <w:r>
              <w:rPr>
                <w:rFonts w:ascii="Times New Roman" w:hAnsi="Times New Roman"/>
                <w:i/>
                <w:noProof/>
                <w:lang w:val="lv-LV" w:eastAsia="lv-LV" w:bidi="lv-LV"/>
              </w:rPr>
              <w:t>konsolidētā</w:t>
            </w:r>
            <w:r>
              <w:rPr>
                <w:rFonts w:ascii="Times New Roman" w:hAnsi="Times New Roman"/>
                <w:noProof/>
                <w:lang w:val="lv-LV" w:eastAsia="lv-LV" w:bidi="lv-LV"/>
              </w:rPr>
              <w:t xml:space="preserve">) </w:t>
            </w:r>
            <w:r>
              <w:rPr>
                <w:rFonts w:ascii="Times New Roman" w:hAnsi="Times New Roman"/>
                <w:i/>
                <w:noProof/>
                <w:lang w:val="lv-LV" w:eastAsia="lv-LV" w:bidi="lv-LV"/>
              </w:rPr>
              <w:t xml:space="preserve">parāda </w:t>
            </w:r>
            <w:r>
              <w:rPr>
                <w:rFonts w:ascii="Times New Roman" w:hAnsi="Times New Roman"/>
                <w:noProof/>
                <w:lang w:val="lv-LV" w:eastAsia="lv-LV" w:bidi="lv-LV"/>
              </w:rPr>
              <w:t>rādītājs, kas papildina pamatrādītāju par privātā sektora parādu, un, otrkārt, rādītājs par bruto ieņēmumus nenesošiem aizdevumiem, kas sniedz papildu informāciju, lai novērtētu privātā sektora parādu. Tas ir kļuvis iespējams kopš 2015. gada, pateicoties p</w:t>
            </w:r>
            <w:r>
              <w:rPr>
                <w:rFonts w:ascii="Times New Roman" w:hAnsi="Times New Roman"/>
                <w:noProof/>
                <w:lang w:val="lv-LV" w:eastAsia="lv-LV" w:bidi="lv-LV"/>
              </w:rPr>
              <w:t xml:space="preserve">ārrobežu salīdzināmiem datiem ECB konsolidētajā banku statistikā. </w:t>
            </w:r>
          </w:p>
          <w:p w:rsidR="003D03E9" w:rsidRDefault="00F77AE9">
            <w:pPr>
              <w:numPr>
                <w:ilvl w:val="0"/>
                <w:numId w:val="21"/>
              </w:numPr>
              <w:spacing w:before="120" w:after="60" w:line="240" w:lineRule="auto"/>
              <w:ind w:left="284" w:hanging="284"/>
              <w:jc w:val="both"/>
              <w:rPr>
                <w:rFonts w:ascii="Times New Roman" w:hAnsi="Times New Roman" w:cs="Times New Roman"/>
                <w:b/>
                <w:noProof/>
                <w:lang w:val="lv-LV" w:eastAsia="lv-LV" w:bidi="lv-LV"/>
              </w:rPr>
            </w:pPr>
            <w:r>
              <w:rPr>
                <w:rFonts w:ascii="Times New Roman" w:hAnsi="Times New Roman"/>
                <w:noProof/>
                <w:lang w:val="lv-LV" w:eastAsia="lv-LV" w:bidi="lv-LV"/>
              </w:rPr>
              <w:t>Lai saglabātu rādītāju kopsavilkumu relevantu un ierobežotu, kopējais rādītāju skaits paliek nemainīgs (28 rādītāji). Ir izslēgti divi iepriekš iekļautie palīgrādītāji: i) desmit gadu izmai</w:t>
            </w:r>
            <w:r>
              <w:rPr>
                <w:rFonts w:ascii="Times New Roman" w:hAnsi="Times New Roman"/>
                <w:noProof/>
                <w:lang w:val="lv-LV" w:eastAsia="lv-LV" w:bidi="lv-LV"/>
              </w:rPr>
              <w:t>ņas nominālās vienības darbaspēka izmaksās (jo tas pārklājas ar datiem par trīs gadu izmaiņām vienības darbaspēka izmaksās (iekļauts pamatrādītājos) un desmit gadu izmaiņas vienības darbaspēka izmaksās saistībā ar eurozonu (arī iekļauts palīgrādītājos); ii</w:t>
            </w:r>
            <w:r>
              <w:rPr>
                <w:rFonts w:ascii="Times New Roman" w:hAnsi="Times New Roman"/>
                <w:noProof/>
                <w:lang w:val="lv-LV" w:eastAsia="lv-LV" w:bidi="lv-LV"/>
              </w:rPr>
              <w:t>) nekonsolidēts privātā sektora parāds (aizstāts ar konsolidētā privātā sektora parāda pamatrādītāju).</w:t>
            </w:r>
          </w:p>
        </w:tc>
      </w:tr>
    </w:tbl>
    <w:p w:rsidR="003D03E9" w:rsidRDefault="003D03E9">
      <w:pPr>
        <w:rPr>
          <w:rFonts w:ascii="Times New Roman Bold" w:eastAsia="MS Gothic" w:hAnsi="Times New Roman Bold" w:cs="Times New Roman" w:hint="eastAsia"/>
          <w:b/>
          <w:bCs/>
          <w:smallCaps/>
          <w:noProof/>
          <w:lang w:val="lv-LV" w:eastAsia="lv-LV" w:bidi="lv-LV"/>
        </w:rPr>
      </w:pPr>
    </w:p>
    <w:p w:rsidR="003D03E9" w:rsidRDefault="00F77AE9">
      <w:pPr>
        <w:rPr>
          <w:rFonts w:ascii="Times New Roman Bold" w:eastAsia="MS Gothic" w:hAnsi="Times New Roman Bold" w:cs="Times New Roman" w:hint="eastAsia"/>
          <w:b/>
          <w:bCs/>
          <w:smallCaps/>
          <w:noProof/>
          <w:lang w:val="lv-LV" w:eastAsia="lv-LV" w:bidi="lv-LV"/>
        </w:rPr>
      </w:pPr>
      <w:r>
        <w:rPr>
          <w:rFonts w:ascii="Times New Roman Bold" w:hAnsi="Times New Roman Bold"/>
          <w:b/>
          <w:smallCaps/>
          <w:noProof/>
          <w:lang w:val="lv-LV" w:eastAsia="lv-LV" w:bidi="lv-LV"/>
        </w:rPr>
        <w:t>2.</w:t>
      </w:r>
      <w:r>
        <w:rPr>
          <w:noProof/>
          <w:lang w:val="lv-LV" w:eastAsia="lv-LV" w:bidi="lv-LV"/>
        </w:rPr>
        <w:tab/>
      </w:r>
      <w:r>
        <w:rPr>
          <w:rFonts w:ascii="Times New Roman Bold" w:hAnsi="Times New Roman Bold"/>
          <w:b/>
          <w:smallCaps/>
          <w:noProof/>
          <w:lang w:val="lv-LV" w:eastAsia="lv-LV" w:bidi="lv-LV"/>
        </w:rPr>
        <w:t>Nelīdzsvarotība, riski un korekcijas: galvenās tendences dalībvalstīs</w:t>
      </w:r>
    </w:p>
    <w:p w:rsidR="003D03E9" w:rsidRDefault="00F77AE9">
      <w:pPr>
        <w:spacing w:before="120" w:after="120"/>
        <w:jc w:val="both"/>
        <w:rPr>
          <w:rFonts w:ascii="Times New Roman" w:eastAsia="Times New Roman" w:hAnsi="Times New Roman" w:cs="Times New Roman"/>
          <w:noProof/>
          <w:lang w:val="lv-LV" w:eastAsia="lv-LV" w:bidi="lv-LV"/>
        </w:rPr>
      </w:pPr>
      <w:r>
        <w:rPr>
          <w:noProof/>
          <w:lang w:val="lv-LV" w:eastAsia="lv-LV" w:bidi="lv-LV"/>
        </w:rPr>
        <w:t>BMZ balstās uz MNNP rādītāju kopsavilkuma ekonomisko interpretāciju, kas kalpo</w:t>
      </w:r>
      <w:r>
        <w:rPr>
          <w:noProof/>
          <w:lang w:val="lv-LV" w:eastAsia="lv-LV" w:bidi="lv-LV"/>
        </w:rPr>
        <w:t xml:space="preserve"> par filtrēšanas rīku, ar ko atklāt iespējamo risku un neaizsargātības faktoru pirmās pazīmes.</w:t>
      </w:r>
      <w:r>
        <w:rPr>
          <w:rFonts w:ascii="Times New Roman" w:hAnsi="Times New Roman"/>
          <w:noProof/>
          <w:lang w:val="lv-LV" w:eastAsia="lv-LV" w:bidi="lv-LV"/>
        </w:rPr>
        <w:t xml:space="preserve"> Rādītāju kopsavilkumu veido 14 rādītāji un to indikatīvās robežvērtības tādās jomās kā ārējās pozīcijas, konkurētspēja, privātā sektora parāds, mājokļu tirgus, b</w:t>
      </w:r>
      <w:r>
        <w:rPr>
          <w:rFonts w:ascii="Times New Roman" w:hAnsi="Times New Roman"/>
          <w:noProof/>
          <w:lang w:val="lv-LV" w:eastAsia="lv-LV" w:bidi="lv-LV"/>
        </w:rPr>
        <w:t>anku sektors un nodarbinātība. Lai nodrošinātu datu stabilitāti un konsekvenci starp valstīm, tas balstās uz labas statistiskās kvalitātes faktiskajiem datiem. Tāpēc rādītāju kopsavilkumā, kas izmantots šajā ziņojumā, atspoguļoti dati par laiku līdz 2017. </w:t>
      </w:r>
      <w:r>
        <w:rPr>
          <w:rFonts w:ascii="Times New Roman" w:hAnsi="Times New Roman"/>
          <w:noProof/>
          <w:lang w:val="lv-LV" w:eastAsia="lv-LV" w:bidi="lv-LV"/>
        </w:rPr>
        <w:t xml:space="preserve">gadam. Saskaņā ar MNNP regulu (Regula (ES) Nr. 1176/2011) rādītāju kopsavilkuma vērtības neinterpretē mehāniski novērtējumos, kas iekļauti BMZ, — tā vietā tie ir pakļauti ekonomiskajai interpretācijai, kas ļauj padziļināt izpratni par vispārējo ekonomisko </w:t>
      </w:r>
      <w:r>
        <w:rPr>
          <w:rFonts w:ascii="Times New Roman" w:hAnsi="Times New Roman"/>
          <w:noProof/>
          <w:lang w:val="lv-LV" w:eastAsia="lv-LV" w:bidi="lv-LV"/>
        </w:rPr>
        <w:t xml:space="preserve">kontekstu, ņemot vērā konkrētai valstij adresētus </w:t>
      </w:r>
      <w:r>
        <w:rPr>
          <w:rFonts w:ascii="Times New Roman" w:hAnsi="Times New Roman"/>
          <w:noProof/>
          <w:lang w:val="lv-LV" w:eastAsia="lv-LV" w:bidi="lv-LV"/>
        </w:rPr>
        <w:lastRenderedPageBreak/>
        <w:t>apsvērumus</w:t>
      </w:r>
      <w:r>
        <w:rPr>
          <w:rFonts w:ascii="Times New Roman" w:hAnsi="Times New Roman"/>
          <w:noProof/>
          <w:vertAlign w:val="superscript"/>
          <w:lang w:val="lv-LV" w:eastAsia="lv-LV" w:bidi="lv-LV"/>
        </w:rPr>
        <w:footnoteReference w:id="13"/>
      </w:r>
      <w:r>
        <w:rPr>
          <w:rFonts w:ascii="Times New Roman" w:hAnsi="Times New Roman"/>
          <w:noProof/>
          <w:lang w:val="lv-LV" w:eastAsia="lv-LV" w:bidi="lv-LV"/>
        </w:rPr>
        <w:t>. Palīgrādītāju kopums papildina rādītāju kopsavilkuma interpretāciju. BMZ novērtējumā ir ņemti vērā arī jaunākie dati un papildu informācija, atziņas, kas gūtas novērtējuma satvaros, kā arī kons</w:t>
      </w:r>
      <w:r>
        <w:rPr>
          <w:rFonts w:ascii="Times New Roman" w:hAnsi="Times New Roman"/>
          <w:noProof/>
          <w:lang w:val="lv-LV" w:eastAsia="lv-LV" w:bidi="lv-LV"/>
        </w:rPr>
        <w:t>tatējumi esošajos PP un attiecīgajā analīzē un Komisijas dienestu 2018. gada rudens prognoze.</w:t>
      </w:r>
    </w:p>
    <w:p w:rsidR="003D03E9" w:rsidRDefault="00F77AE9">
      <w:pPr>
        <w:spacing w:before="120" w:after="120"/>
        <w:jc w:val="both"/>
        <w:rPr>
          <w:rFonts w:ascii="Times New Roman" w:eastAsia="Times New Roman" w:hAnsi="Times New Roman" w:cs="Times New Roman"/>
          <w:noProof/>
          <w:lang w:val="lv-LV" w:eastAsia="lv-LV" w:bidi="lv-LV"/>
        </w:rPr>
      </w:pPr>
      <w:r>
        <w:rPr>
          <w:rFonts w:ascii="Times New Roman" w:hAnsi="Times New Roman"/>
          <w:b/>
          <w:noProof/>
          <w:lang w:val="lv-LV" w:eastAsia="lv-LV" w:bidi="lv-LV"/>
        </w:rPr>
        <w:t xml:space="preserve">Rādītāju kopsavilkuma mainīgie lielumi, kas attiecas uz 2017. gadu, norāda uz to, ka saglabājas krājumu nelīdzsvarotība, kas tomēr pakāpeniski samazinās. </w:t>
      </w:r>
      <w:r>
        <w:rPr>
          <w:rFonts w:ascii="Times New Roman" w:hAnsi="Times New Roman"/>
          <w:noProof/>
          <w:lang w:val="lv-LV" w:eastAsia="lv-LV" w:bidi="lv-LV"/>
        </w:rPr>
        <w:t>Valdības</w:t>
      </w:r>
      <w:r>
        <w:rPr>
          <w:rFonts w:ascii="Times New Roman" w:hAnsi="Times New Roman"/>
          <w:noProof/>
          <w:lang w:val="lv-LV" w:eastAsia="lv-LV" w:bidi="lv-LV"/>
        </w:rPr>
        <w:t xml:space="preserve"> parāda, neto starptautisko ieguldījumu pozīciju un privātā sektora parāda vērtības joprojām bieži pārsniedz BMZ rādītāju kopsavilkumā noteiktās robežvērtības (1. grafiks)</w:t>
      </w:r>
      <w:r>
        <w:rPr>
          <w:rFonts w:ascii="Times New Roman" w:hAnsi="Times New Roman"/>
          <w:noProof/>
          <w:vertAlign w:val="superscript"/>
          <w:lang w:val="lv-LV" w:eastAsia="lv-LV" w:bidi="lv-LV"/>
        </w:rPr>
        <w:footnoteReference w:id="14"/>
      </w:r>
      <w:r>
        <w:rPr>
          <w:rFonts w:ascii="Times New Roman" w:hAnsi="Times New Roman"/>
          <w:noProof/>
          <w:lang w:val="lv-LV" w:eastAsia="lv-LV" w:bidi="lv-LV"/>
        </w:rPr>
        <w:t>. To dalībvalstu skaits, kurās šie trīs rādītāji pārsniedz robežvērtības, ir nedaudz</w:t>
      </w:r>
      <w:r>
        <w:rPr>
          <w:rFonts w:ascii="Times New Roman" w:hAnsi="Times New Roman"/>
          <w:noProof/>
          <w:lang w:val="lv-LV" w:eastAsia="lv-LV" w:bidi="lv-LV"/>
        </w:rPr>
        <w:t xml:space="preserve"> zemāks par skaitu, kas reģistrēts iepriekšējos rādītāju kopsavilkumos, un tas apstiprina šo krājumu nelīdzsvarotības ilgstošo raksturu un to, ka korekcijas tiek veiktas tikai pakāpeniski. Lielākā daļa tekošā konta saldo gadījumu, kas pārsniedz robežvērtīb</w:t>
      </w:r>
      <w:r>
        <w:rPr>
          <w:rFonts w:ascii="Times New Roman" w:hAnsi="Times New Roman"/>
          <w:noProof/>
          <w:lang w:val="lv-LV" w:eastAsia="lv-LV" w:bidi="lv-LV"/>
        </w:rPr>
        <w:t>u, galvenokārt ir saistītas ar noturīgi lieliem pārpalikumiem; tādu vērtību biežuma pieaugums, kuras 2017. gadā pārsniedza robežvērtību, ir saistīts ar lielo deficītu lielāku skaitu. Pašreizējā nodarbinātības atveseļošanās izpaužas kā turpmāka ES valstu sk</w:t>
      </w:r>
      <w:r>
        <w:rPr>
          <w:rFonts w:ascii="Times New Roman" w:hAnsi="Times New Roman"/>
          <w:noProof/>
          <w:lang w:val="lv-LV" w:eastAsia="lv-LV" w:bidi="lv-LV"/>
        </w:rPr>
        <w:t xml:space="preserve">aita samazināšanās ar rezultātiem, kas pārsniedz bezdarba līmeņa robežvērtību, un vairāki samazinājumi attiecas uz jauniešu un ilgstošā bezdarba rādītājiem, ņemot vērā to, ka tie parasti ir vairāk sensitīvi pret situāciju darba tirgū. Neraugoties uz plaši </w:t>
      </w:r>
      <w:r>
        <w:rPr>
          <w:rFonts w:ascii="Times New Roman" w:hAnsi="Times New Roman"/>
          <w:noProof/>
          <w:lang w:val="lv-LV" w:eastAsia="lv-LV" w:bidi="lv-LV"/>
        </w:rPr>
        <w:t xml:space="preserve">izplatīto un stabilo mājokļu cenu atgūšanos visā Eiropā, rādītāju kopsavilkumā ir redzams, ka samazinās to dalībvalstu skaits, kuras šķērso mājokļu cenu pieauguma robežvērtību, jo dažas valstis, kurās rādītāji nedaudz pārsniedz robežvērtību, šajā laikā ir </w:t>
      </w:r>
      <w:r>
        <w:rPr>
          <w:rFonts w:ascii="Times New Roman" w:hAnsi="Times New Roman"/>
          <w:noProof/>
          <w:lang w:val="lv-LV" w:eastAsia="lv-LV" w:bidi="lv-LV"/>
        </w:rPr>
        <w:t xml:space="preserve">noslīdējušas zemāk par to. To valstu skaits, kurās vienības darbaspēka izmaksu pieaugums pārsniedz robežvērtību, ir visumā stabils, savukārt mazāks valstu skaits pārsniedz reālā efektīvā valūtas kursa robežvērtības, un tikai gadījumos, kad reālais valūtas </w:t>
      </w:r>
      <w:r>
        <w:rPr>
          <w:rFonts w:ascii="Times New Roman" w:hAnsi="Times New Roman"/>
          <w:noProof/>
          <w:lang w:val="lv-LV" w:eastAsia="lv-LV" w:bidi="lv-LV"/>
        </w:rPr>
        <w:t xml:space="preserve">kurss samazinās zem zemākas robežvērtības. Vēl vairāk samazinājās to dalībvalstu skaits, kuras reģistrējušas eksporta tirgus daļas zudumus, kuri pārsniedz robežvērtību. </w:t>
      </w:r>
    </w:p>
    <w:p w:rsidR="003D03E9" w:rsidRDefault="00F77AE9">
      <w:pPr>
        <w:keepNext/>
        <w:spacing w:before="120" w:after="120" w:line="240" w:lineRule="auto"/>
        <w:jc w:val="center"/>
        <w:rPr>
          <w:rFonts w:ascii="Times New Roman" w:eastAsia="MS Mincho" w:hAnsi="Times New Roman" w:cs="Times New Roman"/>
          <w:b/>
          <w:bCs/>
          <w:noProof/>
          <w:sz w:val="24"/>
          <w:szCs w:val="20"/>
          <w:lang w:val="lv-LV" w:eastAsia="lv-LV" w:bidi="lv-LV"/>
        </w:rPr>
      </w:pPr>
      <w:r>
        <w:rPr>
          <w:rFonts w:ascii="Times New Roman" w:eastAsia="MS Mincho" w:hAnsi="Times New Roman" w:cs="Times New Roman"/>
          <w:b/>
          <w:bCs/>
          <w:noProof/>
          <w:sz w:val="24"/>
          <w:szCs w:val="20"/>
          <w:lang w:val="lv-LV" w:eastAsia="lv-LV" w:bidi="lv-LV"/>
        </w:rPr>
        <w:lastRenderedPageBreak/>
        <w:fldChar w:fldCharType="begin" w:fldLock="1"/>
      </w:r>
      <w:r>
        <w:rPr>
          <w:rFonts w:ascii="Times New Roman" w:eastAsia="MS Mincho" w:hAnsi="Times New Roman" w:cs="Times New Roman"/>
          <w:b/>
          <w:bCs/>
          <w:noProof/>
          <w:sz w:val="24"/>
          <w:szCs w:val="20"/>
          <w:lang w:val="lv-LV" w:eastAsia="lv-LV" w:bidi="lv-LV"/>
        </w:rPr>
        <w:instrText xml:space="preserve"> SEQ Graph \* ARABIC </w:instrText>
      </w:r>
      <w:r>
        <w:rPr>
          <w:rFonts w:ascii="Times New Roman" w:eastAsia="MS Mincho" w:hAnsi="Times New Roman" w:cs="Times New Roman"/>
          <w:b/>
          <w:bCs/>
          <w:noProof/>
          <w:sz w:val="24"/>
          <w:szCs w:val="20"/>
          <w:lang w:val="lv-LV" w:eastAsia="lv-LV" w:bidi="lv-LV"/>
        </w:rPr>
        <w:fldChar w:fldCharType="separate"/>
      </w:r>
      <w:r>
        <w:rPr>
          <w:rFonts w:ascii="Times New Roman" w:eastAsia="MS Mincho" w:hAnsi="Times New Roman" w:cs="Times New Roman"/>
          <w:b/>
          <w:bCs/>
          <w:noProof/>
          <w:sz w:val="24"/>
          <w:szCs w:val="20"/>
          <w:lang w:val="lv-LV" w:eastAsia="lv-LV" w:bidi="lv-LV"/>
        </w:rPr>
        <w:t>1</w:t>
      </w:r>
      <w:r>
        <w:rPr>
          <w:rFonts w:ascii="Times New Roman" w:eastAsia="MS Mincho" w:hAnsi="Times New Roman" w:cs="Times New Roman"/>
          <w:b/>
          <w:bCs/>
          <w:noProof/>
          <w:sz w:val="24"/>
          <w:szCs w:val="20"/>
          <w:lang w:val="lv-LV" w:eastAsia="lv-LV" w:bidi="lv-LV"/>
        </w:rPr>
        <w:fldChar w:fldCharType="end"/>
      </w:r>
      <w:r>
        <w:rPr>
          <w:rFonts w:ascii="Times New Roman" w:hAnsi="Times New Roman"/>
          <w:b/>
          <w:noProof/>
          <w:sz w:val="24"/>
          <w:lang w:val="lv-LV" w:eastAsia="lv-LV" w:bidi="lv-LV"/>
        </w:rPr>
        <w:t xml:space="preserve"> grafiks. To valstu skaits, kurās rādītāju kopsavilkuma mainī</w:t>
      </w:r>
      <w:r>
        <w:rPr>
          <w:rFonts w:ascii="Times New Roman" w:hAnsi="Times New Roman"/>
          <w:b/>
          <w:noProof/>
          <w:sz w:val="24"/>
          <w:lang w:val="lv-LV" w:eastAsia="lv-LV" w:bidi="lv-LV"/>
        </w:rPr>
        <w:t>gie lielumi pārsniedz robežvērtības</w:t>
      </w:r>
    </w:p>
    <w:p w:rsidR="003D03E9" w:rsidRDefault="00F77AE9">
      <w:pPr>
        <w:keepNext/>
        <w:spacing w:before="120" w:after="120" w:line="240" w:lineRule="auto"/>
        <w:jc w:val="center"/>
        <w:rPr>
          <w:rFonts w:ascii="Times New Roman" w:eastAsia="MS Mincho" w:hAnsi="Times New Roman" w:cs="Times New Roman"/>
          <w:b/>
          <w:bCs/>
          <w:noProof/>
          <w:sz w:val="24"/>
          <w:szCs w:val="20"/>
          <w:lang w:val="lv-LV" w:eastAsia="lv-LV" w:bidi="lv-LV"/>
        </w:rPr>
      </w:pPr>
      <w:r>
        <w:rPr>
          <w:rFonts w:ascii="Times New Roman" w:eastAsia="MS Mincho" w:hAnsi="Times New Roman" w:cs="Times New Roman"/>
          <w:b/>
          <w:bCs/>
          <w:noProof/>
          <w:sz w:val="24"/>
          <w:szCs w:val="20"/>
          <w:lang w:eastAsia="en-GB"/>
        </w:rPr>
        <w:drawing>
          <wp:inline distT="0" distB="0" distL="0" distR="0">
            <wp:extent cx="5726002" cy="2736000"/>
            <wp:effectExtent l="0" t="0" r="8255"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6002" cy="2736000"/>
                    </a:xfrm>
                    <a:prstGeom prst="rect">
                      <a:avLst/>
                    </a:prstGeom>
                    <a:noFill/>
                  </pic:spPr>
                </pic:pic>
              </a:graphicData>
            </a:graphic>
          </wp:inline>
        </w:drawing>
      </w:r>
    </w:p>
    <w:p w:rsidR="003D03E9" w:rsidRDefault="00F77AE9">
      <w:pPr>
        <w:spacing w:before="120" w:after="0" w:line="240" w:lineRule="auto"/>
        <w:jc w:val="both"/>
        <w:rPr>
          <w:rFonts w:ascii="Times New Roman" w:eastAsia="Times New Roman" w:hAnsi="Times New Roman" w:cs="Times New Roman"/>
          <w:noProof/>
          <w:sz w:val="20"/>
          <w:szCs w:val="20"/>
          <w:lang w:val="lv-LV" w:eastAsia="lv-LV" w:bidi="lv-LV"/>
        </w:rPr>
      </w:pPr>
      <w:r>
        <w:rPr>
          <w:rFonts w:ascii="Times New Roman" w:hAnsi="Times New Roman"/>
          <w:i/>
          <w:noProof/>
          <w:sz w:val="20"/>
          <w:lang w:val="lv-LV" w:eastAsia="lv-LV" w:bidi="lv-LV"/>
        </w:rPr>
        <w:t>Avots:</w:t>
      </w:r>
      <w:r>
        <w:rPr>
          <w:rFonts w:ascii="Times New Roman" w:hAnsi="Times New Roman"/>
          <w:noProof/>
          <w:sz w:val="20"/>
          <w:lang w:val="lv-LV" w:eastAsia="lv-LV" w:bidi="lv-LV"/>
        </w:rPr>
        <w:t xml:space="preserve"> </w:t>
      </w:r>
      <w:r>
        <w:rPr>
          <w:rFonts w:ascii="Times New Roman" w:hAnsi="Times New Roman"/>
          <w:i/>
          <w:noProof/>
          <w:sz w:val="20"/>
          <w:lang w:val="lv-LV" w:eastAsia="lv-LV" w:bidi="lv-LV"/>
        </w:rPr>
        <w:t>Eurostat</w:t>
      </w:r>
      <w:r>
        <w:rPr>
          <w:rFonts w:ascii="Times New Roman" w:hAnsi="Times New Roman"/>
          <w:noProof/>
          <w:sz w:val="20"/>
          <w:lang w:val="lv-LV" w:eastAsia="lv-LV" w:bidi="lv-LV"/>
        </w:rPr>
        <w:t>.</w:t>
      </w:r>
    </w:p>
    <w:p w:rsidR="003D03E9" w:rsidRDefault="00F77AE9">
      <w:pPr>
        <w:spacing w:after="0" w:line="240" w:lineRule="auto"/>
        <w:jc w:val="both"/>
        <w:rPr>
          <w:rFonts w:ascii="Times New Roman" w:eastAsia="Times New Roman" w:hAnsi="Times New Roman" w:cs="Times New Roman"/>
          <w:noProof/>
          <w:sz w:val="20"/>
          <w:szCs w:val="20"/>
          <w:lang w:val="lv-LV" w:eastAsia="lv-LV" w:bidi="lv-LV"/>
        </w:rPr>
      </w:pPr>
      <w:r>
        <w:rPr>
          <w:rFonts w:ascii="Times New Roman" w:hAnsi="Times New Roman"/>
          <w:i/>
          <w:noProof/>
          <w:sz w:val="20"/>
          <w:lang w:val="lv-LV" w:eastAsia="lv-LV" w:bidi="lv-LV"/>
        </w:rPr>
        <w:t xml:space="preserve">Piezīme: </w:t>
      </w:r>
      <w:r>
        <w:rPr>
          <w:rFonts w:ascii="Times New Roman" w:hAnsi="Times New Roman"/>
          <w:noProof/>
          <w:sz w:val="20"/>
          <w:lang w:val="lv-LV" w:eastAsia="lv-LV" w:bidi="lv-LV"/>
        </w:rPr>
        <w:t>to valstu skaits, kurās rādītāju kopsavilkuma mainīgie lielumi pārsniedz robežvērtības, atspoguļo situāciju datumā, kad tiek publicēts attiecīgā gada BMZ iekļautais rādītāju kopsavilkums. Robežvērtības pārsniedzošo vērtību skaits, kas aprēķināts, izmantojo</w:t>
      </w:r>
      <w:r>
        <w:rPr>
          <w:rFonts w:ascii="Times New Roman" w:hAnsi="Times New Roman"/>
          <w:noProof/>
          <w:sz w:val="20"/>
          <w:lang w:val="lv-LV" w:eastAsia="lv-LV" w:bidi="lv-LV"/>
        </w:rPr>
        <w:t xml:space="preserve">t jaunākos pieejamos skaitļus par kopsavilkuma mainīgajiem lielumiem, var atšķirties no grafikā norādītā skaita datu iespējamas </w:t>
      </w:r>
      <w:r>
        <w:rPr>
          <w:rFonts w:ascii="Times New Roman" w:hAnsi="Times New Roman"/>
          <w:i/>
          <w:noProof/>
          <w:sz w:val="20"/>
          <w:lang w:val="lv-LV" w:eastAsia="lv-LV" w:bidi="lv-LV"/>
        </w:rPr>
        <w:t>ex post</w:t>
      </w:r>
      <w:r>
        <w:rPr>
          <w:rFonts w:ascii="Times New Roman" w:hAnsi="Times New Roman"/>
          <w:noProof/>
          <w:sz w:val="20"/>
          <w:lang w:val="lv-LV" w:eastAsia="lv-LV" w:bidi="lv-LV"/>
        </w:rPr>
        <w:t xml:space="preserve"> pārskatīšanas rezultātā.</w:t>
      </w:r>
    </w:p>
    <w:p w:rsidR="003D03E9" w:rsidRDefault="003D03E9">
      <w:pPr>
        <w:spacing w:after="0" w:line="240" w:lineRule="auto"/>
        <w:jc w:val="both"/>
        <w:rPr>
          <w:rFonts w:ascii="Times New Roman" w:eastAsia="Times New Roman" w:hAnsi="Times New Roman" w:cs="Times New Roman"/>
          <w:noProof/>
          <w:szCs w:val="24"/>
          <w:lang w:val="lv-LV" w:eastAsia="lv-LV" w:bidi="lv-LV"/>
        </w:rPr>
      </w:pPr>
    </w:p>
    <w:p w:rsidR="003D03E9" w:rsidRDefault="003D03E9">
      <w:pPr>
        <w:spacing w:after="0" w:line="240" w:lineRule="auto"/>
        <w:jc w:val="both"/>
        <w:rPr>
          <w:rFonts w:ascii="Times New Roman" w:eastAsia="Times New Roman" w:hAnsi="Times New Roman" w:cs="Times New Roman"/>
          <w:noProof/>
          <w:szCs w:val="24"/>
          <w:lang w:val="lv-LV" w:eastAsia="lv-LV" w:bidi="lv-LV"/>
        </w:rPr>
      </w:pPr>
    </w:p>
    <w:p w:rsidR="003D03E9" w:rsidRDefault="00F77AE9">
      <w:pPr>
        <w:spacing w:before="120" w:after="120"/>
        <w:jc w:val="both"/>
        <w:rPr>
          <w:rFonts w:ascii="Times New Roman" w:eastAsia="Times New Roman" w:hAnsi="Times New Roman" w:cs="Times New Roman"/>
          <w:noProof/>
          <w:lang w:val="lv-LV" w:eastAsia="lv-LV" w:bidi="lv-LV"/>
        </w:rPr>
      </w:pPr>
      <w:r>
        <w:rPr>
          <w:rFonts w:ascii="Times New Roman" w:hAnsi="Times New Roman"/>
          <w:b/>
          <w:noProof/>
          <w:lang w:val="lv-LV" w:eastAsia="lv-LV" w:bidi="lv-LV"/>
        </w:rPr>
        <w:t>Lielākajā daļā ES valstu tekošais konts joprojām ir līdzsvarā vai uzrāda pārpalikumu, un dažā</w:t>
      </w:r>
      <w:r>
        <w:rPr>
          <w:rFonts w:ascii="Times New Roman" w:hAnsi="Times New Roman"/>
          <w:b/>
          <w:noProof/>
          <w:lang w:val="lv-LV" w:eastAsia="lv-LV" w:bidi="lv-LV"/>
        </w:rPr>
        <w:t>s valstīs joprojām ir liels tekošā konta pārpalikums, kas, labākajā gadījumā, nedaudz samazinās.</w:t>
      </w:r>
      <w:r>
        <w:rPr>
          <w:rFonts w:ascii="Times New Roman" w:hAnsi="Times New Roman"/>
          <w:noProof/>
          <w:lang w:val="lv-LV" w:eastAsia="lv-LV" w:bidi="lv-LV"/>
        </w:rPr>
        <w:t xml:space="preserve"> Kopumā nesenās izmaiņas tekošā konta saldo ir bijušas ierobežotas (</w:t>
      </w:r>
      <w:r>
        <w:rPr>
          <w:rFonts w:ascii="Times New Roman" w:eastAsia="Times New Roman" w:hAnsi="Times New Roman" w:cs="Times New Roman"/>
          <w:noProof/>
          <w:lang w:val="lv-LV" w:eastAsia="lv-LV" w:bidi="lv-LV"/>
        </w:rPr>
        <w:fldChar w:fldCharType="begin" w:fldLock="1"/>
      </w:r>
      <w:r>
        <w:rPr>
          <w:rFonts w:ascii="Times New Roman" w:eastAsia="Times New Roman" w:hAnsi="Times New Roman" w:cs="Times New Roman"/>
          <w:noProof/>
          <w:lang w:val="lv-LV" w:eastAsia="lv-LV" w:bidi="lv-LV"/>
        </w:rPr>
        <w:instrText xml:space="preserve"> REF _Ref525667599 \h  \* MERGEFORMAT </w:instrText>
      </w:r>
      <w:r>
        <w:rPr>
          <w:rFonts w:ascii="Times New Roman" w:eastAsia="Times New Roman" w:hAnsi="Times New Roman" w:cs="Times New Roman"/>
          <w:noProof/>
          <w:lang w:val="lv-LV" w:eastAsia="lv-LV" w:bidi="lv-LV"/>
        </w:rPr>
      </w:r>
      <w:r>
        <w:rPr>
          <w:rFonts w:ascii="Times New Roman" w:eastAsia="Times New Roman" w:hAnsi="Times New Roman" w:cs="Times New Roman"/>
          <w:noProof/>
          <w:lang w:val="lv-LV" w:eastAsia="lv-LV" w:bidi="lv-LV"/>
        </w:rPr>
        <w:fldChar w:fldCharType="separate"/>
      </w:r>
      <w:r>
        <w:rPr>
          <w:rFonts w:ascii="Times New Roman" w:eastAsia="Times New Roman" w:hAnsi="Times New Roman" w:cs="Times New Roman"/>
          <w:noProof/>
          <w:lang w:val="lv-LV" w:eastAsia="lv-LV" w:bidi="lv-LV"/>
        </w:rPr>
        <w:t>Graph 3</w:t>
      </w:r>
      <w:r>
        <w:rPr>
          <w:rFonts w:ascii="Times New Roman" w:eastAsia="Times New Roman" w:hAnsi="Times New Roman" w:cs="Times New Roman"/>
          <w:noProof/>
          <w:lang w:val="lv-LV" w:eastAsia="lv-LV" w:bidi="lv-LV"/>
        </w:rPr>
        <w:fldChar w:fldCharType="end"/>
      </w:r>
      <w:r>
        <w:rPr>
          <w:rFonts w:ascii="Times New Roman" w:hAnsi="Times New Roman"/>
          <w:noProof/>
          <w:lang w:val="lv-LV" w:eastAsia="lv-LV" w:bidi="lv-LV"/>
        </w:rPr>
        <w:t>. grafiks). Lielākā daļa lielo un neilgtspējīgo tekošā konta deficīta vērtību jau ir koriģētas desmitgades pirmajos gados, un ir panākti pārpalikumi vai līdzsvarotas pozīcijas, kas ir saglabāt</w:t>
      </w:r>
      <w:r>
        <w:rPr>
          <w:rFonts w:ascii="Times New Roman" w:hAnsi="Times New Roman"/>
          <w:noProof/>
          <w:lang w:val="lv-LV" w:eastAsia="lv-LV" w:bidi="lv-LV"/>
        </w:rPr>
        <w:t>as un pēdējos gados bieži vien nedaudz palielinājušās. Lielās pārpalikuma vērtības neto kreditorvalstīs kopumā saglabājušās un nav mainījušās vai ir pat palielinājušās. Tekošā konta saldo tikai nedaudz ietekmē cikliskie faktori: starpība starp faktiskajiem</w:t>
      </w:r>
      <w:r>
        <w:rPr>
          <w:rFonts w:ascii="Times New Roman" w:hAnsi="Times New Roman"/>
          <w:noProof/>
          <w:lang w:val="lv-LV" w:eastAsia="lv-LV" w:bidi="lv-LV"/>
        </w:rPr>
        <w:t xml:space="preserve"> un cikliski koriģētajiem tekošajiem kontiem kopumā ir neliela un samazinās situācijā, kad samazinās izlaides starpības (2. grafiks)</w:t>
      </w:r>
      <w:r>
        <w:rPr>
          <w:noProof/>
          <w:vertAlign w:val="superscript"/>
          <w:lang w:val="lv-LV" w:eastAsia="lv-LV" w:bidi="lv-LV"/>
        </w:rPr>
        <w:footnoteReference w:id="15"/>
      </w:r>
      <w:r>
        <w:rPr>
          <w:rFonts w:ascii="Times New Roman" w:hAnsi="Times New Roman"/>
          <w:noProof/>
          <w:lang w:val="lv-LV" w:eastAsia="lv-LV" w:bidi="lv-LV"/>
        </w:rPr>
        <w:t>.</w:t>
      </w:r>
      <w:r>
        <w:rPr>
          <w:noProof/>
          <w:lang w:val="lv-LV" w:eastAsia="lv-LV" w:bidi="lv-LV"/>
        </w:rPr>
        <w:t xml:space="preserve"> </w:t>
      </w:r>
      <w:r>
        <w:rPr>
          <w:rFonts w:ascii="Times New Roman" w:hAnsi="Times New Roman"/>
          <w:noProof/>
          <w:lang w:val="lv-LV" w:eastAsia="lv-LV" w:bidi="lv-LV"/>
        </w:rPr>
        <w:t xml:space="preserve">Lielākajā daļā ES valstu jaunākie tekošā konta rezultāti pārsniedz to, ko varētu gaidīt, pamatojoties uz pamatrādītājiem </w:t>
      </w:r>
      <w:r>
        <w:rPr>
          <w:rFonts w:ascii="Times New Roman" w:hAnsi="Times New Roman"/>
          <w:noProof/>
          <w:lang w:val="lv-LV" w:eastAsia="lv-LV" w:bidi="lv-LV"/>
        </w:rPr>
        <w:t>(piemēram, pamatrādītāji par novecošanu un ienākumiem uz vienu iedzīvotāju)</w:t>
      </w:r>
      <w:r>
        <w:rPr>
          <w:rFonts w:ascii="Times New Roman" w:hAnsi="Times New Roman"/>
          <w:noProof/>
          <w:vertAlign w:val="superscript"/>
          <w:lang w:val="lv-LV" w:eastAsia="lv-LV" w:bidi="lv-LV"/>
        </w:rPr>
        <w:footnoteReference w:id="16"/>
      </w:r>
      <w:r>
        <w:rPr>
          <w:rFonts w:ascii="Times New Roman" w:hAnsi="Times New Roman"/>
          <w:noProof/>
          <w:lang w:val="lv-LV" w:eastAsia="lv-LV" w:bidi="lv-LV"/>
        </w:rPr>
        <w:t xml:space="preserve">. Tomēr dažos gadījumos nesenie rezultāti var </w:t>
      </w:r>
      <w:r>
        <w:rPr>
          <w:rFonts w:ascii="Times New Roman" w:hAnsi="Times New Roman"/>
          <w:noProof/>
          <w:lang w:val="lv-LV" w:eastAsia="lv-LV" w:bidi="lv-LV"/>
        </w:rPr>
        <w:lastRenderedPageBreak/>
        <w:t>nebūt pietiekami, lai vajadzīgajā tempā samazinātu neto ārvalstu saistību krājumu. Kopumā līdzsvarotās tekošā konta pozīcijas 2017. ga</w:t>
      </w:r>
      <w:r>
        <w:rPr>
          <w:rFonts w:ascii="Times New Roman" w:hAnsi="Times New Roman"/>
          <w:noProof/>
          <w:lang w:val="lv-LV" w:eastAsia="lv-LV" w:bidi="lv-LV"/>
        </w:rPr>
        <w:t>dā bija mazākas nekā pirms cikliskiem apstākļiem, jo negatīvās izlaides starpības dalībvalstīs samazinās vai kļūst pozitīvas. Naftas cenu kāpuma dēļ enerģijas bilances attīstība kopumā ir atsaistījusies no kopējās bilances gandrīz visur, bet bieži vien tik</w:t>
      </w:r>
      <w:r>
        <w:rPr>
          <w:rFonts w:ascii="Times New Roman" w:hAnsi="Times New Roman"/>
          <w:noProof/>
          <w:lang w:val="lv-LV" w:eastAsia="lv-LV" w:bidi="lv-LV"/>
        </w:rPr>
        <w:t>ai nedaudz (datus par enerģijas bilanci skatīt 2.1. tabulā pielikumā).</w:t>
      </w:r>
    </w:p>
    <w:p w:rsidR="003D03E9" w:rsidRDefault="00F77AE9">
      <w:pPr>
        <w:numPr>
          <w:ilvl w:val="0"/>
          <w:numId w:val="8"/>
        </w:numPr>
        <w:spacing w:before="120" w:after="120"/>
        <w:ind w:left="567" w:hanging="425"/>
        <w:jc w:val="both"/>
        <w:rPr>
          <w:rFonts w:ascii="Times New Roman" w:eastAsia="Times New Roman" w:hAnsi="Times New Roman" w:cs="Times New Roman"/>
          <w:noProof/>
          <w:lang w:val="lv-LV" w:eastAsia="lv-LV" w:bidi="lv-LV"/>
        </w:rPr>
      </w:pPr>
      <w:r>
        <w:rPr>
          <w:b/>
          <w:noProof/>
          <w:lang w:val="lv-LV" w:eastAsia="lv-LV" w:bidi="lv-LV"/>
        </w:rPr>
        <w:t>Kipra ir dalībvalsts, kurā reģistrēts lielākais tekošā konta deficīts, kas pārsniedz BMZ robežvērtību</w:t>
      </w:r>
      <w:r>
        <w:rPr>
          <w:noProof/>
          <w:lang w:val="lv-LV" w:eastAsia="lv-LV" w:bidi="lv-LV"/>
        </w:rPr>
        <w:t xml:space="preserve"> (pamatojoties uz trīs gadu vidējo rādītāju līdz 2017. gadam).</w:t>
      </w:r>
      <w:r>
        <w:rPr>
          <w:rFonts w:ascii="Times New Roman" w:hAnsi="Times New Roman"/>
          <w:noProof/>
          <w:lang w:val="lv-LV" w:eastAsia="lv-LV" w:bidi="lv-LV"/>
        </w:rPr>
        <w:t xml:space="preserve"> Gada datu rādījumi pē</w:t>
      </w:r>
      <w:r>
        <w:rPr>
          <w:rFonts w:ascii="Times New Roman" w:hAnsi="Times New Roman"/>
          <w:noProof/>
          <w:lang w:val="lv-LV" w:eastAsia="lv-LV" w:bidi="lv-LV"/>
        </w:rPr>
        <w:t xml:space="preserve">dējos gados ir pasliktinājušies tikai Kiprai. Rezultāti ir </w:t>
      </w:r>
      <w:r>
        <w:rPr>
          <w:rFonts w:ascii="Times New Roman" w:hAnsi="Times New Roman"/>
          <w:b/>
          <w:noProof/>
          <w:lang w:val="lv-LV" w:eastAsia="lv-LV" w:bidi="lv-LV"/>
        </w:rPr>
        <w:t xml:space="preserve">zemāki par tādiem, uz kuriem varētu uzvedināt pamatrādītāji un kuri nepieciešami, lai atbilstošā tempā uzlabotu </w:t>
      </w:r>
      <w:r>
        <w:rPr>
          <w:rFonts w:ascii="Times New Roman" w:hAnsi="Times New Roman"/>
          <w:b/>
          <w:i/>
          <w:noProof/>
          <w:lang w:val="lv-LV" w:eastAsia="lv-LV" w:bidi="lv-LV"/>
        </w:rPr>
        <w:t>NIIP</w:t>
      </w:r>
      <w:r>
        <w:rPr>
          <w:rFonts w:ascii="Times New Roman" w:hAnsi="Times New Roman"/>
          <w:noProof/>
          <w:lang w:val="lv-LV" w:eastAsia="lv-LV" w:bidi="lv-LV"/>
        </w:rPr>
        <w:t>, un tekošā konta stāvokļa pasliktināšanos 2017. gadā nevar pamatot ar cikla iete</w:t>
      </w:r>
      <w:r>
        <w:rPr>
          <w:rFonts w:ascii="Times New Roman" w:hAnsi="Times New Roman"/>
          <w:noProof/>
          <w:lang w:val="lv-LV" w:eastAsia="lv-LV" w:bidi="lv-LV"/>
        </w:rPr>
        <w:t>kmi. Ārpus eurozonas — Apvienotās Karalistes tekošais konts ir zem MNNP rādītāju kopsavilkuma robežvērtības.</w:t>
      </w:r>
    </w:p>
    <w:p w:rsidR="003D03E9" w:rsidRDefault="00F77AE9">
      <w:pPr>
        <w:numPr>
          <w:ilvl w:val="0"/>
          <w:numId w:val="8"/>
        </w:numPr>
        <w:spacing w:before="120" w:after="120"/>
        <w:ind w:left="567" w:hanging="425"/>
        <w:jc w:val="both"/>
        <w:rPr>
          <w:rFonts w:ascii="Times New Roman" w:eastAsia="Times New Roman" w:hAnsi="Times New Roman" w:cs="Times New Roman"/>
          <w:noProof/>
          <w:lang w:val="lv-LV" w:eastAsia="lv-LV" w:bidi="lv-LV"/>
        </w:rPr>
      </w:pPr>
      <w:r>
        <w:rPr>
          <w:rFonts w:ascii="Times New Roman" w:hAnsi="Times New Roman"/>
          <w:noProof/>
          <w:lang w:val="lv-LV" w:eastAsia="lv-LV" w:bidi="lv-LV"/>
        </w:rPr>
        <w:t xml:space="preserve">2017. gadā tikai </w:t>
      </w:r>
      <w:r>
        <w:rPr>
          <w:rFonts w:ascii="Times New Roman" w:hAnsi="Times New Roman"/>
          <w:b/>
          <w:noProof/>
          <w:lang w:val="lv-LV" w:eastAsia="lv-LV" w:bidi="lv-LV"/>
        </w:rPr>
        <w:t>piecās citās dalībvalstīs bija reģistrēts tekošā konta deficīts</w:t>
      </w:r>
      <w:r>
        <w:rPr>
          <w:rFonts w:ascii="Times New Roman" w:hAnsi="Times New Roman"/>
          <w:noProof/>
          <w:lang w:val="lv-LV" w:eastAsia="lv-LV" w:bidi="lv-LV"/>
        </w:rPr>
        <w:t>: Francijā, Grieķijā, Rumānijā, Slovākijā un Somijā, un tikai Rumān</w:t>
      </w:r>
      <w:r>
        <w:rPr>
          <w:rFonts w:ascii="Times New Roman" w:hAnsi="Times New Roman"/>
          <w:noProof/>
          <w:lang w:val="lv-LV" w:eastAsia="lv-LV" w:bidi="lv-LV"/>
        </w:rPr>
        <w:t xml:space="preserve">ijā un Slovākijā minētā vērtība ir sliktāka par 1 % no IKP. </w:t>
      </w:r>
      <w:r>
        <w:rPr>
          <w:rFonts w:ascii="Times New Roman" w:hAnsi="Times New Roman"/>
          <w:b/>
          <w:noProof/>
          <w:lang w:val="lv-LV" w:eastAsia="lv-LV" w:bidi="lv-LV"/>
        </w:rPr>
        <w:t>Rumānijā reģistrēta</w:t>
      </w:r>
      <w:r>
        <w:rPr>
          <w:rFonts w:ascii="Times New Roman" w:hAnsi="Times New Roman"/>
          <w:noProof/>
          <w:lang w:val="lv-LV" w:eastAsia="lv-LV" w:bidi="lv-LV"/>
        </w:rPr>
        <w:t xml:space="preserve"> tekošā konta deficīta </w:t>
      </w:r>
      <w:r>
        <w:rPr>
          <w:rFonts w:ascii="Times New Roman" w:hAnsi="Times New Roman"/>
          <w:b/>
          <w:noProof/>
          <w:lang w:val="lv-LV" w:eastAsia="lv-LV" w:bidi="lv-LV"/>
        </w:rPr>
        <w:t xml:space="preserve">pasliktināšanās </w:t>
      </w:r>
      <w:r>
        <w:rPr>
          <w:rFonts w:ascii="Times New Roman" w:hAnsi="Times New Roman"/>
          <w:noProof/>
          <w:lang w:val="lv-LV" w:eastAsia="lv-LV" w:bidi="lv-LV"/>
        </w:rPr>
        <w:t xml:space="preserve">ar rezultātu, kas acīmredzami atpaliek no 2017. gada pamatrādītājiem. </w:t>
      </w:r>
      <w:r>
        <w:rPr>
          <w:rFonts w:ascii="Times New Roman" w:hAnsi="Times New Roman"/>
          <w:b/>
          <w:noProof/>
          <w:lang w:val="lv-LV" w:eastAsia="lv-LV" w:bidi="lv-LV"/>
        </w:rPr>
        <w:t>Grieķija izceļas ar negatīvas izlaides starpības lielo īpatsvaru</w:t>
      </w:r>
      <w:r>
        <w:rPr>
          <w:rFonts w:ascii="Times New Roman" w:hAnsi="Times New Roman"/>
          <w:noProof/>
          <w:lang w:val="lv-LV" w:eastAsia="lv-LV" w:bidi="lv-LV"/>
        </w:rPr>
        <w:t xml:space="preserve"> zem</w:t>
      </w:r>
      <w:r>
        <w:rPr>
          <w:rFonts w:ascii="Times New Roman" w:hAnsi="Times New Roman"/>
          <w:noProof/>
          <w:lang w:val="lv-LV" w:eastAsia="lv-LV" w:bidi="lv-LV"/>
        </w:rPr>
        <w:t xml:space="preserve">ajā nominālajā tekošā konta deficītā; izlīdzinot ciklu, tekošais konts acīmredzami ir zem līmeņa, kas nepieciešams, lai ātrā tempā samazinātu </w:t>
      </w:r>
      <w:r>
        <w:rPr>
          <w:rFonts w:ascii="Times New Roman" w:hAnsi="Times New Roman"/>
          <w:i/>
          <w:noProof/>
          <w:lang w:val="lv-LV" w:eastAsia="lv-LV" w:bidi="lv-LV"/>
        </w:rPr>
        <w:t>NIIP</w:t>
      </w:r>
      <w:r>
        <w:rPr>
          <w:rFonts w:ascii="Times New Roman" w:hAnsi="Times New Roman"/>
          <w:noProof/>
          <w:lang w:val="lv-LV" w:eastAsia="lv-LV" w:bidi="lv-LV"/>
        </w:rPr>
        <w:t xml:space="preserve"> un zem tekošā konta normas. </w:t>
      </w:r>
    </w:p>
    <w:p w:rsidR="003D03E9" w:rsidRDefault="00F77AE9">
      <w:pPr>
        <w:numPr>
          <w:ilvl w:val="0"/>
          <w:numId w:val="8"/>
        </w:numPr>
        <w:spacing w:before="120" w:after="120"/>
        <w:ind w:left="567" w:hanging="425"/>
        <w:jc w:val="both"/>
        <w:rPr>
          <w:rFonts w:ascii="Times New Roman" w:eastAsia="Times New Roman" w:hAnsi="Times New Roman" w:cs="Times New Roman"/>
          <w:noProof/>
          <w:lang w:val="lv-LV" w:eastAsia="lv-LV" w:bidi="lv-LV"/>
        </w:rPr>
      </w:pPr>
      <w:r>
        <w:rPr>
          <w:noProof/>
          <w:lang w:val="lv-LV" w:eastAsia="lv-LV" w:bidi="lv-LV"/>
        </w:rPr>
        <w:t xml:space="preserve">Valstīm ar lielām negatīvām </w:t>
      </w:r>
      <w:r>
        <w:rPr>
          <w:i/>
          <w:noProof/>
          <w:lang w:val="lv-LV" w:eastAsia="lv-LV" w:bidi="lv-LV"/>
        </w:rPr>
        <w:t>NIIP</w:t>
      </w:r>
      <w:r>
        <w:rPr>
          <w:noProof/>
          <w:lang w:val="lv-LV" w:eastAsia="lv-LV" w:bidi="lv-LV"/>
        </w:rPr>
        <w:t xml:space="preserve">, piemēram, Portugālei un Spānijai, tekošā konta rezultāti pārsniedz to, kas varētu būt sagaidāms, balstoties uz pamatrādītājiem, bet Portugāles gadījumā tie nav pietiekami, lai nodrošinātu </w:t>
      </w:r>
      <w:r>
        <w:rPr>
          <w:i/>
          <w:noProof/>
          <w:lang w:val="lv-LV" w:eastAsia="lv-LV" w:bidi="lv-LV"/>
        </w:rPr>
        <w:t>NIIP</w:t>
      </w:r>
      <w:r>
        <w:rPr>
          <w:noProof/>
          <w:lang w:val="lv-LV" w:eastAsia="lv-LV" w:bidi="lv-LV"/>
        </w:rPr>
        <w:t xml:space="preserve"> uzlabošanos atbilstošā tempā.</w:t>
      </w:r>
      <w:r>
        <w:rPr>
          <w:rFonts w:ascii="Times New Roman" w:hAnsi="Times New Roman"/>
          <w:noProof/>
          <w:lang w:val="lv-LV" w:eastAsia="lv-LV" w:bidi="lv-LV"/>
        </w:rPr>
        <w:t xml:space="preserve"> Horvātijā reģistrēts pārpalikum</w:t>
      </w:r>
      <w:r>
        <w:rPr>
          <w:rFonts w:ascii="Times New Roman" w:hAnsi="Times New Roman"/>
          <w:noProof/>
          <w:lang w:val="lv-LV" w:eastAsia="lv-LV" w:bidi="lv-LV"/>
        </w:rPr>
        <w:t xml:space="preserve">s, kas apmierinošā tempā sekmē </w:t>
      </w:r>
      <w:r>
        <w:rPr>
          <w:rFonts w:ascii="Times New Roman" w:hAnsi="Times New Roman"/>
          <w:i/>
          <w:noProof/>
          <w:lang w:val="lv-LV" w:eastAsia="lv-LV" w:bidi="lv-LV"/>
        </w:rPr>
        <w:t>NIIP</w:t>
      </w:r>
      <w:r>
        <w:rPr>
          <w:rFonts w:ascii="Times New Roman" w:hAnsi="Times New Roman"/>
          <w:noProof/>
          <w:lang w:val="lv-LV" w:eastAsia="lv-LV" w:bidi="lv-LV"/>
        </w:rPr>
        <w:t xml:space="preserve"> samazinājumu. Pēc nesenas būtiskas lejupvērstas korekcijas Īrijā pēc deficīta 2016. gadā 2017. gadā reģistrēts liels tekošā konta pārpalikums. Īrijas gadījumā tekošā konta rādītājus ievērojami ietekmē pārrobežu darījumi,</w:t>
      </w:r>
      <w:r>
        <w:rPr>
          <w:rFonts w:ascii="Times New Roman" w:hAnsi="Times New Roman"/>
          <w:noProof/>
          <w:lang w:val="lv-LV" w:eastAsia="lv-LV" w:bidi="lv-LV"/>
        </w:rPr>
        <w:t xml:space="preserve"> kas saistīti ar starptautisku uzņēmumu darbībām.</w:t>
      </w:r>
    </w:p>
    <w:p w:rsidR="003D03E9" w:rsidRDefault="00F77AE9">
      <w:pPr>
        <w:numPr>
          <w:ilvl w:val="0"/>
          <w:numId w:val="8"/>
        </w:numPr>
        <w:spacing w:before="120" w:after="120"/>
        <w:ind w:left="567" w:hanging="425"/>
        <w:jc w:val="both"/>
        <w:rPr>
          <w:rFonts w:ascii="Times New Roman" w:eastAsia="Times New Roman" w:hAnsi="Times New Roman" w:cs="Times New Roman"/>
          <w:noProof/>
          <w:lang w:val="lv-LV" w:eastAsia="lv-LV" w:bidi="lv-LV"/>
        </w:rPr>
      </w:pPr>
      <w:r>
        <w:rPr>
          <w:b/>
          <w:noProof/>
          <w:lang w:val="lv-LV" w:eastAsia="lv-LV" w:bidi="lv-LV"/>
        </w:rPr>
        <w:t>Četras ES valstis pašlaik pārsniedz MNNP rādītāju kopsavilkuma robežvērtību attiecībā uz pārpalikumu</w:t>
      </w:r>
      <w:r>
        <w:rPr>
          <w:noProof/>
          <w:lang w:val="lv-LV" w:eastAsia="lv-LV" w:bidi="lv-LV"/>
        </w:rPr>
        <w:t>.</w:t>
      </w:r>
      <w:r>
        <w:rPr>
          <w:rFonts w:ascii="Times New Roman" w:hAnsi="Times New Roman"/>
          <w:noProof/>
          <w:lang w:val="lv-LV" w:eastAsia="lv-LV" w:bidi="lv-LV"/>
        </w:rPr>
        <w:t xml:space="preserve"> Vērtības virs robežvērtības jau vairākus gadus novērotas Dānijā, Nīderlandē un Vācijā un pēdējā laikā Ma</w:t>
      </w:r>
      <w:r>
        <w:rPr>
          <w:rFonts w:ascii="Times New Roman" w:hAnsi="Times New Roman"/>
          <w:noProof/>
          <w:lang w:val="lv-LV" w:eastAsia="lv-LV" w:bidi="lv-LV"/>
        </w:rPr>
        <w:t xml:space="preserve">ltā. 2017. gadā Vācijas pārpalikums samazinājās par 0,5 % no IKP, bet pārpalikums Nīderlandē palielinājās par 2,5 % no IKP. Visos šajos četros gadījumos šie pārpalikumi ievērojami </w:t>
      </w:r>
      <w:r>
        <w:rPr>
          <w:rFonts w:ascii="Times New Roman" w:hAnsi="Times New Roman"/>
          <w:b/>
          <w:noProof/>
          <w:lang w:val="lv-LV" w:eastAsia="lv-LV" w:bidi="lv-LV"/>
        </w:rPr>
        <w:t xml:space="preserve">pārsniedz to, ko var izskaidrot ar pamatrādītājiem </w:t>
      </w:r>
      <w:r>
        <w:rPr>
          <w:rFonts w:ascii="Times New Roman" w:hAnsi="Times New Roman"/>
          <w:noProof/>
          <w:lang w:val="lv-LV" w:eastAsia="lv-LV" w:bidi="lv-LV"/>
        </w:rPr>
        <w:t>(vienmēr vismaz par 5 pro</w:t>
      </w:r>
      <w:r>
        <w:rPr>
          <w:rFonts w:ascii="Times New Roman" w:hAnsi="Times New Roman"/>
          <w:noProof/>
          <w:lang w:val="lv-LV" w:eastAsia="lv-LV" w:bidi="lv-LV"/>
        </w:rPr>
        <w:t>centpunktiem no IKP). Pārpalikuma dinamiku Nīderlandē un Maltā būtiski ietekmēja pārrobežu darījumi, kas saistīti ar starptautisku uzņēmumu darbībām un starptautiski orientētām pakalpojumu nozarēm, un tie ietekmē gan tirdzniecības, gan ienākumu saldo. Vair</w:t>
      </w:r>
      <w:r>
        <w:rPr>
          <w:rFonts w:ascii="Times New Roman" w:hAnsi="Times New Roman"/>
          <w:noProof/>
          <w:lang w:val="lv-LV" w:eastAsia="lv-LV" w:bidi="lv-LV"/>
        </w:rPr>
        <w:t>ākās citās valstīs jau vairākus gadus reģistrēts tekošā konta pārpalikums, lai arī tas ir zemāks par robežvērtību — tā tas ir arī lielu eurozonas valstu gadījumā, īpaši Itālijas gadījumā (skatīt arī 2. izcēlumu sīkākai informācijai par eurozonas tekošā kon</w:t>
      </w:r>
      <w:r>
        <w:rPr>
          <w:rFonts w:ascii="Times New Roman" w:hAnsi="Times New Roman"/>
          <w:noProof/>
          <w:lang w:val="lv-LV" w:eastAsia="lv-LV" w:bidi="lv-LV"/>
        </w:rPr>
        <w:t>ta pārpalikumu).</w:t>
      </w:r>
    </w:p>
    <w:p w:rsidR="003D03E9" w:rsidRDefault="00F77AE9">
      <w:pPr>
        <w:rPr>
          <w:rFonts w:ascii="Times New Roman" w:eastAsia="MS Mincho" w:hAnsi="Times New Roman" w:cs="Times New Roman"/>
          <w:b/>
          <w:bCs/>
          <w:noProof/>
          <w:lang w:val="lv-LV" w:eastAsia="lv-LV" w:bidi="lv-LV"/>
        </w:rPr>
      </w:pPr>
      <w:r>
        <w:rPr>
          <w:noProof/>
          <w:lang w:val="lv-LV" w:eastAsia="lv-LV" w:bidi="lv-LV"/>
        </w:rPr>
        <w:br w:type="page"/>
      </w:r>
    </w:p>
    <w:p w:rsidR="003D03E9" w:rsidRDefault="00F77AE9">
      <w:pPr>
        <w:keepNext/>
        <w:spacing w:before="120" w:after="120" w:line="240" w:lineRule="auto"/>
        <w:jc w:val="center"/>
        <w:rPr>
          <w:rFonts w:ascii="Times New Roman" w:eastAsia="MS Mincho" w:hAnsi="Times New Roman" w:cs="Times New Roman"/>
          <w:b/>
          <w:bCs/>
          <w:noProof/>
          <w:lang w:val="lv-LV" w:eastAsia="lv-LV" w:bidi="lv-LV"/>
        </w:rPr>
      </w:pPr>
      <w:r>
        <w:rPr>
          <w:rFonts w:ascii="Times New Roman" w:eastAsia="MS Mincho" w:hAnsi="Times New Roman" w:cs="Times New Roman"/>
          <w:b/>
          <w:bCs/>
          <w:noProof/>
          <w:lang w:val="lv-LV" w:eastAsia="lv-LV" w:bidi="lv-LV"/>
        </w:rPr>
        <w:lastRenderedPageBreak/>
        <w:fldChar w:fldCharType="begin" w:fldLock="1"/>
      </w:r>
      <w:r>
        <w:rPr>
          <w:rFonts w:ascii="Times New Roman" w:eastAsia="MS Mincho" w:hAnsi="Times New Roman" w:cs="Times New Roman"/>
          <w:b/>
          <w:bCs/>
          <w:noProof/>
          <w:lang w:val="lv-LV" w:eastAsia="lv-LV" w:bidi="lv-LV"/>
        </w:rPr>
        <w:instrText xml:space="preserve"> SEQ Graph \* ARABIC </w:instrText>
      </w:r>
      <w:r>
        <w:rPr>
          <w:rFonts w:ascii="Times New Roman" w:eastAsia="MS Mincho" w:hAnsi="Times New Roman" w:cs="Times New Roman"/>
          <w:b/>
          <w:bCs/>
          <w:noProof/>
          <w:lang w:val="lv-LV" w:eastAsia="lv-LV" w:bidi="lv-LV"/>
        </w:rPr>
        <w:fldChar w:fldCharType="separate"/>
      </w:r>
      <w:r>
        <w:rPr>
          <w:rFonts w:ascii="Times New Roman" w:eastAsia="MS Mincho" w:hAnsi="Times New Roman" w:cs="Times New Roman"/>
          <w:b/>
          <w:bCs/>
          <w:noProof/>
          <w:lang w:val="lv-LV" w:eastAsia="lv-LV" w:bidi="lv-LV"/>
        </w:rPr>
        <w:t>2</w:t>
      </w:r>
      <w:r>
        <w:rPr>
          <w:rFonts w:ascii="Times New Roman" w:eastAsia="MS Mincho" w:hAnsi="Times New Roman" w:cs="Times New Roman"/>
          <w:b/>
          <w:bCs/>
          <w:noProof/>
          <w:lang w:val="lv-LV" w:eastAsia="lv-LV" w:bidi="lv-LV"/>
        </w:rPr>
        <w:fldChar w:fldCharType="end"/>
      </w:r>
      <w:r>
        <w:rPr>
          <w:rFonts w:ascii="Times New Roman" w:hAnsi="Times New Roman"/>
          <w:b/>
          <w:noProof/>
          <w:lang w:val="lv-LV" w:eastAsia="lv-LV" w:bidi="lv-LV"/>
        </w:rPr>
        <w:t xml:space="preserve"> grafiks. Tekošā konta saldo un robežvērtības 2017. gadā</w:t>
      </w:r>
    </w:p>
    <w:p w:rsidR="003D03E9" w:rsidRDefault="00F77AE9">
      <w:pPr>
        <w:keepNext/>
        <w:spacing w:before="120" w:after="120" w:line="240" w:lineRule="auto"/>
        <w:jc w:val="center"/>
        <w:rPr>
          <w:rFonts w:ascii="Times New Roman" w:eastAsia="MS Mincho" w:hAnsi="Times New Roman" w:cs="Times New Roman"/>
          <w:b/>
          <w:bCs/>
          <w:noProof/>
          <w:lang w:val="lv-LV" w:eastAsia="lv-LV" w:bidi="lv-LV"/>
        </w:rPr>
      </w:pPr>
      <w:r>
        <w:rPr>
          <w:rFonts w:ascii="Times New Roman" w:eastAsia="MS Mincho" w:hAnsi="Times New Roman" w:cs="Times New Roman"/>
          <w:b/>
          <w:bCs/>
          <w:noProof/>
          <w:lang w:eastAsia="en-GB"/>
        </w:rPr>
        <w:drawing>
          <wp:inline distT="0" distB="0" distL="0" distR="0">
            <wp:extent cx="5114925" cy="301752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14925" cy="3017520"/>
                    </a:xfrm>
                    <a:prstGeom prst="rect">
                      <a:avLst/>
                    </a:prstGeom>
                    <a:noFill/>
                  </pic:spPr>
                </pic:pic>
              </a:graphicData>
            </a:graphic>
          </wp:inline>
        </w:drawing>
      </w:r>
    </w:p>
    <w:p w:rsidR="003D03E9" w:rsidRDefault="00F77AE9">
      <w:pPr>
        <w:spacing w:after="0" w:line="240" w:lineRule="auto"/>
        <w:rPr>
          <w:rFonts w:ascii="Times New Roman" w:eastAsia="Times New Roman" w:hAnsi="Times New Roman" w:cs="Times New Roman"/>
          <w:noProof/>
          <w:sz w:val="20"/>
          <w:szCs w:val="20"/>
          <w:lang w:val="lv-LV" w:eastAsia="lv-LV" w:bidi="lv-LV"/>
        </w:rPr>
      </w:pPr>
      <w:r>
        <w:rPr>
          <w:rFonts w:ascii="Times New Roman" w:hAnsi="Times New Roman"/>
          <w:i/>
          <w:noProof/>
          <w:sz w:val="20"/>
          <w:lang w:val="lv-LV" w:eastAsia="lv-LV" w:bidi="lv-LV"/>
        </w:rPr>
        <w:t>Avots:</w:t>
      </w:r>
      <w:r>
        <w:rPr>
          <w:rFonts w:ascii="Times New Roman" w:hAnsi="Times New Roman"/>
          <w:noProof/>
          <w:sz w:val="20"/>
          <w:lang w:val="lv-LV" w:eastAsia="lv-LV" w:bidi="lv-LV"/>
        </w:rPr>
        <w:t xml:space="preserve"> </w:t>
      </w:r>
      <w:r>
        <w:rPr>
          <w:rFonts w:ascii="Times New Roman" w:hAnsi="Times New Roman"/>
          <w:i/>
          <w:noProof/>
          <w:sz w:val="20"/>
          <w:lang w:val="lv-LV" w:eastAsia="lv-LV" w:bidi="lv-LV"/>
        </w:rPr>
        <w:t>Eurostat</w:t>
      </w:r>
      <w:r>
        <w:rPr>
          <w:rFonts w:ascii="Times New Roman" w:hAnsi="Times New Roman"/>
          <w:noProof/>
          <w:sz w:val="20"/>
          <w:lang w:val="lv-LV" w:eastAsia="lv-LV" w:bidi="lv-LV"/>
        </w:rPr>
        <w:t xml:space="preserve"> (BPM6 dati) un Komisijas dienestu aprēķini.</w:t>
      </w:r>
    </w:p>
    <w:p w:rsidR="003D03E9" w:rsidRDefault="00F77AE9">
      <w:pPr>
        <w:spacing w:after="0" w:line="240" w:lineRule="auto"/>
        <w:jc w:val="both"/>
        <w:rPr>
          <w:noProof/>
          <w:sz w:val="20"/>
          <w:lang w:val="lv-LV" w:eastAsia="lv-LV" w:bidi="lv-LV"/>
        </w:rPr>
      </w:pPr>
      <w:r>
        <w:rPr>
          <w:rFonts w:ascii="Times New Roman" w:hAnsi="Times New Roman"/>
          <w:i/>
          <w:noProof/>
          <w:sz w:val="20"/>
          <w:lang w:val="lv-LV" w:eastAsia="lv-LV" w:bidi="lv-LV"/>
        </w:rPr>
        <w:t>Piezīme:</w:t>
      </w:r>
      <w:r>
        <w:rPr>
          <w:rFonts w:ascii="Times New Roman" w:hAnsi="Times New Roman"/>
          <w:noProof/>
          <w:sz w:val="20"/>
          <w:lang w:val="lv-LV" w:eastAsia="lv-LV" w:bidi="lv-LV"/>
        </w:rPr>
        <w:t xml:space="preserve"> valstis sarindotas pēc tekošā konta saldo 2017. gadā. </w:t>
      </w:r>
      <w:r>
        <w:rPr>
          <w:i/>
          <w:noProof/>
          <w:lang w:val="lv-LV" w:eastAsia="lv-LV" w:bidi="lv-LV"/>
        </w:rPr>
        <w:t xml:space="preserve">Cikliski koriģētais tekošā </w:t>
      </w:r>
      <w:r>
        <w:rPr>
          <w:i/>
          <w:noProof/>
          <w:lang w:val="lv-LV" w:eastAsia="lv-LV" w:bidi="lv-LV"/>
        </w:rPr>
        <w:t>konta saldo:</w:t>
      </w:r>
      <w:r>
        <w:rPr>
          <w:noProof/>
          <w:sz w:val="20"/>
          <w:lang w:val="lv-LV" w:eastAsia="lv-LV" w:bidi="lv-LV"/>
        </w:rPr>
        <w:t xml:space="preserve"> skatīt </w:t>
      </w:r>
      <w:r>
        <w:rPr>
          <w:noProof/>
          <w:sz w:val="20"/>
          <w:lang w:val="lv-LV" w:eastAsia="lv-LV" w:bidi="lv-LV"/>
        </w:rPr>
        <w:fldChar w:fldCharType="begin" w:fldLock="1"/>
      </w:r>
      <w:r>
        <w:rPr>
          <w:noProof/>
          <w:sz w:val="20"/>
          <w:lang w:val="lv-LV" w:eastAsia="lv-LV" w:bidi="lv-LV"/>
        </w:rPr>
        <w:instrText xml:space="preserve"> NOTEREF _Ref526849001 \h  \* MERGEFORMAT </w:instrText>
      </w:r>
      <w:r>
        <w:rPr>
          <w:noProof/>
          <w:sz w:val="20"/>
          <w:lang w:val="lv-LV" w:eastAsia="lv-LV" w:bidi="lv-LV"/>
        </w:rPr>
      </w:r>
      <w:r>
        <w:rPr>
          <w:noProof/>
          <w:sz w:val="20"/>
          <w:lang w:val="lv-LV" w:eastAsia="lv-LV" w:bidi="lv-LV"/>
        </w:rPr>
        <w:fldChar w:fldCharType="separate"/>
      </w:r>
      <w:r>
        <w:rPr>
          <w:noProof/>
          <w:sz w:val="20"/>
          <w:lang w:val="lv-LV" w:eastAsia="lv-LV" w:bidi="lv-LV"/>
        </w:rPr>
        <w:t>15</w:t>
      </w:r>
      <w:r>
        <w:rPr>
          <w:noProof/>
          <w:sz w:val="20"/>
          <w:lang w:val="lv-LV" w:eastAsia="lv-LV" w:bidi="lv-LV"/>
        </w:rPr>
        <w:fldChar w:fldCharType="end"/>
      </w:r>
      <w:r>
        <w:rPr>
          <w:noProof/>
          <w:sz w:val="20"/>
          <w:lang w:val="lv-LV" w:eastAsia="lv-LV" w:bidi="lv-LV"/>
        </w:rPr>
        <w:t xml:space="preserve">. zemsvītras piezīmi. </w:t>
      </w:r>
      <w:r>
        <w:rPr>
          <w:i/>
          <w:noProof/>
          <w:sz w:val="20"/>
          <w:lang w:val="lv-LV" w:eastAsia="lv-LV" w:bidi="lv-LV"/>
        </w:rPr>
        <w:t>Tekošā konta normas</w:t>
      </w:r>
      <w:r>
        <w:rPr>
          <w:noProof/>
          <w:sz w:val="20"/>
          <w:lang w:val="lv-LV" w:eastAsia="lv-LV" w:bidi="lv-LV"/>
        </w:rPr>
        <w:t xml:space="preserve">: skatīt </w:t>
      </w:r>
      <w:r>
        <w:rPr>
          <w:noProof/>
          <w:sz w:val="20"/>
          <w:lang w:val="lv-LV" w:eastAsia="lv-LV" w:bidi="lv-LV"/>
        </w:rPr>
        <w:fldChar w:fldCharType="begin" w:fldLock="1"/>
      </w:r>
      <w:r>
        <w:rPr>
          <w:noProof/>
          <w:sz w:val="20"/>
          <w:lang w:val="lv-LV" w:eastAsia="lv-LV" w:bidi="lv-LV"/>
        </w:rPr>
        <w:instrText xml:space="preserve"> NOTEREF _Ref526526513 \h  \* MERGEFORMAT </w:instrText>
      </w:r>
      <w:r>
        <w:rPr>
          <w:noProof/>
          <w:sz w:val="20"/>
          <w:lang w:val="lv-LV" w:eastAsia="lv-LV" w:bidi="lv-LV"/>
        </w:rPr>
      </w:r>
      <w:r>
        <w:rPr>
          <w:noProof/>
          <w:sz w:val="20"/>
          <w:lang w:val="lv-LV" w:eastAsia="lv-LV" w:bidi="lv-LV"/>
        </w:rPr>
        <w:fldChar w:fldCharType="separate"/>
      </w:r>
      <w:r>
        <w:rPr>
          <w:noProof/>
          <w:sz w:val="20"/>
          <w:lang w:val="lv-LV" w:eastAsia="lv-LV" w:bidi="lv-LV"/>
        </w:rPr>
        <w:t>16</w:t>
      </w:r>
      <w:r>
        <w:rPr>
          <w:noProof/>
          <w:sz w:val="20"/>
          <w:lang w:val="lv-LV" w:eastAsia="lv-LV" w:bidi="lv-LV"/>
        </w:rPr>
        <w:fldChar w:fldCharType="end"/>
      </w:r>
      <w:r>
        <w:rPr>
          <w:noProof/>
          <w:sz w:val="20"/>
          <w:lang w:val="lv-LV" w:eastAsia="lv-LV" w:bidi="lv-LV"/>
        </w:rPr>
        <w:t xml:space="preserve">. zemsvītras piezīmi. </w:t>
      </w:r>
      <w:r>
        <w:rPr>
          <w:i/>
          <w:noProof/>
          <w:sz w:val="20"/>
          <w:lang w:val="lv-LV" w:eastAsia="lv-LV" w:bidi="lv-LV"/>
        </w:rPr>
        <w:t>NIIP</w:t>
      </w:r>
      <w:r>
        <w:rPr>
          <w:noProof/>
          <w:sz w:val="20"/>
          <w:lang w:val="lv-LV" w:eastAsia="lv-LV" w:bidi="lv-LV"/>
        </w:rPr>
        <w:t xml:space="preserve"> stabilizējoša tekošā konta robežvērtība ir definēta kā tekošais konts, kas nepieciešams, lai stabilizētu </w:t>
      </w:r>
      <w:r>
        <w:rPr>
          <w:i/>
          <w:noProof/>
          <w:sz w:val="20"/>
          <w:lang w:val="lv-LV" w:eastAsia="lv-LV" w:bidi="lv-LV"/>
        </w:rPr>
        <w:t>NIIP</w:t>
      </w:r>
      <w:r>
        <w:rPr>
          <w:noProof/>
          <w:sz w:val="20"/>
          <w:lang w:val="lv-LV" w:eastAsia="lv-LV" w:bidi="lv-LV"/>
        </w:rPr>
        <w:t xml:space="preserve"> pašreizējā līmenī nākamo 10 gadu laikā vai, ja </w:t>
      </w:r>
      <w:r>
        <w:rPr>
          <w:i/>
          <w:noProof/>
          <w:sz w:val="20"/>
          <w:lang w:val="lv-LV" w:eastAsia="lv-LV" w:bidi="lv-LV"/>
        </w:rPr>
        <w:t>NIIP</w:t>
      </w:r>
      <w:r>
        <w:rPr>
          <w:noProof/>
          <w:sz w:val="20"/>
          <w:lang w:val="lv-LV" w:eastAsia="lv-LV" w:bidi="lv-LV"/>
        </w:rPr>
        <w:t xml:space="preserve"> ir zemāka par konkrētai valst</w:t>
      </w:r>
      <w:r>
        <w:rPr>
          <w:noProof/>
          <w:sz w:val="20"/>
          <w:lang w:val="lv-LV" w:eastAsia="lv-LV" w:bidi="lv-LV"/>
        </w:rPr>
        <w:t xml:space="preserve">ij adresētu prudenciālo robežvērtību, — tekošajam kontam, kas nepieciešams, lai nākamajos 10 gados sasniegtu </w:t>
      </w:r>
      <w:r>
        <w:rPr>
          <w:i/>
          <w:noProof/>
          <w:sz w:val="20"/>
          <w:lang w:val="lv-LV" w:eastAsia="lv-LV" w:bidi="lv-LV"/>
        </w:rPr>
        <w:t>NIIP</w:t>
      </w:r>
      <w:r>
        <w:rPr>
          <w:noProof/>
          <w:sz w:val="20"/>
          <w:lang w:val="lv-LV" w:eastAsia="lv-LV" w:bidi="lv-LV"/>
        </w:rPr>
        <w:t xml:space="preserve"> prudenciālo robežvērtību</w:t>
      </w:r>
      <w:r>
        <w:rPr>
          <w:rFonts w:ascii="Times New Roman" w:hAnsi="Times New Roman"/>
          <w:noProof/>
          <w:sz w:val="20"/>
          <w:vertAlign w:val="superscript"/>
          <w:lang w:val="lv-LV" w:eastAsia="lv-LV" w:bidi="lv-LV"/>
        </w:rPr>
        <w:footnoteReference w:id="17"/>
      </w:r>
      <w:r>
        <w:rPr>
          <w:noProof/>
          <w:sz w:val="20"/>
          <w:lang w:val="lv-LV" w:eastAsia="lv-LV" w:bidi="lv-LV"/>
        </w:rPr>
        <w:t xml:space="preserve">. </w:t>
      </w:r>
    </w:p>
    <w:p w:rsidR="003D03E9" w:rsidRDefault="003D03E9">
      <w:pPr>
        <w:spacing w:before="120" w:after="0" w:line="240" w:lineRule="auto"/>
        <w:jc w:val="both"/>
        <w:rPr>
          <w:rFonts w:ascii="Times New Roman" w:eastAsia="Times New Roman" w:hAnsi="Times New Roman" w:cs="Times New Roman"/>
          <w:noProof/>
          <w:szCs w:val="24"/>
          <w:lang w:val="lv-LV" w:eastAsia="lv-LV" w:bidi="lv-LV"/>
        </w:rPr>
      </w:pPr>
    </w:p>
    <w:p w:rsidR="003D03E9" w:rsidRDefault="00F77AE9">
      <w:pPr>
        <w:keepNext/>
        <w:spacing w:before="120" w:after="120" w:line="240" w:lineRule="auto"/>
        <w:jc w:val="center"/>
        <w:rPr>
          <w:rFonts w:ascii="Times New Roman" w:eastAsia="MS Mincho" w:hAnsi="Times New Roman" w:cs="Times New Roman"/>
          <w:b/>
          <w:bCs/>
          <w:noProof/>
          <w:lang w:val="lv-LV" w:eastAsia="lv-LV" w:bidi="lv-LV"/>
        </w:rPr>
      </w:pPr>
      <w:r>
        <w:rPr>
          <w:rFonts w:ascii="Times New Roman" w:eastAsia="MS Mincho" w:hAnsi="Times New Roman" w:cs="Times New Roman"/>
          <w:b/>
          <w:bCs/>
          <w:noProof/>
          <w:lang w:val="lv-LV" w:eastAsia="lv-LV" w:bidi="lv-LV"/>
        </w:rPr>
        <w:lastRenderedPageBreak/>
        <w:fldChar w:fldCharType="begin" w:fldLock="1"/>
      </w:r>
      <w:r>
        <w:rPr>
          <w:rFonts w:ascii="Times New Roman" w:eastAsia="MS Mincho" w:hAnsi="Times New Roman" w:cs="Times New Roman"/>
          <w:b/>
          <w:bCs/>
          <w:noProof/>
          <w:lang w:val="lv-LV" w:eastAsia="lv-LV" w:bidi="lv-LV"/>
        </w:rPr>
        <w:instrText xml:space="preserve"> SEQ Graph \* ARABIC </w:instrText>
      </w:r>
      <w:r>
        <w:rPr>
          <w:rFonts w:ascii="Times New Roman" w:eastAsia="MS Mincho" w:hAnsi="Times New Roman" w:cs="Times New Roman"/>
          <w:b/>
          <w:bCs/>
          <w:noProof/>
          <w:lang w:val="lv-LV" w:eastAsia="lv-LV" w:bidi="lv-LV"/>
        </w:rPr>
        <w:fldChar w:fldCharType="separate"/>
      </w:r>
      <w:r>
        <w:rPr>
          <w:rFonts w:ascii="Times New Roman" w:eastAsia="MS Mincho" w:hAnsi="Times New Roman" w:cs="Times New Roman"/>
          <w:b/>
          <w:bCs/>
          <w:noProof/>
          <w:lang w:val="lv-LV" w:eastAsia="lv-LV" w:bidi="lv-LV"/>
        </w:rPr>
        <w:t>3</w:t>
      </w:r>
      <w:r>
        <w:rPr>
          <w:rFonts w:ascii="Times New Roman" w:eastAsia="MS Mincho" w:hAnsi="Times New Roman" w:cs="Times New Roman"/>
          <w:b/>
          <w:bCs/>
          <w:noProof/>
          <w:lang w:val="lv-LV" w:eastAsia="lv-LV" w:bidi="lv-LV"/>
        </w:rPr>
        <w:fldChar w:fldCharType="end"/>
      </w:r>
      <w:r>
        <w:rPr>
          <w:rFonts w:ascii="Times New Roman" w:hAnsi="Times New Roman"/>
          <w:b/>
          <w:noProof/>
          <w:lang w:val="lv-LV" w:eastAsia="lv-LV" w:bidi="lv-LV"/>
        </w:rPr>
        <w:t xml:space="preserve"> grafiks. Tekošā konta saldo izmaiņas</w:t>
      </w:r>
    </w:p>
    <w:p w:rsidR="003D03E9" w:rsidRDefault="00F77AE9">
      <w:pPr>
        <w:keepNext/>
        <w:spacing w:before="120" w:after="120" w:line="240" w:lineRule="auto"/>
        <w:jc w:val="center"/>
        <w:rPr>
          <w:rFonts w:ascii="Times New Roman" w:eastAsia="MS Mincho" w:hAnsi="Times New Roman" w:cs="Times New Roman"/>
          <w:b/>
          <w:bCs/>
          <w:noProof/>
          <w:lang w:val="lv-LV" w:eastAsia="lv-LV" w:bidi="lv-LV"/>
        </w:rPr>
      </w:pPr>
      <w:r>
        <w:rPr>
          <w:rFonts w:ascii="Times New Roman" w:eastAsia="MS Mincho" w:hAnsi="Times New Roman" w:cs="Times New Roman"/>
          <w:b/>
          <w:bCs/>
          <w:noProof/>
          <w:lang w:eastAsia="en-GB"/>
        </w:rPr>
        <w:drawing>
          <wp:inline distT="0" distB="0" distL="0" distR="0">
            <wp:extent cx="5414010" cy="334073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4010" cy="3340735"/>
                    </a:xfrm>
                    <a:prstGeom prst="rect">
                      <a:avLst/>
                    </a:prstGeom>
                    <a:noFill/>
                  </pic:spPr>
                </pic:pic>
              </a:graphicData>
            </a:graphic>
          </wp:inline>
        </w:drawing>
      </w:r>
    </w:p>
    <w:p w:rsidR="003D03E9" w:rsidRDefault="00F77AE9">
      <w:pPr>
        <w:spacing w:after="0" w:line="240" w:lineRule="auto"/>
        <w:jc w:val="both"/>
        <w:rPr>
          <w:rFonts w:ascii="Times New Roman" w:eastAsia="Times New Roman" w:hAnsi="Times New Roman" w:cs="Times New Roman"/>
          <w:noProof/>
          <w:sz w:val="20"/>
          <w:szCs w:val="20"/>
          <w:lang w:val="lv-LV" w:eastAsia="lv-LV" w:bidi="lv-LV"/>
        </w:rPr>
      </w:pPr>
      <w:r>
        <w:rPr>
          <w:rFonts w:ascii="Times New Roman" w:hAnsi="Times New Roman"/>
          <w:i/>
          <w:noProof/>
          <w:sz w:val="20"/>
          <w:lang w:val="lv-LV" w:eastAsia="lv-LV" w:bidi="lv-LV"/>
        </w:rPr>
        <w:t>Avots:</w:t>
      </w:r>
      <w:r>
        <w:rPr>
          <w:rFonts w:ascii="Times New Roman" w:hAnsi="Times New Roman"/>
          <w:noProof/>
          <w:sz w:val="20"/>
          <w:lang w:val="lv-LV" w:eastAsia="lv-LV" w:bidi="lv-LV"/>
        </w:rPr>
        <w:t xml:space="preserve"> </w:t>
      </w:r>
      <w:r>
        <w:rPr>
          <w:rFonts w:ascii="Times New Roman" w:hAnsi="Times New Roman"/>
          <w:i/>
          <w:noProof/>
          <w:sz w:val="20"/>
          <w:lang w:val="lv-LV" w:eastAsia="lv-LV" w:bidi="lv-LV"/>
        </w:rPr>
        <w:t>Eurostat</w:t>
      </w:r>
      <w:r>
        <w:rPr>
          <w:rFonts w:ascii="Times New Roman" w:hAnsi="Times New Roman"/>
          <w:noProof/>
          <w:sz w:val="20"/>
          <w:lang w:val="lv-LV" w:eastAsia="lv-LV" w:bidi="lv-LV"/>
        </w:rPr>
        <w:t xml:space="preserve"> un Komisijas dienestu aprēķini.</w:t>
      </w:r>
    </w:p>
    <w:p w:rsidR="003D03E9" w:rsidRDefault="00F77AE9">
      <w:pPr>
        <w:spacing w:after="0" w:line="240" w:lineRule="auto"/>
        <w:jc w:val="both"/>
        <w:rPr>
          <w:rFonts w:ascii="Times New Roman" w:eastAsia="Times New Roman" w:hAnsi="Times New Roman" w:cs="Times New Roman"/>
          <w:noProof/>
          <w:sz w:val="20"/>
          <w:szCs w:val="20"/>
          <w:lang w:val="lv-LV" w:eastAsia="lv-LV" w:bidi="lv-LV"/>
        </w:rPr>
      </w:pPr>
      <w:r>
        <w:rPr>
          <w:rFonts w:ascii="Times New Roman" w:hAnsi="Times New Roman"/>
          <w:noProof/>
          <w:sz w:val="20"/>
          <w:lang w:val="lv-LV" w:eastAsia="lv-LV" w:bidi="lv-LV"/>
        </w:rPr>
        <w:t xml:space="preserve">Piezīme: valstis norādītas </w:t>
      </w:r>
      <w:r>
        <w:rPr>
          <w:rFonts w:ascii="Times New Roman" w:hAnsi="Times New Roman"/>
          <w:i/>
          <w:noProof/>
          <w:sz w:val="20"/>
          <w:lang w:val="lv-LV" w:eastAsia="lv-LV" w:bidi="lv-LV"/>
        </w:rPr>
        <w:t>NIIP</w:t>
      </w:r>
      <w:r>
        <w:rPr>
          <w:rFonts w:ascii="Times New Roman" w:hAnsi="Times New Roman"/>
          <w:noProof/>
          <w:sz w:val="20"/>
          <w:lang w:val="lv-LV" w:eastAsia="lv-LV" w:bidi="lv-LV"/>
        </w:rPr>
        <w:t xml:space="preserve"> pret IKP attiecības variācijas augošā secībā no 2007. līdz 2017. gadam. Ar ciklu saistītu variāciju aprēķina, ņemot vērā variāciju tekošajā kontā, kuru neaptver ar cikliski koriģētā tekošā konta saldo variāciju; </w:t>
      </w:r>
      <w:r>
        <w:rPr>
          <w:noProof/>
          <w:lang w:val="lv-LV" w:eastAsia="lv-LV" w:bidi="lv-LV"/>
        </w:rPr>
        <w:t xml:space="preserve">skatīt </w:t>
      </w:r>
      <w:r>
        <w:rPr>
          <w:noProof/>
          <w:sz w:val="20"/>
          <w:lang w:val="lv-LV" w:eastAsia="lv-LV" w:bidi="lv-LV"/>
        </w:rPr>
        <w:fldChar w:fldCharType="begin" w:fldLock="1"/>
      </w:r>
      <w:r>
        <w:rPr>
          <w:noProof/>
          <w:sz w:val="20"/>
          <w:lang w:val="lv-LV" w:eastAsia="lv-LV" w:bidi="lv-LV"/>
        </w:rPr>
        <w:instrText xml:space="preserve"> NOTE</w:instrText>
      </w:r>
      <w:r>
        <w:rPr>
          <w:noProof/>
          <w:sz w:val="20"/>
          <w:lang w:val="lv-LV" w:eastAsia="lv-LV" w:bidi="lv-LV"/>
        </w:rPr>
        <w:instrText xml:space="preserve">REF _Ref526849001 \h  \* MERGEFORMAT </w:instrText>
      </w:r>
      <w:r>
        <w:rPr>
          <w:noProof/>
          <w:sz w:val="20"/>
          <w:lang w:val="lv-LV" w:eastAsia="lv-LV" w:bidi="lv-LV"/>
        </w:rPr>
      </w:r>
      <w:r>
        <w:rPr>
          <w:noProof/>
          <w:sz w:val="20"/>
          <w:lang w:val="lv-LV" w:eastAsia="lv-LV" w:bidi="lv-LV"/>
        </w:rPr>
        <w:fldChar w:fldCharType="separate"/>
      </w:r>
      <w:r>
        <w:rPr>
          <w:noProof/>
          <w:sz w:val="20"/>
          <w:lang w:val="lv-LV" w:eastAsia="lv-LV" w:bidi="lv-LV"/>
        </w:rPr>
        <w:t>15</w:t>
      </w:r>
      <w:r>
        <w:rPr>
          <w:noProof/>
          <w:sz w:val="20"/>
          <w:lang w:val="lv-LV" w:eastAsia="lv-LV" w:bidi="lv-LV"/>
        </w:rPr>
        <w:fldChar w:fldCharType="end"/>
      </w:r>
      <w:r>
        <w:rPr>
          <w:noProof/>
          <w:lang w:val="lv-LV" w:eastAsia="lv-LV" w:bidi="lv-LV"/>
        </w:rPr>
        <w:t>. zemsvītras piezīmi.</w:t>
      </w:r>
    </w:p>
    <w:p w:rsidR="003D03E9" w:rsidRDefault="00F77AE9">
      <w:pPr>
        <w:spacing w:before="120" w:after="120"/>
        <w:jc w:val="both"/>
        <w:rPr>
          <w:rFonts w:ascii="Times New Roman" w:eastAsia="Times New Roman" w:hAnsi="Times New Roman" w:cs="Times New Roman"/>
          <w:noProof/>
          <w:lang w:val="lv-LV" w:eastAsia="lv-LV" w:bidi="lv-LV"/>
        </w:rPr>
      </w:pPr>
      <w:r>
        <w:rPr>
          <w:rFonts w:ascii="Times New Roman" w:hAnsi="Times New Roman"/>
          <w:b/>
          <w:noProof/>
          <w:lang w:val="lv-LV" w:eastAsia="lv-LV" w:bidi="lv-LV"/>
        </w:rPr>
        <w:t>Neto starptautisko ieguldījumu pozīcijas (</w:t>
      </w:r>
      <w:r>
        <w:rPr>
          <w:rFonts w:ascii="Times New Roman" w:hAnsi="Times New Roman"/>
          <w:b/>
          <w:i/>
          <w:noProof/>
          <w:lang w:val="lv-LV" w:eastAsia="lv-LV" w:bidi="lv-LV"/>
        </w:rPr>
        <w:t>NIIP</w:t>
      </w:r>
      <w:r>
        <w:rPr>
          <w:rFonts w:ascii="Times New Roman" w:hAnsi="Times New Roman"/>
          <w:b/>
          <w:noProof/>
          <w:lang w:val="lv-LV" w:eastAsia="lv-LV" w:bidi="lv-LV"/>
        </w:rPr>
        <w:t>) pēdējā laikā turpināja uzlaboties gandrīz visās dalībvalstīs, taču vairākās vals</w:t>
      </w:r>
      <w:r>
        <w:rPr>
          <w:rFonts w:ascii="Times New Roman" w:hAnsi="Times New Roman"/>
          <w:b/>
          <w:noProof/>
          <w:lang w:val="lv-LV" w:eastAsia="lv-LV" w:bidi="lv-LV"/>
        </w:rPr>
        <w:t>tīs ļoti negatīvās pozīcijas joprojām rada bažas.</w:t>
      </w:r>
      <w:r>
        <w:rPr>
          <w:rFonts w:ascii="Times New Roman" w:hAnsi="Times New Roman"/>
          <w:noProof/>
          <w:lang w:val="lv-LV" w:eastAsia="lv-LV" w:bidi="lv-LV"/>
        </w:rPr>
        <w:t xml:space="preserve"> Daudzu ES dalībvalstu </w:t>
      </w:r>
      <w:r>
        <w:rPr>
          <w:rFonts w:ascii="Times New Roman" w:hAnsi="Times New Roman"/>
          <w:i/>
          <w:noProof/>
          <w:lang w:val="lv-LV" w:eastAsia="lv-LV" w:bidi="lv-LV"/>
        </w:rPr>
        <w:t>NIIP</w:t>
      </w:r>
      <w:r>
        <w:rPr>
          <w:rFonts w:ascii="Times New Roman" w:hAnsi="Times New Roman"/>
          <w:noProof/>
          <w:lang w:val="lv-LV" w:eastAsia="lv-LV" w:bidi="lv-LV"/>
        </w:rPr>
        <w:t xml:space="preserve"> krājumi joprojām ir lielā mērā negatīvi (</w:t>
      </w:r>
      <w:r>
        <w:rPr>
          <w:rFonts w:ascii="Times New Roman" w:eastAsia="Times New Roman" w:hAnsi="Times New Roman" w:cs="Times New Roman"/>
          <w:noProof/>
          <w:lang w:val="lv-LV" w:eastAsia="lv-LV" w:bidi="lv-LV"/>
        </w:rPr>
        <w:fldChar w:fldCharType="begin" w:fldLock="1"/>
      </w:r>
      <w:r>
        <w:rPr>
          <w:rFonts w:ascii="Times New Roman" w:eastAsia="Times New Roman" w:hAnsi="Times New Roman" w:cs="Times New Roman"/>
          <w:noProof/>
          <w:lang w:val="lv-LV" w:eastAsia="lv-LV" w:bidi="lv-LV"/>
        </w:rPr>
        <w:instrText xml:space="preserve"> REF _Ref525664344 \h  \* MERGEFORMAT </w:instrText>
      </w:r>
      <w:r>
        <w:rPr>
          <w:rFonts w:ascii="Times New Roman" w:eastAsia="Times New Roman" w:hAnsi="Times New Roman" w:cs="Times New Roman"/>
          <w:noProof/>
          <w:lang w:val="lv-LV" w:eastAsia="lv-LV" w:bidi="lv-LV"/>
        </w:rPr>
      </w:r>
      <w:r>
        <w:rPr>
          <w:rFonts w:ascii="Times New Roman" w:eastAsia="Times New Roman" w:hAnsi="Times New Roman" w:cs="Times New Roman"/>
          <w:noProof/>
          <w:lang w:val="lv-LV" w:eastAsia="lv-LV" w:bidi="lv-LV"/>
        </w:rPr>
        <w:fldChar w:fldCharType="separate"/>
      </w:r>
      <w:r>
        <w:rPr>
          <w:rFonts w:ascii="Times New Roman" w:eastAsia="Times New Roman" w:hAnsi="Times New Roman" w:cs="Times New Roman"/>
          <w:noProof/>
          <w:lang w:val="lv-LV" w:eastAsia="lv-LV" w:bidi="lv-LV"/>
        </w:rPr>
        <w:t>Graph 4</w:t>
      </w:r>
      <w:r>
        <w:rPr>
          <w:rFonts w:ascii="Times New Roman" w:eastAsia="Times New Roman" w:hAnsi="Times New Roman" w:cs="Times New Roman"/>
          <w:noProof/>
          <w:lang w:val="lv-LV" w:eastAsia="lv-LV" w:bidi="lv-LV"/>
        </w:rPr>
        <w:fldChar w:fldCharType="end"/>
      </w:r>
      <w:r>
        <w:rPr>
          <w:rFonts w:ascii="Times New Roman" w:hAnsi="Times New Roman"/>
          <w:noProof/>
          <w:lang w:val="lv-LV" w:eastAsia="lv-LV" w:bidi="lv-LV"/>
        </w:rPr>
        <w:t xml:space="preserve">. grafiks). Lielākajā daļā ES valstu, kurām ir negatīva </w:t>
      </w:r>
      <w:r>
        <w:rPr>
          <w:rFonts w:ascii="Times New Roman" w:hAnsi="Times New Roman"/>
          <w:i/>
          <w:noProof/>
          <w:lang w:val="lv-LV" w:eastAsia="lv-LV" w:bidi="lv-LV"/>
        </w:rPr>
        <w:t>NIIP</w:t>
      </w:r>
      <w:r>
        <w:rPr>
          <w:rFonts w:ascii="Times New Roman" w:hAnsi="Times New Roman"/>
          <w:noProof/>
          <w:lang w:val="lv-LV" w:eastAsia="lv-LV" w:bidi="lv-LV"/>
        </w:rPr>
        <w:t xml:space="preserve">, ārvalstu saistību krājumi pārsniedz </w:t>
      </w:r>
      <w:r>
        <w:rPr>
          <w:rFonts w:ascii="Times New Roman" w:hAnsi="Times New Roman"/>
          <w:i/>
          <w:noProof/>
          <w:lang w:val="lv-LV" w:eastAsia="lv-LV" w:bidi="lv-LV"/>
        </w:rPr>
        <w:t>NIIP</w:t>
      </w:r>
      <w:r>
        <w:rPr>
          <w:rFonts w:ascii="Times New Roman" w:hAnsi="Times New Roman"/>
          <w:noProof/>
          <w:lang w:val="lv-LV" w:eastAsia="lv-LV" w:bidi="lv-LV"/>
        </w:rPr>
        <w:t>, ko varētu pamatot ar ekonomikas pamatrādītājiem, bet tikai nedaudzos gadījumos šis rādīt</w:t>
      </w:r>
      <w:r>
        <w:rPr>
          <w:rFonts w:ascii="Times New Roman" w:hAnsi="Times New Roman"/>
          <w:noProof/>
          <w:lang w:val="lv-LV" w:eastAsia="lv-LV" w:bidi="lv-LV"/>
        </w:rPr>
        <w:t>ājs, šķiet, ir zemāks par prudenciālo robežvērtību</w:t>
      </w:r>
      <w:r>
        <w:rPr>
          <w:rFonts w:ascii="Times New Roman" w:hAnsi="Times New Roman"/>
          <w:noProof/>
          <w:vertAlign w:val="superscript"/>
          <w:lang w:val="lv-LV" w:eastAsia="lv-LV" w:bidi="lv-LV"/>
        </w:rPr>
        <w:footnoteReference w:id="18"/>
      </w:r>
      <w:r>
        <w:rPr>
          <w:rFonts w:ascii="Times New Roman" w:hAnsi="Times New Roman"/>
          <w:noProof/>
          <w:lang w:val="lv-LV" w:eastAsia="lv-LV" w:bidi="lv-LV"/>
        </w:rPr>
        <w:t>. Dažās valstīs ārvalstu saistību krājumi ir lieli arī tad, ja tos aprēķina, atskaitot mazāk riskantus finanšu instrumentus (</w:t>
      </w:r>
      <w:r>
        <w:rPr>
          <w:rFonts w:ascii="Times New Roman" w:hAnsi="Times New Roman"/>
          <w:i/>
          <w:noProof/>
          <w:lang w:val="lv-LV" w:eastAsia="lv-LV" w:bidi="lv-LV"/>
        </w:rPr>
        <w:t>NENDI</w:t>
      </w:r>
      <w:r>
        <w:rPr>
          <w:rFonts w:ascii="Times New Roman" w:hAnsi="Times New Roman"/>
          <w:noProof/>
          <w:lang w:val="lv-LV" w:eastAsia="lv-LV" w:bidi="lv-LV"/>
        </w:rPr>
        <w:t xml:space="preserve">). </w:t>
      </w:r>
      <w:r>
        <w:rPr>
          <w:rFonts w:ascii="Times New Roman" w:hAnsi="Times New Roman"/>
          <w:i/>
          <w:noProof/>
          <w:lang w:val="lv-LV" w:eastAsia="lv-LV" w:bidi="lv-LV"/>
        </w:rPr>
        <w:t>NIIP</w:t>
      </w:r>
      <w:r>
        <w:rPr>
          <w:rFonts w:ascii="Times New Roman" w:hAnsi="Times New Roman"/>
          <w:noProof/>
          <w:lang w:val="lv-LV" w:eastAsia="lv-LV" w:bidi="lv-LV"/>
        </w:rPr>
        <w:t xml:space="preserve"> turpināja uzlaboties 2017. gadā, pateicoties tekošā konta rezultāti</w:t>
      </w:r>
      <w:r>
        <w:rPr>
          <w:rFonts w:ascii="Times New Roman" w:hAnsi="Times New Roman"/>
          <w:noProof/>
          <w:lang w:val="lv-LV" w:eastAsia="lv-LV" w:bidi="lv-LV"/>
        </w:rPr>
        <w:t xml:space="preserve">em, kas bieži bija pozitīvi, un pateicoties tam, ka atjaunojās nominālā IKP pieaugums (5. grafiks). Uzlabojumi bija nedaudz mērenāki nekā iepriekšējos gados, kad vērtēšanas efekts bieži vien mazāk veicināja </w:t>
      </w:r>
      <w:r>
        <w:rPr>
          <w:rFonts w:ascii="Times New Roman" w:hAnsi="Times New Roman"/>
          <w:i/>
          <w:noProof/>
          <w:lang w:val="lv-LV" w:eastAsia="lv-LV" w:bidi="lv-LV"/>
        </w:rPr>
        <w:t>NIIP</w:t>
      </w:r>
      <w:r>
        <w:rPr>
          <w:rFonts w:ascii="Times New Roman" w:hAnsi="Times New Roman"/>
          <w:noProof/>
          <w:lang w:val="lv-LV" w:eastAsia="lv-LV" w:bidi="lv-LV"/>
        </w:rPr>
        <w:t xml:space="preserve"> uzlabošanos vai pat nedaudz atsaistījās no </w:t>
      </w:r>
      <w:r>
        <w:rPr>
          <w:rFonts w:ascii="Times New Roman" w:hAnsi="Times New Roman"/>
          <w:i/>
          <w:noProof/>
          <w:lang w:val="lv-LV" w:eastAsia="lv-LV" w:bidi="lv-LV"/>
        </w:rPr>
        <w:t>N</w:t>
      </w:r>
      <w:r>
        <w:rPr>
          <w:rFonts w:ascii="Times New Roman" w:hAnsi="Times New Roman"/>
          <w:i/>
          <w:noProof/>
          <w:lang w:val="lv-LV" w:eastAsia="lv-LV" w:bidi="lv-LV"/>
        </w:rPr>
        <w:t>IIP</w:t>
      </w:r>
      <w:r>
        <w:rPr>
          <w:rFonts w:ascii="Times New Roman" w:hAnsi="Times New Roman"/>
          <w:noProof/>
          <w:lang w:val="lv-LV" w:eastAsia="lv-LV" w:bidi="lv-LV"/>
        </w:rPr>
        <w:t xml:space="preserve">. </w:t>
      </w:r>
      <w:r>
        <w:rPr>
          <w:rFonts w:ascii="Times New Roman" w:hAnsi="Times New Roman"/>
          <w:i/>
          <w:noProof/>
          <w:lang w:val="lv-LV" w:eastAsia="lv-LV" w:bidi="lv-LV"/>
        </w:rPr>
        <w:t>NIIP</w:t>
      </w:r>
      <w:r>
        <w:rPr>
          <w:rFonts w:ascii="Times New Roman" w:hAnsi="Times New Roman"/>
          <w:noProof/>
          <w:lang w:val="lv-LV" w:eastAsia="lv-LV" w:bidi="lv-LV"/>
        </w:rPr>
        <w:t xml:space="preserve"> variācijām nebija ciešas saiknes ar sākotnējiem </w:t>
      </w:r>
      <w:r>
        <w:rPr>
          <w:rFonts w:ascii="Times New Roman" w:hAnsi="Times New Roman"/>
          <w:i/>
          <w:noProof/>
          <w:lang w:val="lv-LV" w:eastAsia="lv-LV" w:bidi="lv-LV"/>
        </w:rPr>
        <w:t>NIIP</w:t>
      </w:r>
      <w:r>
        <w:rPr>
          <w:rFonts w:ascii="Times New Roman" w:hAnsi="Times New Roman"/>
          <w:noProof/>
          <w:lang w:val="lv-LV" w:eastAsia="lv-LV" w:bidi="lv-LV"/>
        </w:rPr>
        <w:t xml:space="preserve"> līmeņiem, bet neto debitorvalstis 2017. gadā lielākajā daļā gadījumu uzlaboja vai stabilizēja savus rādījumus.</w:t>
      </w:r>
    </w:p>
    <w:p w:rsidR="003D03E9" w:rsidRDefault="00F77AE9">
      <w:pPr>
        <w:numPr>
          <w:ilvl w:val="0"/>
          <w:numId w:val="4"/>
        </w:numPr>
        <w:spacing w:before="120" w:after="120"/>
        <w:ind w:left="567" w:hanging="425"/>
        <w:jc w:val="both"/>
        <w:rPr>
          <w:rFonts w:ascii="Times New Roman" w:eastAsia="Times New Roman" w:hAnsi="Times New Roman" w:cs="Times New Roman"/>
          <w:noProof/>
          <w:lang w:val="lv-LV" w:eastAsia="lv-LV" w:bidi="lv-LV"/>
        </w:rPr>
      </w:pPr>
      <w:r>
        <w:rPr>
          <w:rFonts w:ascii="Times New Roman" w:hAnsi="Times New Roman"/>
          <w:noProof/>
          <w:lang w:val="lv-LV" w:eastAsia="lv-LV" w:bidi="lv-LV"/>
        </w:rPr>
        <w:t xml:space="preserve">2017. gadā </w:t>
      </w:r>
      <w:r>
        <w:rPr>
          <w:rFonts w:ascii="Times New Roman" w:hAnsi="Times New Roman"/>
          <w:b/>
          <w:noProof/>
          <w:lang w:val="lv-LV" w:eastAsia="lv-LV" w:bidi="lv-LV"/>
        </w:rPr>
        <w:t xml:space="preserve">gandrīz pusē dalībvalstu </w:t>
      </w:r>
      <w:r>
        <w:rPr>
          <w:rFonts w:ascii="Times New Roman" w:hAnsi="Times New Roman"/>
          <w:b/>
          <w:i/>
          <w:noProof/>
          <w:lang w:val="lv-LV" w:eastAsia="lv-LV" w:bidi="lv-LV"/>
        </w:rPr>
        <w:t>NIIP</w:t>
      </w:r>
      <w:r>
        <w:rPr>
          <w:rFonts w:ascii="Times New Roman" w:hAnsi="Times New Roman"/>
          <w:b/>
          <w:noProof/>
          <w:lang w:val="lv-LV" w:eastAsia="lv-LV" w:bidi="lv-LV"/>
        </w:rPr>
        <w:t xml:space="preserve"> rādītāji bija sliktāki par rādītāju kopsa</w:t>
      </w:r>
      <w:r>
        <w:rPr>
          <w:rFonts w:ascii="Times New Roman" w:hAnsi="Times New Roman"/>
          <w:b/>
          <w:noProof/>
          <w:lang w:val="lv-LV" w:eastAsia="lv-LV" w:bidi="lv-LV"/>
        </w:rPr>
        <w:t xml:space="preserve">vilkuma robežvērtību </w:t>
      </w:r>
      <w:r>
        <w:rPr>
          <w:rFonts w:ascii="Times New Roman" w:hAnsi="Times New Roman"/>
          <w:noProof/>
          <w:lang w:val="lv-LV" w:eastAsia="lv-LV" w:bidi="lv-LV"/>
        </w:rPr>
        <w:t xml:space="preserve">-35 % no IKP. Dažas dalībvalstis joprojām pārsniedz -100 % no IKP (Grieķija, </w:t>
      </w:r>
      <w:r>
        <w:rPr>
          <w:rFonts w:ascii="Times New Roman" w:hAnsi="Times New Roman"/>
          <w:noProof/>
          <w:lang w:val="lv-LV" w:eastAsia="lv-LV" w:bidi="lv-LV"/>
        </w:rPr>
        <w:lastRenderedPageBreak/>
        <w:t>Īrija, Kipra un Portugāle) un Spānijā šis rādītājs ir -80 % no IKP; arī Bulgārija, Horvātija, Latvija, Lietuva, Polija, Rumānija, Slovākija un Ungārija joproj</w:t>
      </w:r>
      <w:r>
        <w:rPr>
          <w:rFonts w:ascii="Times New Roman" w:hAnsi="Times New Roman"/>
          <w:noProof/>
          <w:lang w:val="lv-LV" w:eastAsia="lv-LV" w:bidi="lv-LV"/>
        </w:rPr>
        <w:t xml:space="preserve">ām atpaliek no rādītāja -35 % no IKP. </w:t>
      </w:r>
    </w:p>
    <w:p w:rsidR="003D03E9" w:rsidRDefault="00F77AE9">
      <w:pPr>
        <w:numPr>
          <w:ilvl w:val="0"/>
          <w:numId w:val="4"/>
        </w:numPr>
        <w:spacing w:before="120" w:after="120"/>
        <w:ind w:left="567" w:hanging="425"/>
        <w:jc w:val="both"/>
        <w:rPr>
          <w:rFonts w:ascii="Times New Roman" w:eastAsia="Times New Roman" w:hAnsi="Times New Roman" w:cs="Times New Roman"/>
          <w:noProof/>
          <w:lang w:val="lv-LV" w:eastAsia="lv-LV" w:bidi="lv-LV"/>
        </w:rPr>
      </w:pPr>
      <w:r>
        <w:rPr>
          <w:rFonts w:ascii="Times New Roman" w:hAnsi="Times New Roman"/>
          <w:noProof/>
          <w:lang w:val="lv-LV" w:eastAsia="lv-LV" w:bidi="lv-LV"/>
        </w:rPr>
        <w:t xml:space="preserve">Valstīs ar </w:t>
      </w:r>
      <w:r>
        <w:rPr>
          <w:rFonts w:ascii="Times New Roman" w:hAnsi="Times New Roman"/>
          <w:b/>
          <w:noProof/>
          <w:lang w:val="lv-LV" w:eastAsia="lv-LV" w:bidi="lv-LV"/>
        </w:rPr>
        <w:t xml:space="preserve">lielākoties negatīvām </w:t>
      </w:r>
      <w:r>
        <w:rPr>
          <w:rFonts w:ascii="Times New Roman" w:hAnsi="Times New Roman"/>
          <w:b/>
          <w:i/>
          <w:noProof/>
          <w:lang w:val="lv-LV" w:eastAsia="lv-LV" w:bidi="lv-LV"/>
        </w:rPr>
        <w:t>NIIP</w:t>
      </w:r>
      <w:r>
        <w:rPr>
          <w:rFonts w:ascii="Times New Roman" w:hAnsi="Times New Roman"/>
          <w:noProof/>
          <w:lang w:val="lv-LV" w:eastAsia="lv-LV" w:bidi="lv-LV"/>
        </w:rPr>
        <w:t xml:space="preserve">, rādījumi parasti ir </w:t>
      </w:r>
      <w:r>
        <w:rPr>
          <w:rFonts w:ascii="Times New Roman" w:hAnsi="Times New Roman"/>
          <w:b/>
          <w:noProof/>
          <w:lang w:val="lv-LV" w:eastAsia="lv-LV" w:bidi="lv-LV"/>
        </w:rPr>
        <w:t>zemāki par konkrētām valstīm adresētām robežvērtībām</w:t>
      </w:r>
      <w:r>
        <w:rPr>
          <w:rFonts w:ascii="Times New Roman" w:hAnsi="Times New Roman"/>
          <w:noProof/>
          <w:lang w:val="lv-LV" w:eastAsia="lv-LV" w:bidi="lv-LV"/>
        </w:rPr>
        <w:t xml:space="preserve"> — gan </w:t>
      </w:r>
      <w:r>
        <w:rPr>
          <w:rFonts w:ascii="Times New Roman" w:hAnsi="Times New Roman"/>
          <w:i/>
          <w:noProof/>
          <w:lang w:val="lv-LV" w:eastAsia="lv-LV" w:bidi="lv-LV"/>
        </w:rPr>
        <w:t>NIIP</w:t>
      </w:r>
      <w:r>
        <w:rPr>
          <w:rFonts w:ascii="Times New Roman" w:hAnsi="Times New Roman"/>
          <w:noProof/>
          <w:lang w:val="lv-LV" w:eastAsia="lv-LV" w:bidi="lv-LV"/>
        </w:rPr>
        <w:t xml:space="preserve"> normas, gan </w:t>
      </w:r>
      <w:r>
        <w:rPr>
          <w:rFonts w:ascii="Times New Roman" w:hAnsi="Times New Roman"/>
          <w:i/>
          <w:noProof/>
          <w:lang w:val="lv-LV" w:eastAsia="lv-LV" w:bidi="lv-LV"/>
        </w:rPr>
        <w:t>NIIP</w:t>
      </w:r>
      <w:r>
        <w:rPr>
          <w:rFonts w:ascii="Times New Roman" w:hAnsi="Times New Roman"/>
          <w:noProof/>
          <w:lang w:val="lv-LV" w:eastAsia="lv-LV" w:bidi="lv-LV"/>
        </w:rPr>
        <w:t xml:space="preserve"> prudenciālās robežvērtības. Tā tas ir Grieķijā, Īrijā, Kiprā, Portugālē un arī Spānijā. Grieķija reģistrēja nelielu </w:t>
      </w:r>
      <w:r>
        <w:rPr>
          <w:rFonts w:ascii="Times New Roman" w:hAnsi="Times New Roman"/>
          <w:i/>
          <w:noProof/>
          <w:lang w:val="lv-LV" w:eastAsia="lv-LV" w:bidi="lv-LV"/>
        </w:rPr>
        <w:t>NIIP</w:t>
      </w:r>
      <w:r>
        <w:rPr>
          <w:rFonts w:ascii="Times New Roman" w:hAnsi="Times New Roman"/>
          <w:noProof/>
          <w:lang w:val="lv-LV" w:eastAsia="lv-LV" w:bidi="lv-LV"/>
        </w:rPr>
        <w:t xml:space="preserve"> pasliktināšanos, un Portugālē reģistrēti nemainīgi rādījumi, abos gadījumos vērtēšanas efekts nedaudz vājināja </w:t>
      </w:r>
      <w:r>
        <w:rPr>
          <w:rFonts w:ascii="Times New Roman" w:hAnsi="Times New Roman"/>
          <w:i/>
          <w:noProof/>
          <w:lang w:val="lv-LV" w:eastAsia="lv-LV" w:bidi="lv-LV"/>
        </w:rPr>
        <w:t>NIIP</w:t>
      </w:r>
      <w:r>
        <w:rPr>
          <w:rFonts w:ascii="Times New Roman" w:hAnsi="Times New Roman"/>
          <w:noProof/>
          <w:lang w:val="lv-LV" w:eastAsia="lv-LV" w:bidi="lv-LV"/>
        </w:rPr>
        <w:t xml:space="preserve"> 2017. gadā; visās </w:t>
      </w:r>
      <w:r>
        <w:rPr>
          <w:rFonts w:ascii="Times New Roman" w:hAnsi="Times New Roman"/>
          <w:noProof/>
          <w:lang w:val="lv-LV" w:eastAsia="lv-LV" w:bidi="lv-LV"/>
        </w:rPr>
        <w:t xml:space="preserve">pārējās valstīs rezultāti ir uzlabojušies. Šīs īpaši negatīvās </w:t>
      </w:r>
      <w:r>
        <w:rPr>
          <w:rFonts w:ascii="Times New Roman" w:hAnsi="Times New Roman"/>
          <w:i/>
          <w:noProof/>
          <w:lang w:val="lv-LV" w:eastAsia="lv-LV" w:bidi="lv-LV"/>
        </w:rPr>
        <w:t>NIIP</w:t>
      </w:r>
      <w:r>
        <w:rPr>
          <w:rFonts w:ascii="Times New Roman" w:hAnsi="Times New Roman"/>
          <w:noProof/>
          <w:lang w:val="lv-LV" w:eastAsia="lv-LV" w:bidi="lv-LV"/>
        </w:rPr>
        <w:t xml:space="preserve"> raksturo </w:t>
      </w:r>
      <w:r>
        <w:rPr>
          <w:rFonts w:ascii="Times New Roman" w:hAnsi="Times New Roman"/>
          <w:b/>
          <w:noProof/>
          <w:lang w:val="lv-LV" w:eastAsia="lv-LV" w:bidi="lv-LV"/>
        </w:rPr>
        <w:t>liela neto parādsaistību daļa</w:t>
      </w:r>
      <w:r>
        <w:rPr>
          <w:rFonts w:ascii="Times New Roman" w:hAnsi="Times New Roman"/>
          <w:noProof/>
          <w:vertAlign w:val="superscript"/>
          <w:lang w:val="lv-LV" w:eastAsia="lv-LV" w:bidi="lv-LV"/>
        </w:rPr>
        <w:footnoteReference w:id="19"/>
      </w:r>
      <w:r>
        <w:rPr>
          <w:rFonts w:ascii="Times New Roman" w:hAnsi="Times New Roman"/>
          <w:noProof/>
          <w:lang w:val="lv-LV" w:eastAsia="lv-LV" w:bidi="lv-LV"/>
        </w:rPr>
        <w:t>. Aplūkojot skaitļus par Kipru un Īriju, ir jāapsver arī, cik lielā mērā abas valstis ietekmē starptautisku uzņēmumu un starptautiski orientētu pakal</w:t>
      </w:r>
      <w:r>
        <w:rPr>
          <w:rFonts w:ascii="Times New Roman" w:hAnsi="Times New Roman"/>
          <w:noProof/>
          <w:lang w:val="lv-LV" w:eastAsia="lv-LV" w:bidi="lv-LV"/>
        </w:rPr>
        <w:t xml:space="preserve">pojumu nozaru darbības; un Grieķijas dati jāaplūko, ņemot vērā lielo ārējo publiskā sektora parādu ar ļoti izdevīgām procentu likmēm. </w:t>
      </w:r>
    </w:p>
    <w:p w:rsidR="003D03E9" w:rsidRDefault="00F77AE9">
      <w:pPr>
        <w:numPr>
          <w:ilvl w:val="0"/>
          <w:numId w:val="4"/>
        </w:numPr>
        <w:spacing w:before="120" w:after="120"/>
        <w:ind w:left="567" w:hanging="425"/>
        <w:jc w:val="both"/>
        <w:rPr>
          <w:rFonts w:ascii="Times New Roman" w:eastAsia="Times New Roman" w:hAnsi="Times New Roman" w:cs="Times New Roman"/>
          <w:noProof/>
          <w:lang w:val="lv-LV" w:eastAsia="lv-LV" w:bidi="lv-LV"/>
        </w:rPr>
      </w:pPr>
      <w:r>
        <w:rPr>
          <w:rFonts w:ascii="Times New Roman" w:hAnsi="Times New Roman"/>
          <w:noProof/>
          <w:lang w:val="lv-LV" w:eastAsia="lv-LV" w:bidi="lv-LV"/>
        </w:rPr>
        <w:t xml:space="preserve">Valstīs, kurās ir </w:t>
      </w:r>
      <w:r>
        <w:rPr>
          <w:rFonts w:ascii="Times New Roman" w:hAnsi="Times New Roman"/>
          <w:b/>
          <w:noProof/>
          <w:lang w:val="lv-LV" w:eastAsia="lv-LV" w:bidi="lv-LV"/>
        </w:rPr>
        <w:t xml:space="preserve">negatīvi </w:t>
      </w:r>
      <w:r>
        <w:rPr>
          <w:rFonts w:ascii="Times New Roman" w:hAnsi="Times New Roman"/>
          <w:b/>
          <w:i/>
          <w:noProof/>
          <w:lang w:val="lv-LV" w:eastAsia="lv-LV" w:bidi="lv-LV"/>
        </w:rPr>
        <w:t>NIIP</w:t>
      </w:r>
      <w:r>
        <w:rPr>
          <w:rFonts w:ascii="Times New Roman" w:hAnsi="Times New Roman"/>
          <w:b/>
          <w:noProof/>
          <w:lang w:val="lv-LV" w:eastAsia="lv-LV" w:bidi="lv-LV"/>
        </w:rPr>
        <w:t xml:space="preserve"> starprezultāti</w:t>
      </w:r>
      <w:r>
        <w:rPr>
          <w:rFonts w:ascii="Times New Roman" w:hAnsi="Times New Roman"/>
          <w:noProof/>
          <w:lang w:val="lv-LV" w:eastAsia="lv-LV" w:bidi="lv-LV"/>
        </w:rPr>
        <w:t xml:space="preserve">, bet joprojām ir zem rādītāju kopsavilkuma robežvērtības -35 % no IKP, </w:t>
      </w:r>
      <w:r>
        <w:rPr>
          <w:rFonts w:ascii="Times New Roman" w:hAnsi="Times New Roman"/>
          <w:i/>
          <w:noProof/>
          <w:lang w:val="lv-LV" w:eastAsia="lv-LV" w:bidi="lv-LV"/>
        </w:rPr>
        <w:t>NII</w:t>
      </w:r>
      <w:r>
        <w:rPr>
          <w:rFonts w:ascii="Times New Roman" w:hAnsi="Times New Roman"/>
          <w:i/>
          <w:noProof/>
          <w:lang w:val="lv-LV" w:eastAsia="lv-LV" w:bidi="lv-LV"/>
        </w:rPr>
        <w:t>P</w:t>
      </w:r>
      <w:r>
        <w:rPr>
          <w:rFonts w:ascii="Times New Roman" w:hAnsi="Times New Roman"/>
          <w:noProof/>
          <w:lang w:val="lv-LV" w:eastAsia="lv-LV" w:bidi="lv-LV"/>
        </w:rPr>
        <w:t xml:space="preserve"> bieži vien ir zemāka par normu un dažos gadījumos nedaudz zemāka par prudenciālajām robežvērtībām. Šajās valstīs pašu kapitālam ir liela ietekme uz negatīvo </w:t>
      </w:r>
      <w:r>
        <w:rPr>
          <w:rFonts w:ascii="Times New Roman" w:hAnsi="Times New Roman"/>
          <w:i/>
          <w:noProof/>
          <w:lang w:val="lv-LV" w:eastAsia="lv-LV" w:bidi="lv-LV"/>
        </w:rPr>
        <w:t>NIIP</w:t>
      </w:r>
      <w:r>
        <w:rPr>
          <w:rFonts w:ascii="Times New Roman" w:hAnsi="Times New Roman"/>
          <w:noProof/>
          <w:lang w:val="lv-LV" w:eastAsia="lv-LV" w:bidi="lv-LV"/>
        </w:rPr>
        <w:t>, tostarp ņemot vērā iekšējos neto ĀTI krājumus.</w:t>
      </w:r>
      <w:r>
        <w:rPr>
          <w:rFonts w:ascii="Times New Roman" w:hAnsi="Times New Roman"/>
          <w:noProof/>
          <w:color w:val="000000"/>
          <w:lang w:val="lv-LV" w:eastAsia="lv-LV" w:bidi="lv-LV"/>
        </w:rPr>
        <w:t xml:space="preserve"> </w:t>
      </w:r>
      <w:r>
        <w:rPr>
          <w:rFonts w:ascii="Times New Roman" w:hAnsi="Times New Roman"/>
          <w:noProof/>
          <w:lang w:val="lv-LV" w:eastAsia="lv-LV" w:bidi="lv-LV"/>
        </w:rPr>
        <w:t xml:space="preserve">Valstīs ar mērenām ārējo krājumu pozīcijām </w:t>
      </w:r>
      <w:r>
        <w:rPr>
          <w:rFonts w:ascii="Times New Roman" w:hAnsi="Times New Roman"/>
          <w:i/>
          <w:noProof/>
          <w:lang w:val="lv-LV" w:eastAsia="lv-LV" w:bidi="lv-LV"/>
        </w:rPr>
        <w:t>N</w:t>
      </w:r>
      <w:r>
        <w:rPr>
          <w:rFonts w:ascii="Times New Roman" w:hAnsi="Times New Roman"/>
          <w:i/>
          <w:noProof/>
          <w:lang w:val="lv-LV" w:eastAsia="lv-LV" w:bidi="lv-LV"/>
        </w:rPr>
        <w:t>IIP</w:t>
      </w:r>
      <w:r>
        <w:rPr>
          <w:rFonts w:ascii="Times New Roman" w:hAnsi="Times New Roman"/>
          <w:noProof/>
          <w:lang w:val="lv-LV" w:eastAsia="lv-LV" w:bidi="lv-LV"/>
        </w:rPr>
        <w:t xml:space="preserve"> bieži vien pārsniedz attiecīgās normas; izņēmums ir Francija un Slovēnija, kur </w:t>
      </w:r>
      <w:r>
        <w:rPr>
          <w:rFonts w:ascii="Times New Roman" w:hAnsi="Times New Roman"/>
          <w:i/>
          <w:noProof/>
          <w:lang w:val="lv-LV" w:eastAsia="lv-LV" w:bidi="lv-LV"/>
        </w:rPr>
        <w:t>NIIP</w:t>
      </w:r>
      <w:r>
        <w:rPr>
          <w:rFonts w:ascii="Times New Roman" w:hAnsi="Times New Roman"/>
          <w:noProof/>
          <w:lang w:val="lv-LV" w:eastAsia="lv-LV" w:bidi="lv-LV"/>
        </w:rPr>
        <w:t xml:space="preserve"> ir zemākas par normām.</w:t>
      </w:r>
    </w:p>
    <w:p w:rsidR="003D03E9" w:rsidRDefault="00F77AE9">
      <w:pPr>
        <w:numPr>
          <w:ilvl w:val="0"/>
          <w:numId w:val="4"/>
        </w:numPr>
        <w:tabs>
          <w:tab w:val="left" w:pos="720"/>
        </w:tabs>
        <w:spacing w:before="120" w:after="120"/>
        <w:ind w:left="567" w:hanging="425"/>
        <w:jc w:val="both"/>
        <w:rPr>
          <w:rFonts w:ascii="Times New Roman" w:eastAsia="Times New Roman" w:hAnsi="Times New Roman" w:cs="Times New Roman"/>
          <w:noProof/>
          <w:lang w:val="lv-LV" w:eastAsia="lv-LV" w:bidi="lv-LV"/>
        </w:rPr>
      </w:pPr>
      <w:r>
        <w:rPr>
          <w:rFonts w:ascii="Times New Roman" w:hAnsi="Times New Roman"/>
          <w:noProof/>
          <w:lang w:val="lv-LV" w:eastAsia="lv-LV" w:bidi="lv-LV"/>
        </w:rPr>
        <w:t xml:space="preserve">Lielākajā daļā valstu, kurās ir lieli un pozitīvi </w:t>
      </w:r>
      <w:r>
        <w:rPr>
          <w:rFonts w:ascii="Times New Roman" w:hAnsi="Times New Roman"/>
          <w:i/>
          <w:noProof/>
          <w:lang w:val="lv-LV" w:eastAsia="lv-LV" w:bidi="lv-LV"/>
        </w:rPr>
        <w:t>NIIP</w:t>
      </w:r>
      <w:r>
        <w:rPr>
          <w:rFonts w:ascii="Times New Roman" w:hAnsi="Times New Roman"/>
          <w:noProof/>
          <w:lang w:val="lv-LV" w:eastAsia="lv-LV" w:bidi="lv-LV"/>
        </w:rPr>
        <w:t xml:space="preserve"> krājumi, </w:t>
      </w:r>
      <w:r>
        <w:rPr>
          <w:rFonts w:ascii="Times New Roman" w:hAnsi="Times New Roman"/>
          <w:i/>
          <w:noProof/>
          <w:lang w:val="lv-LV" w:eastAsia="lv-LV" w:bidi="lv-LV"/>
        </w:rPr>
        <w:t>NIIP</w:t>
      </w:r>
      <w:r>
        <w:rPr>
          <w:rFonts w:ascii="Times New Roman" w:hAnsi="Times New Roman"/>
          <w:noProof/>
          <w:lang w:val="lv-LV" w:eastAsia="lv-LV" w:bidi="lv-LV"/>
        </w:rPr>
        <w:t xml:space="preserve"> ir augstākas par normu un 2017. gadā ir palielinājušās, pateicoties lielajam</w:t>
      </w:r>
      <w:r>
        <w:rPr>
          <w:rFonts w:ascii="Times New Roman" w:hAnsi="Times New Roman"/>
          <w:noProof/>
          <w:lang w:val="lv-LV" w:eastAsia="lv-LV" w:bidi="lv-LV"/>
        </w:rPr>
        <w:t xml:space="preserve"> tekošā konta pārpalikumam. Nīderlande un Dānija negatīvu vērtējumu ietekmē reģistrēja nenozīmīgus </w:t>
      </w:r>
      <w:r>
        <w:rPr>
          <w:rFonts w:ascii="Times New Roman" w:hAnsi="Times New Roman"/>
          <w:i/>
          <w:noProof/>
          <w:lang w:val="lv-LV" w:eastAsia="lv-LV" w:bidi="lv-LV"/>
        </w:rPr>
        <w:t>NIIP</w:t>
      </w:r>
      <w:r>
        <w:rPr>
          <w:rFonts w:ascii="Times New Roman" w:hAnsi="Times New Roman"/>
          <w:noProof/>
          <w:lang w:val="lv-LV" w:eastAsia="lv-LV" w:bidi="lv-LV"/>
        </w:rPr>
        <w:t xml:space="preserve"> samazinājumus. Malta un Nīderlande 2017. gadu noslēdza ar </w:t>
      </w:r>
      <w:r>
        <w:rPr>
          <w:rFonts w:ascii="Times New Roman" w:hAnsi="Times New Roman"/>
          <w:i/>
          <w:noProof/>
          <w:lang w:val="lv-LV" w:eastAsia="lv-LV" w:bidi="lv-LV"/>
        </w:rPr>
        <w:t>NIIP</w:t>
      </w:r>
      <w:r>
        <w:rPr>
          <w:rFonts w:ascii="Times New Roman" w:hAnsi="Times New Roman"/>
          <w:noProof/>
          <w:lang w:val="lv-LV" w:eastAsia="lv-LV" w:bidi="lv-LV"/>
        </w:rPr>
        <w:t xml:space="preserve"> aptuveni 60 % apmērā no IKP, Beļģija, Dānija un Vācija — virs 50 %</w:t>
      </w:r>
      <w:r>
        <w:rPr>
          <w:rFonts w:ascii="Times New Roman" w:hAnsi="Times New Roman"/>
          <w:noProof/>
          <w:vertAlign w:val="superscript"/>
          <w:lang w:val="lv-LV" w:eastAsia="lv-LV" w:bidi="lv-LV"/>
        </w:rPr>
        <w:footnoteReference w:id="20"/>
      </w:r>
      <w:r>
        <w:rPr>
          <w:rFonts w:ascii="Times New Roman" w:hAnsi="Times New Roman"/>
          <w:noProof/>
          <w:lang w:val="lv-LV" w:eastAsia="lv-LV" w:bidi="lv-LV"/>
        </w:rPr>
        <w:t xml:space="preserve">. </w:t>
      </w:r>
    </w:p>
    <w:p w:rsidR="003D03E9" w:rsidRDefault="00F77AE9">
      <w:pPr>
        <w:keepNext/>
        <w:spacing w:before="120" w:after="120"/>
        <w:jc w:val="center"/>
        <w:rPr>
          <w:rFonts w:ascii="Times New Roman" w:eastAsia="MS Mincho" w:hAnsi="Times New Roman" w:cs="Times New Roman"/>
          <w:b/>
          <w:bCs/>
          <w:noProof/>
          <w:lang w:val="lv-LV" w:eastAsia="lv-LV" w:bidi="lv-LV"/>
        </w:rPr>
      </w:pPr>
      <w:r>
        <w:rPr>
          <w:rFonts w:ascii="Times New Roman" w:eastAsia="MS Mincho" w:hAnsi="Times New Roman" w:cs="Times New Roman"/>
          <w:b/>
          <w:bCs/>
          <w:noProof/>
          <w:lang w:val="lv-LV" w:eastAsia="lv-LV" w:bidi="lv-LV"/>
        </w:rPr>
        <w:lastRenderedPageBreak/>
        <w:fldChar w:fldCharType="begin" w:fldLock="1"/>
      </w:r>
      <w:r>
        <w:rPr>
          <w:rFonts w:ascii="Times New Roman" w:eastAsia="MS Mincho" w:hAnsi="Times New Roman" w:cs="Times New Roman"/>
          <w:b/>
          <w:bCs/>
          <w:noProof/>
          <w:lang w:val="lv-LV" w:eastAsia="lv-LV" w:bidi="lv-LV"/>
        </w:rPr>
        <w:instrText xml:space="preserve"> SEQ Graph \* ARABI</w:instrText>
      </w:r>
      <w:r>
        <w:rPr>
          <w:rFonts w:ascii="Times New Roman" w:eastAsia="MS Mincho" w:hAnsi="Times New Roman" w:cs="Times New Roman"/>
          <w:b/>
          <w:bCs/>
          <w:noProof/>
          <w:lang w:val="lv-LV" w:eastAsia="lv-LV" w:bidi="lv-LV"/>
        </w:rPr>
        <w:instrText xml:space="preserve">C </w:instrText>
      </w:r>
      <w:r>
        <w:rPr>
          <w:rFonts w:ascii="Times New Roman" w:eastAsia="MS Mincho" w:hAnsi="Times New Roman" w:cs="Times New Roman"/>
          <w:b/>
          <w:bCs/>
          <w:noProof/>
          <w:lang w:val="lv-LV" w:eastAsia="lv-LV" w:bidi="lv-LV"/>
        </w:rPr>
        <w:fldChar w:fldCharType="separate"/>
      </w:r>
      <w:r>
        <w:rPr>
          <w:rFonts w:ascii="Times New Roman" w:eastAsia="MS Mincho" w:hAnsi="Times New Roman" w:cs="Times New Roman"/>
          <w:b/>
          <w:bCs/>
          <w:noProof/>
          <w:lang w:val="lv-LV" w:eastAsia="lv-LV" w:bidi="lv-LV"/>
        </w:rPr>
        <w:t>4</w:t>
      </w:r>
      <w:r>
        <w:rPr>
          <w:rFonts w:ascii="Times New Roman" w:eastAsia="MS Mincho" w:hAnsi="Times New Roman" w:cs="Times New Roman"/>
          <w:b/>
          <w:bCs/>
          <w:noProof/>
          <w:lang w:val="lv-LV" w:eastAsia="lv-LV" w:bidi="lv-LV"/>
        </w:rPr>
        <w:fldChar w:fldCharType="end"/>
      </w:r>
      <w:r>
        <w:rPr>
          <w:rFonts w:ascii="Times New Roman" w:hAnsi="Times New Roman"/>
          <w:b/>
          <w:noProof/>
          <w:lang w:val="lv-LV" w:eastAsia="lv-LV" w:bidi="lv-LV"/>
        </w:rPr>
        <w:t xml:space="preserve"> grafiks. Neto starptautisko ieguldījumu pozīcijas (</w:t>
      </w:r>
      <w:r>
        <w:rPr>
          <w:rFonts w:ascii="Times New Roman" w:hAnsi="Times New Roman"/>
          <w:b/>
          <w:i/>
          <w:noProof/>
          <w:lang w:val="lv-LV" w:eastAsia="lv-LV" w:bidi="lv-LV"/>
        </w:rPr>
        <w:t>NIIP</w:t>
      </w:r>
      <w:r>
        <w:rPr>
          <w:rFonts w:ascii="Times New Roman" w:hAnsi="Times New Roman"/>
          <w:b/>
          <w:noProof/>
          <w:lang w:val="lv-LV" w:eastAsia="lv-LV" w:bidi="lv-LV"/>
        </w:rPr>
        <w:t>) un robežvērtības 2017. gadā</w:t>
      </w:r>
    </w:p>
    <w:p w:rsidR="003D03E9" w:rsidRDefault="00F77AE9">
      <w:pPr>
        <w:keepNext/>
        <w:spacing w:before="120" w:after="120"/>
        <w:jc w:val="center"/>
        <w:rPr>
          <w:rFonts w:ascii="Times New Roman" w:eastAsia="MS Mincho" w:hAnsi="Times New Roman" w:cs="Times New Roman"/>
          <w:b/>
          <w:bCs/>
          <w:noProof/>
          <w:sz w:val="24"/>
          <w:szCs w:val="20"/>
          <w:lang w:val="lv-LV" w:eastAsia="lv-LV" w:bidi="lv-LV"/>
        </w:rPr>
      </w:pPr>
      <w:r>
        <w:rPr>
          <w:rFonts w:ascii="Times New Roman" w:eastAsia="MS Mincho" w:hAnsi="Times New Roman" w:cs="Times New Roman"/>
          <w:b/>
          <w:bCs/>
          <w:noProof/>
          <w:sz w:val="24"/>
          <w:szCs w:val="20"/>
          <w:lang w:eastAsia="en-GB"/>
        </w:rPr>
        <w:drawing>
          <wp:inline distT="0" distB="0" distL="0" distR="0">
            <wp:extent cx="5218430" cy="3139440"/>
            <wp:effectExtent l="0" t="0" r="127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8430" cy="3139440"/>
                    </a:xfrm>
                    <a:prstGeom prst="rect">
                      <a:avLst/>
                    </a:prstGeom>
                    <a:noFill/>
                  </pic:spPr>
                </pic:pic>
              </a:graphicData>
            </a:graphic>
          </wp:inline>
        </w:drawing>
      </w:r>
    </w:p>
    <w:p w:rsidR="003D03E9" w:rsidRDefault="00F77AE9">
      <w:pPr>
        <w:spacing w:after="0"/>
        <w:jc w:val="both"/>
        <w:rPr>
          <w:rFonts w:ascii="Times New Roman" w:eastAsia="Times New Roman" w:hAnsi="Times New Roman" w:cs="Times New Roman"/>
          <w:noProof/>
          <w:sz w:val="20"/>
          <w:szCs w:val="20"/>
          <w:lang w:val="lv-LV" w:eastAsia="lv-LV" w:bidi="lv-LV"/>
        </w:rPr>
      </w:pPr>
      <w:r>
        <w:rPr>
          <w:rFonts w:ascii="Times New Roman" w:hAnsi="Times New Roman"/>
          <w:i/>
          <w:noProof/>
          <w:sz w:val="20"/>
          <w:lang w:val="lv-LV" w:eastAsia="lv-LV" w:bidi="lv-LV"/>
        </w:rPr>
        <w:t>Avots:</w:t>
      </w:r>
      <w:r>
        <w:rPr>
          <w:rFonts w:ascii="Times New Roman" w:hAnsi="Times New Roman"/>
          <w:noProof/>
          <w:sz w:val="20"/>
          <w:lang w:val="lv-LV" w:eastAsia="lv-LV" w:bidi="lv-LV"/>
        </w:rPr>
        <w:t xml:space="preserve"> </w:t>
      </w:r>
      <w:r>
        <w:rPr>
          <w:rFonts w:ascii="Times New Roman" w:hAnsi="Times New Roman"/>
          <w:i/>
          <w:noProof/>
          <w:sz w:val="20"/>
          <w:lang w:val="lv-LV" w:eastAsia="lv-LV" w:bidi="lv-LV"/>
        </w:rPr>
        <w:t>Eurostat</w:t>
      </w:r>
      <w:r>
        <w:rPr>
          <w:rFonts w:ascii="Times New Roman" w:hAnsi="Times New Roman"/>
          <w:noProof/>
          <w:sz w:val="20"/>
          <w:lang w:val="lv-LV" w:eastAsia="lv-LV" w:bidi="lv-LV"/>
        </w:rPr>
        <w:t xml:space="preserve"> (BPM6, EKS10), Komisijas dienestu aprēķini. </w:t>
      </w:r>
    </w:p>
    <w:p w:rsidR="003D03E9" w:rsidRDefault="00F77AE9">
      <w:pPr>
        <w:spacing w:after="0"/>
        <w:jc w:val="both"/>
        <w:rPr>
          <w:rFonts w:ascii="Times New Roman" w:eastAsia="Times New Roman" w:hAnsi="Times New Roman" w:cs="Times New Roman"/>
          <w:noProof/>
          <w:sz w:val="20"/>
          <w:szCs w:val="20"/>
          <w:lang w:val="lv-LV" w:eastAsia="lv-LV" w:bidi="lv-LV"/>
        </w:rPr>
      </w:pPr>
      <w:r>
        <w:rPr>
          <w:i/>
          <w:noProof/>
          <w:lang w:val="lv-LV" w:eastAsia="lv-LV" w:bidi="lv-LV"/>
        </w:rPr>
        <w:t>Piezīme:</w:t>
      </w:r>
      <w:r>
        <w:rPr>
          <w:rFonts w:ascii="Times New Roman" w:hAnsi="Times New Roman"/>
          <w:noProof/>
          <w:sz w:val="20"/>
          <w:lang w:val="lv-LV" w:eastAsia="lv-LV" w:bidi="lv-LV"/>
        </w:rPr>
        <w:t xml:space="preserve"> valstis norādītas </w:t>
      </w:r>
      <w:r>
        <w:rPr>
          <w:rFonts w:ascii="Times New Roman" w:hAnsi="Times New Roman"/>
          <w:i/>
          <w:noProof/>
          <w:sz w:val="20"/>
          <w:lang w:val="lv-LV" w:eastAsia="lv-LV" w:bidi="lv-LV"/>
        </w:rPr>
        <w:t>NIIP</w:t>
      </w:r>
      <w:r>
        <w:rPr>
          <w:rFonts w:ascii="Times New Roman" w:hAnsi="Times New Roman"/>
          <w:noProof/>
          <w:sz w:val="20"/>
          <w:lang w:val="lv-LV" w:eastAsia="lv-LV" w:bidi="lv-LV"/>
        </w:rPr>
        <w:t xml:space="preserve"> pret IKP attiecības dilstošā secībā 2017. gadā. </w:t>
      </w:r>
      <w:r>
        <w:rPr>
          <w:rFonts w:ascii="Times New Roman" w:hAnsi="Times New Roman"/>
          <w:i/>
          <w:noProof/>
          <w:sz w:val="20"/>
          <w:lang w:val="lv-LV" w:eastAsia="lv-LV" w:bidi="lv-LV"/>
        </w:rPr>
        <w:t>NENDI</w:t>
      </w:r>
      <w:r>
        <w:rPr>
          <w:rFonts w:ascii="Times New Roman" w:hAnsi="Times New Roman"/>
          <w:noProof/>
          <w:sz w:val="20"/>
          <w:lang w:val="lv-LV" w:eastAsia="lv-LV" w:bidi="lv-LV"/>
        </w:rPr>
        <w:t xml:space="preserve"> ir </w:t>
      </w:r>
      <w:r>
        <w:rPr>
          <w:rFonts w:ascii="Times New Roman" w:hAnsi="Times New Roman"/>
          <w:i/>
          <w:noProof/>
          <w:sz w:val="20"/>
          <w:lang w:val="lv-LV" w:eastAsia="lv-LV" w:bidi="lv-LV"/>
        </w:rPr>
        <w:t>NIIP</w:t>
      </w:r>
      <w:r>
        <w:rPr>
          <w:rFonts w:ascii="Times New Roman" w:hAnsi="Times New Roman"/>
          <w:noProof/>
          <w:sz w:val="20"/>
          <w:lang w:val="lv-LV" w:eastAsia="lv-LV" w:bidi="lv-LV"/>
        </w:rPr>
        <w:t xml:space="preserve"> mīnus instrumenti bez saistību neizpildes riska, skatīt 1. izcēlumu. Attiecībā uz jēdzieniem “</w:t>
      </w:r>
      <w:r>
        <w:rPr>
          <w:rFonts w:ascii="Times New Roman" w:hAnsi="Times New Roman"/>
          <w:i/>
          <w:noProof/>
          <w:sz w:val="20"/>
          <w:lang w:val="lv-LV" w:eastAsia="lv-LV" w:bidi="lv-LV"/>
        </w:rPr>
        <w:t>NIIP</w:t>
      </w:r>
      <w:r>
        <w:rPr>
          <w:rFonts w:ascii="Times New Roman" w:hAnsi="Times New Roman"/>
          <w:noProof/>
          <w:sz w:val="20"/>
          <w:lang w:val="lv-LV" w:eastAsia="lv-LV" w:bidi="lv-LV"/>
        </w:rPr>
        <w:t xml:space="preserve"> norma” un “</w:t>
      </w:r>
      <w:r>
        <w:rPr>
          <w:rFonts w:ascii="Times New Roman" w:hAnsi="Times New Roman"/>
          <w:i/>
          <w:noProof/>
          <w:sz w:val="20"/>
          <w:lang w:val="lv-LV" w:eastAsia="lv-LV" w:bidi="lv-LV"/>
        </w:rPr>
        <w:t>NIIP</w:t>
      </w:r>
      <w:r>
        <w:rPr>
          <w:rFonts w:ascii="Times New Roman" w:hAnsi="Times New Roman"/>
          <w:noProof/>
          <w:sz w:val="20"/>
          <w:lang w:val="lv-LV" w:eastAsia="lv-LV" w:bidi="lv-LV"/>
        </w:rPr>
        <w:t xml:space="preserve"> prudenciālā robežvērtība”, skatīt </w:t>
      </w:r>
      <w:r>
        <w:rPr>
          <w:rFonts w:ascii="Times New Roman" w:eastAsia="Times New Roman" w:hAnsi="Times New Roman" w:cs="Times New Roman"/>
          <w:noProof/>
          <w:sz w:val="20"/>
          <w:szCs w:val="20"/>
          <w:lang w:val="lv-LV" w:eastAsia="lv-LV" w:bidi="lv-LV"/>
        </w:rPr>
        <w:fldChar w:fldCharType="begin" w:fldLock="1"/>
      </w:r>
      <w:r>
        <w:rPr>
          <w:rFonts w:ascii="Times New Roman" w:eastAsia="Times New Roman" w:hAnsi="Times New Roman" w:cs="Times New Roman"/>
          <w:noProof/>
          <w:sz w:val="20"/>
          <w:szCs w:val="20"/>
          <w:lang w:val="lv-LV" w:eastAsia="lv-LV" w:bidi="lv-LV"/>
        </w:rPr>
        <w:instrText xml:space="preserve"> NOTEREF _Ref526336022 \h  \* MERGEFORMAT </w:instrText>
      </w:r>
      <w:r>
        <w:rPr>
          <w:rFonts w:ascii="Times New Roman" w:eastAsia="Times New Roman" w:hAnsi="Times New Roman" w:cs="Times New Roman"/>
          <w:noProof/>
          <w:sz w:val="20"/>
          <w:szCs w:val="20"/>
          <w:lang w:val="lv-LV" w:eastAsia="lv-LV" w:bidi="lv-LV"/>
        </w:rPr>
      </w:r>
      <w:r>
        <w:rPr>
          <w:rFonts w:ascii="Times New Roman" w:eastAsia="Times New Roman" w:hAnsi="Times New Roman" w:cs="Times New Roman"/>
          <w:noProof/>
          <w:sz w:val="20"/>
          <w:szCs w:val="20"/>
          <w:lang w:val="lv-LV" w:eastAsia="lv-LV" w:bidi="lv-LV"/>
        </w:rPr>
        <w:fldChar w:fldCharType="separate"/>
      </w:r>
      <w:r>
        <w:rPr>
          <w:rFonts w:ascii="Times New Roman" w:eastAsia="Times New Roman" w:hAnsi="Times New Roman" w:cs="Times New Roman"/>
          <w:noProof/>
          <w:sz w:val="20"/>
          <w:szCs w:val="20"/>
          <w:lang w:val="lv-LV" w:eastAsia="lv-LV" w:bidi="lv-LV"/>
        </w:rPr>
        <w:t>18</w:t>
      </w:r>
      <w:r>
        <w:rPr>
          <w:rFonts w:ascii="Times New Roman" w:eastAsia="Times New Roman" w:hAnsi="Times New Roman" w:cs="Times New Roman"/>
          <w:noProof/>
          <w:sz w:val="20"/>
          <w:szCs w:val="20"/>
          <w:lang w:val="lv-LV" w:eastAsia="lv-LV" w:bidi="lv-LV"/>
        </w:rPr>
        <w:fldChar w:fldCharType="end"/>
      </w:r>
      <w:r>
        <w:rPr>
          <w:rFonts w:ascii="Times New Roman" w:hAnsi="Times New Roman"/>
          <w:noProof/>
          <w:sz w:val="20"/>
          <w:lang w:val="lv-LV" w:eastAsia="lv-LV" w:bidi="lv-LV"/>
        </w:rPr>
        <w:t xml:space="preserve">. zemsvītras piezīmi. </w:t>
      </w:r>
    </w:p>
    <w:p w:rsidR="003D03E9" w:rsidRDefault="003D03E9">
      <w:pPr>
        <w:keepNext/>
        <w:spacing w:after="0"/>
        <w:jc w:val="center"/>
        <w:rPr>
          <w:rFonts w:ascii="Times New Roman" w:eastAsia="MS Mincho" w:hAnsi="Times New Roman" w:cs="Times New Roman"/>
          <w:b/>
          <w:bCs/>
          <w:noProof/>
          <w:lang w:val="lv-LV" w:eastAsia="lv-LV" w:bidi="lv-LV"/>
        </w:rPr>
      </w:pPr>
    </w:p>
    <w:p w:rsidR="003D03E9" w:rsidRDefault="00F77AE9">
      <w:pPr>
        <w:keepNext/>
        <w:spacing w:before="120" w:after="120"/>
        <w:jc w:val="center"/>
        <w:rPr>
          <w:rFonts w:ascii="Times New Roman" w:eastAsia="MS Mincho" w:hAnsi="Times New Roman" w:cs="Times New Roman"/>
          <w:b/>
          <w:bCs/>
          <w:noProof/>
          <w:lang w:val="lv-LV" w:eastAsia="lv-LV" w:bidi="lv-LV"/>
        </w:rPr>
      </w:pPr>
      <w:r>
        <w:rPr>
          <w:rFonts w:ascii="Times New Roman" w:eastAsia="MS Mincho" w:hAnsi="Times New Roman" w:cs="Times New Roman"/>
          <w:b/>
          <w:bCs/>
          <w:noProof/>
          <w:lang w:val="lv-LV" w:eastAsia="lv-LV" w:bidi="lv-LV"/>
        </w:rPr>
        <w:fldChar w:fldCharType="begin" w:fldLock="1"/>
      </w:r>
      <w:r>
        <w:rPr>
          <w:rFonts w:ascii="Times New Roman" w:eastAsia="MS Mincho" w:hAnsi="Times New Roman" w:cs="Times New Roman"/>
          <w:b/>
          <w:bCs/>
          <w:noProof/>
          <w:lang w:val="lv-LV" w:eastAsia="lv-LV" w:bidi="lv-LV"/>
        </w:rPr>
        <w:instrText xml:space="preserve"> SEQ Graph \* ARABIC </w:instrText>
      </w:r>
      <w:r>
        <w:rPr>
          <w:rFonts w:ascii="Times New Roman" w:eastAsia="MS Mincho" w:hAnsi="Times New Roman" w:cs="Times New Roman"/>
          <w:b/>
          <w:bCs/>
          <w:noProof/>
          <w:lang w:val="lv-LV" w:eastAsia="lv-LV" w:bidi="lv-LV"/>
        </w:rPr>
        <w:fldChar w:fldCharType="separate"/>
      </w:r>
      <w:r>
        <w:rPr>
          <w:rFonts w:ascii="Times New Roman" w:eastAsia="MS Mincho" w:hAnsi="Times New Roman" w:cs="Times New Roman"/>
          <w:b/>
          <w:bCs/>
          <w:noProof/>
          <w:lang w:val="lv-LV" w:eastAsia="lv-LV" w:bidi="lv-LV"/>
        </w:rPr>
        <w:t>5</w:t>
      </w:r>
      <w:r>
        <w:rPr>
          <w:rFonts w:ascii="Times New Roman" w:eastAsia="MS Mincho" w:hAnsi="Times New Roman" w:cs="Times New Roman"/>
          <w:b/>
          <w:bCs/>
          <w:noProof/>
          <w:lang w:val="lv-LV" w:eastAsia="lv-LV" w:bidi="lv-LV"/>
        </w:rPr>
        <w:fldChar w:fldCharType="end"/>
      </w:r>
      <w:r>
        <w:rPr>
          <w:rFonts w:ascii="Times New Roman" w:hAnsi="Times New Roman"/>
          <w:b/>
          <w:noProof/>
          <w:lang w:val="lv-LV" w:eastAsia="lv-LV" w:bidi="lv-LV"/>
        </w:rPr>
        <w:t xml:space="preserve"> grafiks. Neto starptautisko ieguldījumu pozīciju (</w:t>
      </w:r>
      <w:r>
        <w:rPr>
          <w:rFonts w:ascii="Times New Roman" w:hAnsi="Times New Roman"/>
          <w:b/>
          <w:i/>
          <w:noProof/>
          <w:lang w:val="lv-LV" w:eastAsia="lv-LV" w:bidi="lv-LV"/>
        </w:rPr>
        <w:t>NIIP</w:t>
      </w:r>
      <w:r>
        <w:rPr>
          <w:rFonts w:ascii="Times New Roman" w:hAnsi="Times New Roman"/>
          <w:b/>
          <w:noProof/>
          <w:lang w:val="lv-LV" w:eastAsia="lv-LV" w:bidi="lv-LV"/>
        </w:rPr>
        <w:t>) dinamika</w:t>
      </w:r>
    </w:p>
    <w:p w:rsidR="003D03E9" w:rsidRDefault="00F77AE9">
      <w:pPr>
        <w:tabs>
          <w:tab w:val="left" w:pos="720"/>
        </w:tabs>
        <w:spacing w:before="120" w:after="120"/>
        <w:ind w:left="425"/>
        <w:jc w:val="both"/>
        <w:rPr>
          <w:rFonts w:ascii="Times New Roman" w:eastAsia="Times New Roman" w:hAnsi="Times New Roman" w:cs="Times New Roman"/>
          <w:noProof/>
          <w:sz w:val="24"/>
          <w:szCs w:val="20"/>
          <w:lang w:val="lv-LV" w:eastAsia="lv-LV" w:bidi="lv-LV"/>
        </w:rPr>
      </w:pPr>
      <w:r>
        <w:rPr>
          <w:rFonts w:ascii="Times New Roman" w:eastAsia="Times New Roman" w:hAnsi="Times New Roman" w:cs="Times New Roman"/>
          <w:noProof/>
          <w:sz w:val="24"/>
          <w:szCs w:val="20"/>
          <w:lang w:eastAsia="en-GB"/>
        </w:rPr>
        <w:drawing>
          <wp:inline distT="0" distB="0" distL="0" distR="0">
            <wp:extent cx="4999355" cy="31642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99355" cy="3164205"/>
                    </a:xfrm>
                    <a:prstGeom prst="rect">
                      <a:avLst/>
                    </a:prstGeom>
                    <a:noFill/>
                  </pic:spPr>
                </pic:pic>
              </a:graphicData>
            </a:graphic>
          </wp:inline>
        </w:drawing>
      </w:r>
    </w:p>
    <w:p w:rsidR="003D03E9" w:rsidRDefault="00F77AE9">
      <w:pPr>
        <w:spacing w:after="0"/>
        <w:jc w:val="both"/>
        <w:rPr>
          <w:rFonts w:ascii="Times New Roman" w:eastAsia="Times New Roman" w:hAnsi="Times New Roman" w:cs="Times New Roman"/>
          <w:noProof/>
          <w:sz w:val="20"/>
          <w:szCs w:val="20"/>
          <w:lang w:val="lv-LV" w:eastAsia="lv-LV" w:bidi="lv-LV"/>
        </w:rPr>
      </w:pPr>
      <w:r>
        <w:rPr>
          <w:rFonts w:ascii="Times New Roman" w:hAnsi="Times New Roman"/>
          <w:i/>
          <w:noProof/>
          <w:sz w:val="20"/>
          <w:lang w:val="lv-LV" w:eastAsia="lv-LV" w:bidi="lv-LV"/>
        </w:rPr>
        <w:t>Avots: Eurostat</w:t>
      </w:r>
      <w:r>
        <w:rPr>
          <w:rFonts w:ascii="Times New Roman" w:hAnsi="Times New Roman"/>
          <w:noProof/>
          <w:sz w:val="20"/>
          <w:lang w:val="lv-LV" w:eastAsia="lv-LV" w:bidi="lv-LV"/>
        </w:rPr>
        <w:t>.</w:t>
      </w:r>
    </w:p>
    <w:p w:rsidR="003D03E9" w:rsidRDefault="00F77AE9">
      <w:pPr>
        <w:spacing w:after="0"/>
        <w:jc w:val="both"/>
        <w:rPr>
          <w:rFonts w:ascii="Times New Roman" w:eastAsia="Times New Roman" w:hAnsi="Times New Roman" w:cs="Times New Roman"/>
          <w:i/>
          <w:noProof/>
          <w:sz w:val="20"/>
          <w:szCs w:val="20"/>
          <w:lang w:val="lv-LV" w:eastAsia="lv-LV" w:bidi="lv-LV"/>
        </w:rPr>
      </w:pPr>
      <w:r>
        <w:rPr>
          <w:rFonts w:ascii="Times New Roman" w:hAnsi="Times New Roman"/>
          <w:noProof/>
          <w:sz w:val="20"/>
          <w:lang w:val="lv-LV" w:eastAsia="lv-LV" w:bidi="lv-LV"/>
        </w:rPr>
        <w:t xml:space="preserve">Piezīme: valstis norādītas </w:t>
      </w:r>
      <w:r>
        <w:rPr>
          <w:rFonts w:ascii="Times New Roman" w:hAnsi="Times New Roman"/>
          <w:i/>
          <w:noProof/>
          <w:sz w:val="20"/>
          <w:lang w:val="lv-LV" w:eastAsia="lv-LV" w:bidi="lv-LV"/>
        </w:rPr>
        <w:t>NIIP</w:t>
      </w:r>
      <w:r>
        <w:rPr>
          <w:rFonts w:ascii="Times New Roman" w:hAnsi="Times New Roman"/>
          <w:noProof/>
          <w:sz w:val="20"/>
          <w:lang w:val="lv-LV" w:eastAsia="lv-LV" w:bidi="lv-LV"/>
        </w:rPr>
        <w:t xml:space="preserve"> pret IKP attiecības variācijas dilstošā secībā 2017. gadā.</w:t>
      </w:r>
    </w:p>
    <w:p w:rsidR="003D03E9" w:rsidRDefault="00F77AE9">
      <w:pPr>
        <w:spacing w:before="120" w:after="120"/>
        <w:jc w:val="both"/>
        <w:rPr>
          <w:rFonts w:ascii="Times New Roman" w:eastAsia="Times New Roman" w:hAnsi="Times New Roman" w:cs="Times New Roman"/>
          <w:noProof/>
          <w:lang w:val="lv-LV" w:eastAsia="lv-LV" w:bidi="lv-LV"/>
        </w:rPr>
      </w:pPr>
      <w:r>
        <w:rPr>
          <w:rFonts w:ascii="Times New Roman" w:hAnsi="Times New Roman"/>
          <w:b/>
          <w:noProof/>
          <w:lang w:val="lv-LV" w:eastAsia="lv-LV" w:bidi="lv-LV"/>
        </w:rPr>
        <w:lastRenderedPageBreak/>
        <w:t xml:space="preserve">Izmaksu konkurētspējas tendences ir kļuvušas mazāk labvēlīgas līdzsvarošanas panākšanai. </w:t>
      </w:r>
      <w:r>
        <w:rPr>
          <w:rFonts w:ascii="Times New Roman" w:hAnsi="Times New Roman"/>
          <w:noProof/>
          <w:lang w:val="lv-LV" w:eastAsia="lv-LV" w:bidi="lv-LV"/>
        </w:rPr>
        <w:t>Pēckrīzes vienības darbaspēka izmaksu (</w:t>
      </w:r>
      <w:r>
        <w:rPr>
          <w:rFonts w:ascii="Times New Roman" w:hAnsi="Times New Roman"/>
          <w:i/>
          <w:noProof/>
          <w:lang w:val="lv-LV" w:eastAsia="lv-LV" w:bidi="lv-LV"/>
        </w:rPr>
        <w:t>ULC</w:t>
      </w:r>
      <w:r>
        <w:rPr>
          <w:rFonts w:ascii="Times New Roman" w:hAnsi="Times New Roman"/>
          <w:noProof/>
          <w:lang w:val="lv-LV" w:eastAsia="lv-LV" w:bidi="lv-LV"/>
        </w:rPr>
        <w:t>) tendencēm bija raksturīga relatīvi vāja dinamika valstīs, kurās</w:t>
      </w:r>
      <w:r>
        <w:rPr>
          <w:rFonts w:ascii="Times New Roman" w:hAnsi="Times New Roman"/>
          <w:noProof/>
          <w:lang w:val="lv-LV" w:eastAsia="lv-LV" w:bidi="lv-LV"/>
        </w:rPr>
        <w:t xml:space="preserve"> pēc liela tekošā konta deficīta novēršanas bija novērojams pieprasījuma sarukums. Līdz ar ekonomikas atveseļošanos atsākās vienības darbaspēka izmaksu pieaugums, tomēr tas ir bijis salīdzinoši pieticīgs, neraugoties uz to, ka pieprasījums darba tirgū piea</w:t>
      </w:r>
      <w:r>
        <w:rPr>
          <w:rFonts w:ascii="Times New Roman" w:hAnsi="Times New Roman"/>
          <w:noProof/>
          <w:lang w:val="lv-LV" w:eastAsia="lv-LV" w:bidi="lv-LV"/>
        </w:rPr>
        <w:t xml:space="preserve">ug. Ievērojami </w:t>
      </w:r>
      <w:r>
        <w:rPr>
          <w:rFonts w:ascii="Times New Roman" w:hAnsi="Times New Roman"/>
          <w:i/>
          <w:noProof/>
          <w:lang w:val="lv-LV" w:eastAsia="lv-LV" w:bidi="lv-LV"/>
        </w:rPr>
        <w:t>ULC</w:t>
      </w:r>
      <w:r>
        <w:rPr>
          <w:rFonts w:ascii="Times New Roman" w:hAnsi="Times New Roman"/>
          <w:noProof/>
          <w:lang w:val="lv-LV" w:eastAsia="lv-LV" w:bidi="lv-LV"/>
        </w:rPr>
        <w:t xml:space="preserve"> pieauguma paātrinājumi reģistrēti vairākās Centrāleiropas un Austrumeiropas valstīs: kopš 2012. gada Bulgārijā un Igaunijā, kopš 2013. gada Latvijā un Lietuvā, kopš 2016. gada Čehijā, Rumānijā un Ungārijā. Pateicoties ekonomikas ekspansi</w:t>
      </w:r>
      <w:r>
        <w:rPr>
          <w:rFonts w:ascii="Times New Roman" w:hAnsi="Times New Roman"/>
          <w:noProof/>
          <w:lang w:val="lv-LV" w:eastAsia="lv-LV" w:bidi="lv-LV"/>
        </w:rPr>
        <w:t xml:space="preserve">jas konsolidācijai </w:t>
      </w:r>
      <w:r>
        <w:rPr>
          <w:rFonts w:ascii="Times New Roman" w:hAnsi="Times New Roman"/>
          <w:i/>
          <w:noProof/>
          <w:lang w:val="lv-LV" w:eastAsia="lv-LV" w:bidi="lv-LV"/>
        </w:rPr>
        <w:t>ULC</w:t>
      </w:r>
      <w:r>
        <w:rPr>
          <w:rFonts w:ascii="Times New Roman" w:hAnsi="Times New Roman"/>
          <w:noProof/>
          <w:lang w:val="lv-LV" w:eastAsia="lv-LV" w:bidi="lv-LV"/>
        </w:rPr>
        <w:t xml:space="preserve"> 2017. gadā turpināja palielināties lielākajā daļā dalībvalstu, tomēr darbaspēka izmaksas lielajās neto kreditorvalstīs ievērojami nepalielinājās. Tā rezultātā joprojām tiek apstiprināta 2016. gadā aizsāktā dinamika, saskaņā ar kuru i</w:t>
      </w:r>
      <w:r>
        <w:rPr>
          <w:rFonts w:ascii="Times New Roman" w:hAnsi="Times New Roman"/>
          <w:noProof/>
          <w:lang w:val="lv-LV" w:eastAsia="lv-LV" w:bidi="lv-LV"/>
        </w:rPr>
        <w:t xml:space="preserve">zmaksu konkurētspējas tendences ir kļuvušas mazāk labvēlīgas līdzsvarošanas panākšanai (skatīt arī 2. izcēlumu). </w:t>
      </w:r>
    </w:p>
    <w:p w:rsidR="003D03E9" w:rsidRDefault="00F77AE9">
      <w:pPr>
        <w:numPr>
          <w:ilvl w:val="0"/>
          <w:numId w:val="5"/>
        </w:numPr>
        <w:spacing w:before="120" w:after="120"/>
        <w:ind w:left="567" w:hanging="425"/>
        <w:jc w:val="both"/>
        <w:rPr>
          <w:rFonts w:ascii="Times New Roman" w:eastAsia="Calibri" w:hAnsi="Times New Roman" w:cs="Times New Roman"/>
          <w:noProof/>
          <w:lang w:val="lv-LV" w:eastAsia="lv-LV" w:bidi="lv-LV"/>
        </w:rPr>
      </w:pPr>
      <w:r>
        <w:rPr>
          <w:i/>
          <w:noProof/>
          <w:lang w:val="lv-LV" w:eastAsia="lv-LV" w:bidi="lv-LV"/>
        </w:rPr>
        <w:t>ULC</w:t>
      </w:r>
      <w:r>
        <w:rPr>
          <w:noProof/>
          <w:lang w:val="lv-LV" w:eastAsia="lv-LV" w:bidi="lv-LV"/>
        </w:rPr>
        <w:t xml:space="preserve"> ir palielinājušās lielākajā daļā dalībvalstu.</w:t>
      </w:r>
      <w:r>
        <w:rPr>
          <w:rFonts w:ascii="Times New Roman" w:hAnsi="Times New Roman"/>
          <w:noProof/>
          <w:lang w:val="lv-LV" w:eastAsia="lv-LV" w:bidi="lv-LV"/>
        </w:rPr>
        <w:t xml:space="preserve"> </w:t>
      </w:r>
      <w:r>
        <w:rPr>
          <w:rFonts w:ascii="Times New Roman" w:hAnsi="Times New Roman"/>
          <w:i/>
          <w:noProof/>
          <w:lang w:val="lv-LV" w:eastAsia="lv-LV" w:bidi="lv-LV"/>
        </w:rPr>
        <w:t>ULC</w:t>
      </w:r>
      <w:r>
        <w:rPr>
          <w:rFonts w:ascii="Times New Roman" w:hAnsi="Times New Roman"/>
          <w:noProof/>
          <w:lang w:val="lv-LV" w:eastAsia="lv-LV" w:bidi="lv-LV"/>
        </w:rPr>
        <w:t xml:space="preserve"> pieaugums pēdējos gados bija īpaši izteikts Bulgārijā, Igaunijā, Latvijā un Lietuvā (</w:t>
      </w:r>
      <w:r>
        <w:rPr>
          <w:rFonts w:ascii="Times New Roman" w:eastAsia="MS Mincho" w:hAnsi="Times New Roman" w:cs="Times New Roman"/>
          <w:bCs/>
          <w:noProof/>
          <w:lang w:val="lv-LV" w:eastAsia="lv-LV" w:bidi="lv-LV"/>
        </w:rPr>
        <w:fldChar w:fldCharType="begin" w:fldLock="1"/>
      </w:r>
      <w:r>
        <w:rPr>
          <w:rFonts w:ascii="Times New Roman" w:eastAsia="MS Mincho" w:hAnsi="Times New Roman" w:cs="Times New Roman"/>
          <w:bCs/>
          <w:noProof/>
          <w:lang w:val="lv-LV" w:eastAsia="lv-LV" w:bidi="lv-LV"/>
        </w:rPr>
        <w:instrText xml:space="preserve"> SEQ Graph \* ARABIC </w:instrText>
      </w:r>
      <w:r>
        <w:rPr>
          <w:rFonts w:ascii="Times New Roman" w:eastAsia="MS Mincho" w:hAnsi="Times New Roman" w:cs="Times New Roman"/>
          <w:bCs/>
          <w:noProof/>
          <w:lang w:val="lv-LV" w:eastAsia="lv-LV" w:bidi="lv-LV"/>
        </w:rPr>
        <w:fldChar w:fldCharType="separate"/>
      </w:r>
      <w:r>
        <w:rPr>
          <w:rFonts w:ascii="Times New Roman" w:eastAsia="MS Mincho" w:hAnsi="Times New Roman" w:cs="Times New Roman"/>
          <w:bCs/>
          <w:noProof/>
          <w:lang w:val="lv-LV" w:eastAsia="lv-LV" w:bidi="lv-LV"/>
        </w:rPr>
        <w:t>6</w:t>
      </w:r>
      <w:r>
        <w:rPr>
          <w:rFonts w:ascii="Times New Roman" w:eastAsia="MS Mincho" w:hAnsi="Times New Roman" w:cs="Times New Roman"/>
          <w:bCs/>
          <w:noProof/>
          <w:lang w:val="lv-LV" w:eastAsia="lv-LV" w:bidi="lv-LV"/>
        </w:rPr>
        <w:fldChar w:fldCharType="end"/>
      </w:r>
      <w:r>
        <w:rPr>
          <w:rFonts w:ascii="Times New Roman" w:hAnsi="Times New Roman"/>
          <w:noProof/>
          <w:lang w:val="lv-LV" w:eastAsia="lv-LV" w:bidi="lv-LV"/>
        </w:rPr>
        <w:t xml:space="preserve">. grafiks); visas minētās valstis ir šķērsojušas rādītāju kopsavilkuma robežvērtību. 2017. gadā salīdzinājumā ar iepriekšējiem gadiem </w:t>
      </w:r>
      <w:r>
        <w:rPr>
          <w:rFonts w:ascii="Times New Roman" w:hAnsi="Times New Roman"/>
          <w:i/>
          <w:noProof/>
          <w:lang w:val="lv-LV" w:eastAsia="lv-LV" w:bidi="lv-LV"/>
        </w:rPr>
        <w:t>ULC</w:t>
      </w:r>
      <w:r>
        <w:rPr>
          <w:rFonts w:ascii="Times New Roman" w:hAnsi="Times New Roman"/>
          <w:noProof/>
          <w:lang w:val="lv-LV" w:eastAsia="lv-LV" w:bidi="lv-LV"/>
        </w:rPr>
        <w:t xml:space="preserve"> pieauguma paātrinājumi bija izteiktāki Bulgārijā un Rumānijā un mazākā mērā arī Čehijā, Lukse</w:t>
      </w:r>
      <w:r>
        <w:rPr>
          <w:rFonts w:ascii="Times New Roman" w:hAnsi="Times New Roman"/>
          <w:noProof/>
          <w:lang w:val="lv-LV" w:eastAsia="lv-LV" w:bidi="lv-LV"/>
        </w:rPr>
        <w:t xml:space="preserve">mburgā un Slovākijā. Aplēses par 2018. gadu liecina par </w:t>
      </w:r>
      <w:r>
        <w:rPr>
          <w:rFonts w:ascii="Times New Roman" w:hAnsi="Times New Roman"/>
          <w:i/>
          <w:noProof/>
          <w:lang w:val="lv-LV" w:eastAsia="lv-LV" w:bidi="lv-LV"/>
        </w:rPr>
        <w:t>ULC</w:t>
      </w:r>
      <w:r>
        <w:rPr>
          <w:rFonts w:ascii="Times New Roman" w:hAnsi="Times New Roman"/>
          <w:noProof/>
          <w:lang w:val="lv-LV" w:eastAsia="lv-LV" w:bidi="lv-LV"/>
        </w:rPr>
        <w:t xml:space="preserve"> noturīgu dinamiku daudzās no tām, īpaši to pieaugums paātrinās Čehijā, Latvijā, Lietuvā, Rumānijā un Ungārijā, un Bulgārijā šī dinamika palēninās, lai gan saglabājas augstā līmenī.</w:t>
      </w:r>
    </w:p>
    <w:p w:rsidR="003D03E9" w:rsidRDefault="00F77AE9">
      <w:pPr>
        <w:numPr>
          <w:ilvl w:val="0"/>
          <w:numId w:val="5"/>
        </w:numPr>
        <w:spacing w:before="120" w:after="120"/>
        <w:ind w:left="567" w:hanging="425"/>
        <w:jc w:val="both"/>
        <w:rPr>
          <w:rFonts w:ascii="Times New Roman" w:eastAsia="Calibri" w:hAnsi="Times New Roman" w:cs="Times New Roman"/>
          <w:noProof/>
          <w:lang w:val="lv-LV" w:eastAsia="lv-LV" w:bidi="lv-LV"/>
        </w:rPr>
      </w:pPr>
      <w:r>
        <w:rPr>
          <w:rFonts w:ascii="Times New Roman" w:hAnsi="Times New Roman"/>
          <w:b/>
          <w:noProof/>
          <w:lang w:val="lv-LV" w:eastAsia="lv-LV" w:bidi="lv-LV"/>
        </w:rPr>
        <w:t>Vienības darbas</w:t>
      </w:r>
      <w:r>
        <w:rPr>
          <w:rFonts w:ascii="Times New Roman" w:hAnsi="Times New Roman"/>
          <w:b/>
          <w:noProof/>
          <w:lang w:val="lv-LV" w:eastAsia="lv-LV" w:bidi="lv-LV"/>
        </w:rPr>
        <w:t>pēka izmaksu pieauguma pārrobežu tendence atspoguļo darba tirgus pieprasījuma atšķirības.</w:t>
      </w:r>
      <w:r>
        <w:rPr>
          <w:rFonts w:ascii="Times New Roman" w:hAnsi="Times New Roman"/>
          <w:noProof/>
          <w:lang w:val="lv-LV" w:eastAsia="lv-LV" w:bidi="lv-LV"/>
        </w:rPr>
        <w:t xml:space="preserve"> Valstis, kurās </w:t>
      </w:r>
      <w:r>
        <w:rPr>
          <w:rFonts w:ascii="Times New Roman" w:hAnsi="Times New Roman"/>
          <w:i/>
          <w:noProof/>
          <w:lang w:val="lv-LV" w:eastAsia="lv-LV" w:bidi="lv-LV"/>
        </w:rPr>
        <w:t>ULC</w:t>
      </w:r>
      <w:r>
        <w:rPr>
          <w:rFonts w:ascii="Times New Roman" w:hAnsi="Times New Roman"/>
          <w:noProof/>
          <w:lang w:val="lv-LV" w:eastAsia="lv-LV" w:bidi="lv-LV"/>
        </w:rPr>
        <w:t xml:space="preserve"> ir palielinājušās visstraujāk, parasti ir tās valstis, kurās reģistrēts zemāks bezdarba līmenis (8. grafiks). Valstis, kurās pēdējos gados ir reģis</w:t>
      </w:r>
      <w:r>
        <w:rPr>
          <w:rFonts w:ascii="Times New Roman" w:hAnsi="Times New Roman"/>
          <w:noProof/>
          <w:lang w:val="lv-LV" w:eastAsia="lv-LV" w:bidi="lv-LV"/>
        </w:rPr>
        <w:t xml:space="preserve">trēts straujš IKP pieaugums, īpaši Baltijas valstīs un vairākās citās Austrumeiropas valstīs, uzrāda gan zemu, gan mērenu bezdarba līmeni un </w:t>
      </w:r>
      <w:r>
        <w:rPr>
          <w:rFonts w:ascii="Times New Roman" w:hAnsi="Times New Roman"/>
          <w:i/>
          <w:noProof/>
          <w:lang w:val="lv-LV" w:eastAsia="lv-LV" w:bidi="lv-LV"/>
        </w:rPr>
        <w:t>ULC</w:t>
      </w:r>
      <w:r>
        <w:rPr>
          <w:rFonts w:ascii="Times New Roman" w:hAnsi="Times New Roman"/>
          <w:noProof/>
          <w:lang w:val="lv-LV" w:eastAsia="lv-LV" w:bidi="lv-LV"/>
        </w:rPr>
        <w:t xml:space="preserve"> straujas izaugsmes rādītājus, savukārt darbaspēka izmaksu dinamika kopumā ir ierobežotāka valstīs, kurās ir aug</w:t>
      </w:r>
      <w:r>
        <w:rPr>
          <w:rFonts w:ascii="Times New Roman" w:hAnsi="Times New Roman"/>
          <w:noProof/>
          <w:lang w:val="lv-LV" w:eastAsia="lv-LV" w:bidi="lv-LV"/>
        </w:rPr>
        <w:t xml:space="preserve">stāks bezdarba līmenis. Šāda saikne ir sagaidāma no Filipa līknes dinamikas, bet tās darbība ir vien ierobežota, jo dažas valstis uzrāda </w:t>
      </w:r>
      <w:r>
        <w:rPr>
          <w:rFonts w:ascii="Times New Roman" w:hAnsi="Times New Roman"/>
          <w:i/>
          <w:noProof/>
          <w:lang w:val="lv-LV" w:eastAsia="lv-LV" w:bidi="lv-LV"/>
        </w:rPr>
        <w:t>ULC</w:t>
      </w:r>
      <w:r>
        <w:rPr>
          <w:rFonts w:ascii="Times New Roman" w:hAnsi="Times New Roman"/>
          <w:noProof/>
          <w:lang w:val="lv-LV" w:eastAsia="lv-LV" w:bidi="lv-LV"/>
        </w:rPr>
        <w:t xml:space="preserve"> pieauguma rādītājus, kuri krietni pārsniedz to, kas būtu sagaidāms no šādas saiknes, īpaši Baltijas valstīs, Bulgār</w:t>
      </w:r>
      <w:r>
        <w:rPr>
          <w:rFonts w:ascii="Times New Roman" w:hAnsi="Times New Roman"/>
          <w:noProof/>
          <w:lang w:val="lv-LV" w:eastAsia="lv-LV" w:bidi="lv-LV"/>
        </w:rPr>
        <w:t xml:space="preserve">ijā, Čehijā, Rumānijā un Ungārijā. Vienlaikus citās valstīs </w:t>
      </w:r>
      <w:r>
        <w:rPr>
          <w:rFonts w:ascii="Times New Roman" w:hAnsi="Times New Roman"/>
          <w:i/>
          <w:noProof/>
          <w:lang w:val="lv-LV" w:eastAsia="lv-LV" w:bidi="lv-LV"/>
        </w:rPr>
        <w:t>ULC</w:t>
      </w:r>
      <w:r>
        <w:rPr>
          <w:rFonts w:ascii="Times New Roman" w:hAnsi="Times New Roman"/>
          <w:noProof/>
          <w:lang w:val="lv-LV" w:eastAsia="lv-LV" w:bidi="lv-LV"/>
        </w:rPr>
        <w:t xml:space="preserve"> pieaugums ir mazāks nekā sagaidāms (piemēram, Horvātijā, Īrijā un Somijā). Pirmajā grupā spēcīgs darba samaksas pieaugums var būt saistīts arī ar darbaspēka piedāvājuma trūkumu, kas ir saistīt</w:t>
      </w:r>
      <w:r>
        <w:rPr>
          <w:rFonts w:ascii="Times New Roman" w:hAnsi="Times New Roman"/>
          <w:noProof/>
          <w:lang w:val="lv-LV" w:eastAsia="lv-LV" w:bidi="lv-LV"/>
        </w:rPr>
        <w:t>s ar emigrāciju, prasmju trūkumu un prasmju neatbilstību</w:t>
      </w:r>
      <w:r>
        <w:rPr>
          <w:rFonts w:ascii="Times New Roman" w:hAnsi="Times New Roman"/>
          <w:noProof/>
          <w:vertAlign w:val="superscript"/>
          <w:lang w:val="lv-LV" w:eastAsia="lv-LV" w:bidi="lv-LV"/>
        </w:rPr>
        <w:footnoteReference w:id="21"/>
      </w:r>
      <w:r>
        <w:rPr>
          <w:rFonts w:ascii="Times New Roman" w:hAnsi="Times New Roman"/>
          <w:noProof/>
          <w:lang w:val="lv-LV" w:eastAsia="lv-LV" w:bidi="lv-LV"/>
        </w:rPr>
        <w:t>.</w:t>
      </w:r>
    </w:p>
    <w:p w:rsidR="003D03E9" w:rsidRDefault="00F77AE9">
      <w:pPr>
        <w:numPr>
          <w:ilvl w:val="0"/>
          <w:numId w:val="5"/>
        </w:numPr>
        <w:spacing w:before="120" w:after="120"/>
        <w:ind w:left="567" w:hanging="425"/>
        <w:jc w:val="both"/>
        <w:rPr>
          <w:rFonts w:ascii="Times New Roman" w:eastAsia="Calibri" w:hAnsi="Times New Roman" w:cs="Times New Roman"/>
          <w:noProof/>
          <w:lang w:val="lv-LV" w:eastAsia="lv-LV" w:bidi="lv-LV"/>
        </w:rPr>
      </w:pPr>
      <w:r>
        <w:rPr>
          <w:b/>
          <w:noProof/>
          <w:lang w:val="lv-LV" w:eastAsia="lv-LV" w:bidi="lv-LV"/>
        </w:rPr>
        <w:t xml:space="preserve">Nominālās darba samaksas pieaugums visvairāk sekmēja 2017. gadā novēroto </w:t>
      </w:r>
      <w:r>
        <w:rPr>
          <w:b/>
          <w:i/>
          <w:noProof/>
          <w:lang w:val="lv-LV" w:eastAsia="lv-LV" w:bidi="lv-LV"/>
        </w:rPr>
        <w:t>ULC</w:t>
      </w:r>
      <w:r>
        <w:rPr>
          <w:b/>
          <w:noProof/>
          <w:lang w:val="lv-LV" w:eastAsia="lv-LV" w:bidi="lv-LV"/>
        </w:rPr>
        <w:t xml:space="preserve"> pieaugumu.</w:t>
      </w:r>
      <w:r>
        <w:rPr>
          <w:rFonts w:ascii="Times New Roman" w:hAnsi="Times New Roman"/>
          <w:noProof/>
          <w:lang w:val="lv-LV" w:eastAsia="lv-LV" w:bidi="lv-LV"/>
        </w:rPr>
        <w:t xml:space="preserve"> Lielākajā daļā dalībvalstu </w:t>
      </w:r>
      <w:r>
        <w:rPr>
          <w:rFonts w:ascii="Times New Roman" w:hAnsi="Times New Roman"/>
          <w:i/>
          <w:noProof/>
          <w:lang w:val="lv-LV" w:eastAsia="lv-LV" w:bidi="lv-LV"/>
        </w:rPr>
        <w:t>ULC</w:t>
      </w:r>
      <w:r>
        <w:rPr>
          <w:rFonts w:ascii="Times New Roman" w:hAnsi="Times New Roman"/>
          <w:noProof/>
          <w:lang w:val="lv-LV" w:eastAsia="lv-LV" w:bidi="lv-LV"/>
        </w:rPr>
        <w:t xml:space="preserve"> pieaugumu visvairāk sekmēja nominālās darba samaksas pieaugums, savukārt darba</w:t>
      </w:r>
      <w:r>
        <w:rPr>
          <w:rFonts w:ascii="Times New Roman" w:hAnsi="Times New Roman"/>
          <w:noProof/>
          <w:lang w:val="lv-LV" w:eastAsia="lv-LV" w:bidi="lv-LV"/>
        </w:rPr>
        <w:t xml:space="preserve"> ražīgumam bija salīdzinoši mazāka nozīme. Darba ražīgums kopumā veicināja </w:t>
      </w:r>
      <w:r>
        <w:rPr>
          <w:rFonts w:ascii="Times New Roman" w:hAnsi="Times New Roman"/>
          <w:i/>
          <w:noProof/>
          <w:lang w:val="lv-LV" w:eastAsia="lv-LV" w:bidi="lv-LV"/>
        </w:rPr>
        <w:t>ULC</w:t>
      </w:r>
      <w:r>
        <w:rPr>
          <w:rFonts w:ascii="Times New Roman" w:hAnsi="Times New Roman"/>
          <w:noProof/>
          <w:lang w:val="lv-LV" w:eastAsia="lv-LV" w:bidi="lv-LV"/>
        </w:rPr>
        <w:t xml:space="preserve"> pieaugumu, gan pateicoties kapitāla intensitātes pieaugumam, gan kopējā faktoru ražīguma pieaugumam, savukārt mazāks nostrādāto stundu skaits bieži nozīmēja ražīguma sarukumu (7</w:t>
      </w:r>
      <w:r>
        <w:rPr>
          <w:rFonts w:ascii="Times New Roman" w:hAnsi="Times New Roman"/>
          <w:noProof/>
          <w:lang w:val="lv-LV" w:eastAsia="lv-LV" w:bidi="lv-LV"/>
        </w:rPr>
        <w:t xml:space="preserve">. grafiks). </w:t>
      </w:r>
    </w:p>
    <w:p w:rsidR="003D03E9" w:rsidRDefault="00F77AE9">
      <w:pPr>
        <w:numPr>
          <w:ilvl w:val="0"/>
          <w:numId w:val="5"/>
        </w:numPr>
        <w:spacing w:before="120" w:after="120"/>
        <w:ind w:left="567" w:hanging="425"/>
        <w:jc w:val="both"/>
        <w:rPr>
          <w:rFonts w:ascii="Times New Roman" w:eastAsia="Calibri" w:hAnsi="Times New Roman" w:cs="Times New Roman"/>
          <w:noProof/>
          <w:lang w:val="lv-LV" w:eastAsia="lv-LV" w:bidi="lv-LV"/>
        </w:rPr>
      </w:pPr>
      <w:r>
        <w:rPr>
          <w:rFonts w:ascii="Times New Roman" w:hAnsi="Times New Roman"/>
          <w:b/>
          <w:i/>
          <w:noProof/>
          <w:lang w:val="lv-LV" w:eastAsia="lv-LV" w:bidi="lv-LV"/>
        </w:rPr>
        <w:t>ULC</w:t>
      </w:r>
      <w:r>
        <w:rPr>
          <w:rFonts w:ascii="Times New Roman" w:hAnsi="Times New Roman"/>
          <w:b/>
          <w:noProof/>
          <w:lang w:val="lv-LV" w:eastAsia="lv-LV" w:bidi="lv-LV"/>
        </w:rPr>
        <w:t xml:space="preserve"> pieauguma modeļus aizvien vairāk ietekmē ārējās līdzsvarošanas vajadzības. </w:t>
      </w:r>
      <w:r>
        <w:rPr>
          <w:rFonts w:ascii="Times New Roman" w:hAnsi="Times New Roman"/>
          <w:noProof/>
          <w:lang w:val="lv-LV" w:eastAsia="lv-LV" w:bidi="lv-LV"/>
        </w:rPr>
        <w:t xml:space="preserve">Lai gan krīzes periodā bezdarba līmenis parasti bija lielāks neto debitorvalstīs, kuras bija pakļautas </w:t>
      </w:r>
      <w:r>
        <w:rPr>
          <w:rFonts w:ascii="Times New Roman" w:hAnsi="Times New Roman"/>
          <w:noProof/>
          <w:lang w:val="lv-LV" w:eastAsia="lv-LV" w:bidi="lv-LV"/>
        </w:rPr>
        <w:lastRenderedPageBreak/>
        <w:t>tekošā konta virzienmaiņai un saistītajam pieprasījuma sarukumam, kopš ekonomikas atveseļošanās sākuma bezdarba līmeņa rādītāji ir atguvušies, kas nozīmē</w:t>
      </w:r>
      <w:r>
        <w:rPr>
          <w:rFonts w:ascii="Times New Roman" w:hAnsi="Times New Roman"/>
          <w:noProof/>
          <w:lang w:val="lv-LV" w:eastAsia="lv-LV" w:bidi="lv-LV"/>
        </w:rPr>
        <w:t xml:space="preserve">, ka </w:t>
      </w:r>
      <w:r>
        <w:rPr>
          <w:rFonts w:ascii="Times New Roman" w:hAnsi="Times New Roman"/>
          <w:i/>
          <w:noProof/>
          <w:lang w:val="lv-LV" w:eastAsia="lv-LV" w:bidi="lv-LV"/>
        </w:rPr>
        <w:t>ULC</w:t>
      </w:r>
      <w:r>
        <w:rPr>
          <w:rFonts w:ascii="Times New Roman" w:hAnsi="Times New Roman"/>
          <w:noProof/>
          <w:lang w:val="lv-LV" w:eastAsia="lv-LV" w:bidi="lv-LV"/>
        </w:rPr>
        <w:t xml:space="preserve"> pieauguma tendences, kas kopumā atspoguļo atšķirīgo darba tirgus pieprasījuma pakāpi, arvien vairāk tiek atsaistītas no ārējās līdzsvarošanas vajadzībām. 2017. gadā un zināmā mērā apstiprinot jau 2016. gadā novēroto tendenci, dažās neto debitorval</w:t>
      </w:r>
      <w:r>
        <w:rPr>
          <w:rFonts w:ascii="Times New Roman" w:hAnsi="Times New Roman"/>
          <w:noProof/>
          <w:lang w:val="lv-LV" w:eastAsia="lv-LV" w:bidi="lv-LV"/>
        </w:rPr>
        <w:t xml:space="preserve">stīs </w:t>
      </w:r>
      <w:r>
        <w:rPr>
          <w:rFonts w:ascii="Times New Roman" w:hAnsi="Times New Roman"/>
          <w:i/>
          <w:noProof/>
          <w:lang w:val="lv-LV" w:eastAsia="lv-LV" w:bidi="lv-LV"/>
        </w:rPr>
        <w:t>ULC</w:t>
      </w:r>
      <w:r>
        <w:rPr>
          <w:rFonts w:ascii="Times New Roman" w:hAnsi="Times New Roman"/>
          <w:noProof/>
          <w:lang w:val="lv-LV" w:eastAsia="lv-LV" w:bidi="lv-LV"/>
        </w:rPr>
        <w:t xml:space="preserve"> atkal pieauga pēc tam, kad </w:t>
      </w:r>
      <w:r>
        <w:rPr>
          <w:rFonts w:ascii="Times New Roman" w:hAnsi="Times New Roman"/>
          <w:i/>
          <w:noProof/>
          <w:lang w:val="lv-LV" w:eastAsia="lv-LV" w:bidi="lv-LV"/>
        </w:rPr>
        <w:t>ULC</w:t>
      </w:r>
      <w:r>
        <w:rPr>
          <w:rFonts w:ascii="Times New Roman" w:hAnsi="Times New Roman"/>
          <w:noProof/>
          <w:lang w:val="lv-LV" w:eastAsia="lv-LV" w:bidi="lv-LV"/>
        </w:rPr>
        <w:t xml:space="preserve"> vairākus gadus pēc kārtas samazinājās vai stagnēja, un šie pieauguma paātrinājumi bija izteiktāki Grieķijā, Kiprā un Portugālē. Vienlaikus pastāvīgi liels pieprasījums darba tirgū neto kreditorvalstīs līdz šim nav iz</w:t>
      </w:r>
      <w:r>
        <w:rPr>
          <w:rFonts w:ascii="Times New Roman" w:hAnsi="Times New Roman"/>
          <w:noProof/>
          <w:lang w:val="lv-LV" w:eastAsia="lv-LV" w:bidi="lv-LV"/>
        </w:rPr>
        <w:t xml:space="preserve">raisījis būtisku darba samaksas pieauguma paātrinājumu. </w:t>
      </w:r>
    </w:p>
    <w:p w:rsidR="003D03E9" w:rsidRDefault="003D03E9">
      <w:pPr>
        <w:spacing w:before="120" w:after="120"/>
        <w:jc w:val="both"/>
        <w:rPr>
          <w:rFonts w:ascii="Times New Roman" w:eastAsia="Times New Roman" w:hAnsi="Times New Roman" w:cs="Times New Roman"/>
          <w:b/>
          <w:noProof/>
          <w:sz w:val="24"/>
          <w:szCs w:val="24"/>
          <w:lang w:val="lv-LV" w:eastAsia="lv-LV" w:bidi="lv-LV"/>
        </w:rPr>
      </w:pPr>
    </w:p>
    <w:p w:rsidR="003D03E9" w:rsidRDefault="00F77AE9">
      <w:pPr>
        <w:keepNext/>
        <w:spacing w:after="120"/>
        <w:jc w:val="center"/>
        <w:rPr>
          <w:rFonts w:ascii="Times New Roman" w:eastAsia="MS Mincho" w:hAnsi="Times New Roman" w:cs="Times New Roman"/>
          <w:b/>
          <w:bCs/>
          <w:noProof/>
          <w:lang w:val="lv-LV" w:eastAsia="lv-LV" w:bidi="lv-LV"/>
        </w:rPr>
      </w:pPr>
      <w:r>
        <w:rPr>
          <w:rFonts w:ascii="Times New Roman" w:hAnsi="Times New Roman"/>
          <w:b/>
          <w:noProof/>
          <w:lang w:val="lv-LV" w:eastAsia="lv-LV" w:bidi="lv-LV"/>
        </w:rPr>
        <w:t>6. grafiks. Vienības darbaspēka izmaksu pieaugums pēdējos gados</w:t>
      </w:r>
    </w:p>
    <w:p w:rsidR="003D03E9" w:rsidRDefault="00F77AE9">
      <w:pPr>
        <w:spacing w:after="120"/>
        <w:jc w:val="center"/>
        <w:rPr>
          <w:rFonts w:ascii="Times New Roman" w:eastAsia="Times New Roman" w:hAnsi="Times New Roman" w:cs="Times New Roman"/>
          <w:b/>
          <w:noProof/>
          <w:sz w:val="24"/>
          <w:szCs w:val="24"/>
          <w:lang w:val="lv-LV" w:eastAsia="lv-LV" w:bidi="lv-LV"/>
        </w:rPr>
      </w:pPr>
      <w:r>
        <w:rPr>
          <w:rFonts w:ascii="Times New Roman" w:eastAsia="Times New Roman" w:hAnsi="Times New Roman" w:cs="Times New Roman"/>
          <w:b/>
          <w:noProof/>
          <w:sz w:val="24"/>
          <w:szCs w:val="24"/>
          <w:lang w:eastAsia="en-GB"/>
        </w:rPr>
        <w:drawing>
          <wp:inline distT="0" distB="0" distL="0" distR="0">
            <wp:extent cx="5218430" cy="29997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8430" cy="2999740"/>
                    </a:xfrm>
                    <a:prstGeom prst="rect">
                      <a:avLst/>
                    </a:prstGeom>
                    <a:noFill/>
                  </pic:spPr>
                </pic:pic>
              </a:graphicData>
            </a:graphic>
          </wp:inline>
        </w:drawing>
      </w:r>
    </w:p>
    <w:p w:rsidR="003D03E9" w:rsidRDefault="00F77AE9">
      <w:pPr>
        <w:spacing w:after="0"/>
        <w:jc w:val="both"/>
        <w:rPr>
          <w:rFonts w:ascii="Times New Roman" w:eastAsia="Times New Roman" w:hAnsi="Times New Roman" w:cs="Times New Roman"/>
          <w:noProof/>
          <w:sz w:val="20"/>
          <w:szCs w:val="20"/>
          <w:lang w:val="lv-LV" w:eastAsia="lv-LV" w:bidi="lv-LV"/>
        </w:rPr>
      </w:pPr>
      <w:r>
        <w:rPr>
          <w:rFonts w:ascii="Times New Roman" w:hAnsi="Times New Roman"/>
          <w:i/>
          <w:noProof/>
          <w:sz w:val="20"/>
          <w:lang w:val="lv-LV" w:eastAsia="lv-LV" w:bidi="lv-LV"/>
        </w:rPr>
        <w:t>Avots:</w:t>
      </w:r>
      <w:r>
        <w:rPr>
          <w:rFonts w:ascii="Times New Roman" w:hAnsi="Times New Roman"/>
          <w:noProof/>
          <w:sz w:val="20"/>
          <w:lang w:val="lv-LV" w:eastAsia="lv-LV" w:bidi="lv-LV"/>
        </w:rPr>
        <w:t xml:space="preserve"> </w:t>
      </w:r>
      <w:r>
        <w:rPr>
          <w:rFonts w:ascii="Times New Roman" w:hAnsi="Times New Roman"/>
          <w:i/>
          <w:noProof/>
          <w:sz w:val="20"/>
          <w:lang w:val="lv-LV" w:eastAsia="lv-LV" w:bidi="lv-LV"/>
        </w:rPr>
        <w:t>AMECO</w:t>
      </w:r>
      <w:r>
        <w:rPr>
          <w:rFonts w:ascii="Times New Roman" w:hAnsi="Times New Roman"/>
          <w:noProof/>
          <w:sz w:val="20"/>
          <w:lang w:val="lv-LV" w:eastAsia="lv-LV" w:bidi="lv-LV"/>
        </w:rPr>
        <w:t xml:space="preserve">; dati par 2018. gadu no Eiropas Komisijas 2018. gada rudens ekonomikas prognozes. </w:t>
      </w:r>
    </w:p>
    <w:p w:rsidR="003D03E9" w:rsidRDefault="00F77AE9">
      <w:pPr>
        <w:spacing w:after="0"/>
        <w:jc w:val="both"/>
        <w:rPr>
          <w:rFonts w:ascii="Times New Roman" w:eastAsia="Times New Roman" w:hAnsi="Times New Roman" w:cs="Times New Roman"/>
          <w:noProof/>
          <w:sz w:val="20"/>
          <w:szCs w:val="20"/>
          <w:lang w:val="lv-LV" w:eastAsia="lv-LV" w:bidi="lv-LV"/>
        </w:rPr>
      </w:pPr>
      <w:r>
        <w:rPr>
          <w:rFonts w:ascii="Times New Roman" w:hAnsi="Times New Roman"/>
          <w:i/>
          <w:noProof/>
          <w:sz w:val="20"/>
          <w:lang w:val="lv-LV" w:eastAsia="lv-LV" w:bidi="lv-LV"/>
        </w:rPr>
        <w:t>Piezīme:</w:t>
      </w:r>
      <w:r>
        <w:rPr>
          <w:rFonts w:ascii="Times New Roman" w:hAnsi="Times New Roman"/>
          <w:noProof/>
          <w:sz w:val="20"/>
          <w:lang w:val="lv-LV" w:eastAsia="lv-LV" w:bidi="lv-LV"/>
        </w:rPr>
        <w:t xml:space="preserve"> valstis ir norādītas vienīb</w:t>
      </w:r>
      <w:r>
        <w:rPr>
          <w:rFonts w:ascii="Times New Roman" w:hAnsi="Times New Roman"/>
          <w:noProof/>
          <w:sz w:val="20"/>
          <w:lang w:val="lv-LV" w:eastAsia="lv-LV" w:bidi="lv-LV"/>
        </w:rPr>
        <w:t>as darbaspēka izmaksu augošā secībā 2017. gadā.</w:t>
      </w:r>
    </w:p>
    <w:p w:rsidR="003D03E9" w:rsidRDefault="003D03E9">
      <w:pPr>
        <w:spacing w:after="0"/>
        <w:jc w:val="center"/>
        <w:rPr>
          <w:rFonts w:ascii="Times New Roman" w:eastAsia="Times New Roman" w:hAnsi="Times New Roman" w:cs="Times New Roman"/>
          <w:b/>
          <w:noProof/>
          <w:lang w:val="lv-LV" w:eastAsia="lv-LV" w:bidi="lv-LV"/>
        </w:rPr>
      </w:pPr>
    </w:p>
    <w:p w:rsidR="003D03E9" w:rsidRDefault="00F77AE9">
      <w:pPr>
        <w:keepNext/>
        <w:spacing w:after="120"/>
        <w:jc w:val="center"/>
        <w:rPr>
          <w:rFonts w:ascii="Times New Roman" w:eastAsia="MS Mincho" w:hAnsi="Times New Roman" w:cs="Times New Roman"/>
          <w:b/>
          <w:bCs/>
          <w:noProof/>
          <w:sz w:val="24"/>
          <w:szCs w:val="20"/>
          <w:lang w:val="lv-LV" w:eastAsia="lv-LV" w:bidi="lv-LV"/>
        </w:rPr>
      </w:pPr>
      <w:r>
        <w:rPr>
          <w:rFonts w:ascii="Times New Roman" w:hAnsi="Times New Roman"/>
          <w:b/>
          <w:noProof/>
          <w:lang w:val="lv-LV" w:eastAsia="lv-LV" w:bidi="lv-LV"/>
        </w:rPr>
        <w:lastRenderedPageBreak/>
        <w:t>7. grafiks. Vienības darbaspēka izmaksu pieaugums un tā virzītājspēki, 2017. gads</w:t>
      </w:r>
    </w:p>
    <w:p w:rsidR="003D03E9" w:rsidRDefault="00F77AE9">
      <w:pPr>
        <w:spacing w:after="120"/>
        <w:jc w:val="center"/>
        <w:rPr>
          <w:rFonts w:ascii="Times New Roman" w:eastAsia="Times New Roman" w:hAnsi="Times New Roman" w:cs="Times New Roman"/>
          <w:b/>
          <w:i/>
          <w:noProof/>
          <w:sz w:val="16"/>
          <w:szCs w:val="20"/>
          <w:lang w:val="lv-LV" w:eastAsia="lv-LV" w:bidi="lv-LV"/>
        </w:rPr>
      </w:pPr>
      <w:r>
        <w:rPr>
          <w:rFonts w:ascii="Times New Roman" w:eastAsia="Times New Roman" w:hAnsi="Times New Roman" w:cs="Times New Roman"/>
          <w:b/>
          <w:i/>
          <w:noProof/>
          <w:sz w:val="16"/>
          <w:szCs w:val="20"/>
          <w:lang w:eastAsia="en-GB"/>
        </w:rPr>
        <w:drawing>
          <wp:inline distT="0" distB="0" distL="0" distR="0">
            <wp:extent cx="5608955" cy="303593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8955" cy="3035935"/>
                    </a:xfrm>
                    <a:prstGeom prst="rect">
                      <a:avLst/>
                    </a:prstGeom>
                    <a:noFill/>
                  </pic:spPr>
                </pic:pic>
              </a:graphicData>
            </a:graphic>
          </wp:inline>
        </w:drawing>
      </w:r>
    </w:p>
    <w:p w:rsidR="003D03E9" w:rsidRDefault="00F77AE9">
      <w:pPr>
        <w:spacing w:after="0"/>
        <w:jc w:val="both"/>
        <w:rPr>
          <w:rFonts w:ascii="Times New Roman" w:eastAsia="Times New Roman" w:hAnsi="Times New Roman" w:cs="Times New Roman"/>
          <w:noProof/>
          <w:sz w:val="20"/>
          <w:szCs w:val="20"/>
          <w:lang w:val="lv-LV" w:eastAsia="lv-LV" w:bidi="lv-LV"/>
        </w:rPr>
      </w:pPr>
      <w:r>
        <w:rPr>
          <w:rFonts w:ascii="Times New Roman" w:hAnsi="Times New Roman"/>
          <w:i/>
          <w:noProof/>
          <w:sz w:val="20"/>
          <w:lang w:val="lv-LV" w:eastAsia="lv-LV" w:bidi="lv-LV"/>
        </w:rPr>
        <w:t>Avots:</w:t>
      </w:r>
      <w:r>
        <w:rPr>
          <w:rFonts w:ascii="Times New Roman" w:hAnsi="Times New Roman"/>
          <w:noProof/>
          <w:sz w:val="20"/>
          <w:lang w:val="lv-LV" w:eastAsia="lv-LV" w:bidi="lv-LV"/>
        </w:rPr>
        <w:t xml:space="preserve"> </w:t>
      </w:r>
      <w:r>
        <w:rPr>
          <w:rFonts w:ascii="Times New Roman" w:hAnsi="Times New Roman"/>
          <w:i/>
          <w:noProof/>
          <w:sz w:val="20"/>
          <w:lang w:val="lv-LV" w:eastAsia="lv-LV" w:bidi="lv-LV"/>
        </w:rPr>
        <w:t>AMECO</w:t>
      </w:r>
      <w:r>
        <w:rPr>
          <w:rFonts w:ascii="Times New Roman" w:hAnsi="Times New Roman"/>
          <w:noProof/>
          <w:sz w:val="20"/>
          <w:lang w:val="lv-LV" w:eastAsia="lv-LV" w:bidi="lv-LV"/>
        </w:rPr>
        <w:t xml:space="preserve"> un Komisijas dienestu aprēķini.</w:t>
      </w:r>
    </w:p>
    <w:p w:rsidR="003D03E9" w:rsidRDefault="00F77AE9">
      <w:pPr>
        <w:spacing w:after="0"/>
        <w:jc w:val="both"/>
        <w:rPr>
          <w:rFonts w:ascii="Times New Roman" w:eastAsia="Times New Roman" w:hAnsi="Times New Roman" w:cs="Times New Roman"/>
          <w:noProof/>
          <w:sz w:val="20"/>
          <w:szCs w:val="20"/>
          <w:lang w:val="lv-LV" w:eastAsia="lv-LV" w:bidi="lv-LV"/>
        </w:rPr>
      </w:pPr>
      <w:r>
        <w:rPr>
          <w:rFonts w:ascii="Times New Roman" w:hAnsi="Times New Roman"/>
          <w:i/>
          <w:noProof/>
          <w:sz w:val="20"/>
          <w:lang w:val="lv-LV" w:eastAsia="lv-LV" w:bidi="lv-LV"/>
        </w:rPr>
        <w:t>Piezīme:</w:t>
      </w:r>
      <w:r>
        <w:rPr>
          <w:rFonts w:ascii="Times New Roman" w:hAnsi="Times New Roman"/>
          <w:noProof/>
          <w:sz w:val="20"/>
          <w:lang w:val="lv-LV" w:eastAsia="lv-LV" w:bidi="lv-LV"/>
        </w:rPr>
        <w:t xml:space="preserve"> valstis ir norādītas vienības darbaspēka izmaksu augošā secībā 2017. gadā. Dalījums balstās uz vienības darbaspēka izmaksu pieauguma standartdalījumu nominālajā samaksā par stundu un darba ražīgumā; darba ražīgumu atbilstoši pieauguma uzskaites standartsi</w:t>
      </w:r>
      <w:r>
        <w:rPr>
          <w:rFonts w:ascii="Times New Roman" w:hAnsi="Times New Roman"/>
          <w:noProof/>
          <w:sz w:val="20"/>
          <w:lang w:val="lv-LV" w:eastAsia="lv-LV" w:bidi="lv-LV"/>
        </w:rPr>
        <w:t xml:space="preserve">stēmai sīkāk iedala nostrādāto stundu ieguldījumā, kopējā faktoru ražīgumā un kapitāla uzkrājumā. </w:t>
      </w:r>
    </w:p>
    <w:p w:rsidR="003D03E9" w:rsidRDefault="003D03E9">
      <w:pPr>
        <w:spacing w:before="120" w:after="120"/>
        <w:jc w:val="both"/>
        <w:rPr>
          <w:rFonts w:ascii="Times New Roman" w:eastAsia="Times New Roman" w:hAnsi="Times New Roman" w:cs="Times New Roman"/>
          <w:noProof/>
          <w:sz w:val="20"/>
          <w:szCs w:val="20"/>
          <w:lang w:val="lv-LV" w:eastAsia="lv-LV" w:bidi="lv-LV"/>
        </w:rPr>
      </w:pPr>
    </w:p>
    <w:p w:rsidR="003D03E9" w:rsidRDefault="00F77AE9">
      <w:pPr>
        <w:keepNext/>
        <w:spacing w:before="120" w:after="120"/>
        <w:jc w:val="center"/>
        <w:rPr>
          <w:rFonts w:ascii="Times New Roman" w:eastAsia="MS Mincho" w:hAnsi="Times New Roman" w:cs="Times New Roman"/>
          <w:b/>
          <w:bCs/>
          <w:noProof/>
          <w:lang w:val="lv-LV" w:eastAsia="lv-LV" w:bidi="lv-LV"/>
        </w:rPr>
      </w:pPr>
      <w:r>
        <w:rPr>
          <w:rFonts w:ascii="Times New Roman" w:hAnsi="Times New Roman"/>
          <w:b/>
          <w:noProof/>
          <w:lang w:val="lv-LV" w:eastAsia="lv-LV" w:bidi="lv-LV"/>
        </w:rPr>
        <w:t>8. grafiks. Vienības darbaspēka izmaksu pieaugums un bezdarba līmenis</w:t>
      </w:r>
    </w:p>
    <w:p w:rsidR="003D03E9" w:rsidRDefault="00F77AE9">
      <w:pPr>
        <w:spacing w:before="120" w:after="120"/>
        <w:jc w:val="center"/>
        <w:rPr>
          <w:rFonts w:ascii="Times New Roman" w:eastAsia="Times New Roman" w:hAnsi="Times New Roman" w:cs="Times New Roman"/>
          <w:b/>
          <w:noProof/>
          <w:sz w:val="24"/>
          <w:szCs w:val="24"/>
          <w:lang w:val="lv-LV" w:eastAsia="lv-LV" w:bidi="lv-LV"/>
        </w:rPr>
      </w:pPr>
      <w:r>
        <w:rPr>
          <w:rFonts w:ascii="Times New Roman" w:eastAsia="Times New Roman" w:hAnsi="Times New Roman" w:cs="Times New Roman"/>
          <w:b/>
          <w:noProof/>
          <w:sz w:val="24"/>
          <w:szCs w:val="24"/>
          <w:lang w:eastAsia="en-GB"/>
        </w:rPr>
        <w:drawing>
          <wp:inline distT="0" distB="0" distL="0" distR="0">
            <wp:extent cx="3054350" cy="301180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54350" cy="3011805"/>
                    </a:xfrm>
                    <a:prstGeom prst="rect">
                      <a:avLst/>
                    </a:prstGeom>
                    <a:noFill/>
                  </pic:spPr>
                </pic:pic>
              </a:graphicData>
            </a:graphic>
          </wp:inline>
        </w:drawing>
      </w:r>
    </w:p>
    <w:p w:rsidR="003D03E9" w:rsidRDefault="00F77AE9">
      <w:pPr>
        <w:spacing w:before="120" w:after="120"/>
        <w:jc w:val="both"/>
        <w:rPr>
          <w:rFonts w:ascii="Times New Roman" w:eastAsia="Times New Roman" w:hAnsi="Times New Roman" w:cs="Times New Roman"/>
          <w:i/>
          <w:noProof/>
          <w:sz w:val="20"/>
          <w:szCs w:val="24"/>
          <w:lang w:val="lv-LV" w:eastAsia="lv-LV" w:bidi="lv-LV"/>
        </w:rPr>
      </w:pPr>
      <w:r>
        <w:rPr>
          <w:rFonts w:ascii="Times New Roman" w:hAnsi="Times New Roman"/>
          <w:i/>
          <w:noProof/>
          <w:sz w:val="20"/>
          <w:lang w:val="lv-LV" w:eastAsia="lv-LV" w:bidi="lv-LV"/>
        </w:rPr>
        <w:t>Avots: AMECO</w:t>
      </w:r>
      <w:r>
        <w:rPr>
          <w:rFonts w:ascii="Times New Roman" w:hAnsi="Times New Roman"/>
          <w:noProof/>
          <w:sz w:val="20"/>
          <w:lang w:val="lv-LV" w:eastAsia="lv-LV" w:bidi="lv-LV"/>
        </w:rPr>
        <w:t>.</w:t>
      </w:r>
    </w:p>
    <w:p w:rsidR="003D03E9" w:rsidRDefault="003D03E9">
      <w:pPr>
        <w:spacing w:before="120" w:after="120"/>
        <w:jc w:val="center"/>
        <w:rPr>
          <w:rFonts w:ascii="Times New Roman" w:eastAsia="Times New Roman" w:hAnsi="Times New Roman" w:cs="Times New Roman"/>
          <w:b/>
          <w:noProof/>
          <w:sz w:val="24"/>
          <w:szCs w:val="24"/>
          <w:lang w:val="lv-LV" w:eastAsia="lv-LV" w:bidi="lv-LV"/>
        </w:rPr>
      </w:pPr>
    </w:p>
    <w:p w:rsidR="003D03E9" w:rsidRDefault="00F77AE9">
      <w:pPr>
        <w:spacing w:before="120" w:after="120"/>
        <w:jc w:val="both"/>
        <w:rPr>
          <w:rFonts w:ascii="Times New Roman" w:eastAsia="Times New Roman" w:hAnsi="Times New Roman" w:cs="Times New Roman"/>
          <w:noProof/>
          <w:lang w:val="lv-LV" w:eastAsia="lv-LV" w:bidi="lv-LV"/>
        </w:rPr>
      </w:pPr>
      <w:r>
        <w:rPr>
          <w:rFonts w:ascii="Times New Roman" w:hAnsi="Times New Roman"/>
          <w:b/>
          <w:noProof/>
          <w:lang w:val="lv-LV" w:eastAsia="lv-LV" w:bidi="lv-LV"/>
        </w:rPr>
        <w:t xml:space="preserve">Cenu konkurētspējas tendences, ko mēra ar reālajiem efektīvajiem </w:t>
      </w:r>
      <w:r>
        <w:rPr>
          <w:rFonts w:ascii="Times New Roman" w:hAnsi="Times New Roman"/>
          <w:b/>
          <w:noProof/>
          <w:lang w:val="lv-LV" w:eastAsia="lv-LV" w:bidi="lv-LV"/>
        </w:rPr>
        <w:t>valūtas kursiem (</w:t>
      </w:r>
      <w:r>
        <w:rPr>
          <w:rFonts w:ascii="Times New Roman" w:hAnsi="Times New Roman"/>
          <w:b/>
          <w:i/>
          <w:noProof/>
          <w:lang w:val="lv-LV" w:eastAsia="lv-LV" w:bidi="lv-LV"/>
        </w:rPr>
        <w:t>REER</w:t>
      </w:r>
      <w:r>
        <w:rPr>
          <w:rFonts w:ascii="Times New Roman" w:hAnsi="Times New Roman"/>
          <w:b/>
          <w:noProof/>
          <w:lang w:val="lv-LV" w:eastAsia="lv-LV" w:bidi="lv-LV"/>
        </w:rPr>
        <w:t xml:space="preserve">), tikai daļēji atspoguļo izmaksu konkurētspējas izmaiņas, kas balstītas </w:t>
      </w:r>
      <w:r>
        <w:rPr>
          <w:rFonts w:ascii="Times New Roman" w:hAnsi="Times New Roman"/>
          <w:b/>
          <w:i/>
          <w:noProof/>
          <w:lang w:val="lv-LV" w:eastAsia="lv-LV" w:bidi="lv-LV"/>
        </w:rPr>
        <w:t>ULC</w:t>
      </w:r>
      <w:r>
        <w:rPr>
          <w:rFonts w:ascii="Times New Roman" w:hAnsi="Times New Roman"/>
          <w:b/>
          <w:noProof/>
          <w:lang w:val="lv-LV" w:eastAsia="lv-LV" w:bidi="lv-LV"/>
        </w:rPr>
        <w:t xml:space="preserve">. </w:t>
      </w:r>
      <w:r>
        <w:rPr>
          <w:rFonts w:ascii="Times New Roman" w:hAnsi="Times New Roman"/>
          <w:i/>
          <w:noProof/>
          <w:lang w:val="lv-LV" w:eastAsia="lv-LV" w:bidi="lv-LV"/>
        </w:rPr>
        <w:t>ULC</w:t>
      </w:r>
      <w:r>
        <w:rPr>
          <w:rFonts w:ascii="Times New Roman" w:hAnsi="Times New Roman"/>
          <w:noProof/>
          <w:lang w:val="lv-LV" w:eastAsia="lv-LV" w:bidi="lv-LV"/>
        </w:rPr>
        <w:t xml:space="preserve"> pieauguma atšķirības ES dalībvalstīs radījušas izmaksu konkurētspējas ieguvumus un zaudējumus, ko mēra ar </w:t>
      </w:r>
      <w:r>
        <w:rPr>
          <w:rFonts w:ascii="Times New Roman" w:hAnsi="Times New Roman"/>
          <w:i/>
          <w:noProof/>
          <w:lang w:val="lv-LV" w:eastAsia="lv-LV" w:bidi="lv-LV"/>
        </w:rPr>
        <w:t>ULC</w:t>
      </w:r>
      <w:r>
        <w:rPr>
          <w:rFonts w:ascii="Times New Roman" w:hAnsi="Times New Roman"/>
          <w:noProof/>
          <w:lang w:val="lv-LV" w:eastAsia="lv-LV" w:bidi="lv-LV"/>
        </w:rPr>
        <w:t xml:space="preserve"> balstītajiem </w:t>
      </w:r>
      <w:r>
        <w:rPr>
          <w:rFonts w:ascii="Times New Roman" w:hAnsi="Times New Roman"/>
          <w:i/>
          <w:noProof/>
          <w:lang w:val="lv-LV" w:eastAsia="lv-LV" w:bidi="lv-LV"/>
        </w:rPr>
        <w:t>REER</w:t>
      </w:r>
      <w:r>
        <w:rPr>
          <w:rFonts w:ascii="Times New Roman" w:hAnsi="Times New Roman"/>
          <w:noProof/>
          <w:lang w:val="lv-LV" w:eastAsia="lv-LV" w:bidi="lv-LV"/>
        </w:rPr>
        <w:t xml:space="preserve">, ar ko ņem vērā gan </w:t>
      </w:r>
      <w:r>
        <w:rPr>
          <w:rFonts w:ascii="Times New Roman" w:hAnsi="Times New Roman"/>
          <w:i/>
          <w:noProof/>
          <w:lang w:val="lv-LV" w:eastAsia="lv-LV" w:bidi="lv-LV"/>
        </w:rPr>
        <w:t>ULC</w:t>
      </w:r>
      <w:r>
        <w:rPr>
          <w:rFonts w:ascii="Times New Roman" w:hAnsi="Times New Roman"/>
          <w:noProof/>
          <w:lang w:val="lv-LV" w:eastAsia="lv-LV" w:bidi="lv-LV"/>
        </w:rPr>
        <w:t xml:space="preserve"> p</w:t>
      </w:r>
      <w:r>
        <w:rPr>
          <w:rFonts w:ascii="Times New Roman" w:hAnsi="Times New Roman"/>
          <w:noProof/>
          <w:lang w:val="lv-LV" w:eastAsia="lv-LV" w:bidi="lv-LV"/>
        </w:rPr>
        <w:t xml:space="preserve">ieauguma attiecību pret konkurentiem iekšzemes un trešo valstu tirgos, gan nominālo valūtas kursu izmaiņas (9. grafiks). </w:t>
      </w:r>
    </w:p>
    <w:p w:rsidR="003D03E9" w:rsidRDefault="00F77AE9">
      <w:pPr>
        <w:numPr>
          <w:ilvl w:val="0"/>
          <w:numId w:val="15"/>
        </w:numPr>
        <w:spacing w:before="120" w:after="120"/>
        <w:ind w:left="567" w:hanging="425"/>
        <w:jc w:val="both"/>
        <w:rPr>
          <w:rFonts w:ascii="Times New Roman" w:eastAsia="Times New Roman" w:hAnsi="Times New Roman" w:cs="Times New Roman"/>
          <w:b/>
          <w:noProof/>
          <w:lang w:val="lv-LV" w:eastAsia="lv-LV" w:bidi="lv-LV"/>
        </w:rPr>
      </w:pPr>
      <w:r>
        <w:rPr>
          <w:rFonts w:ascii="Times New Roman" w:hAnsi="Times New Roman"/>
          <w:noProof/>
          <w:lang w:val="lv-LV" w:eastAsia="lv-LV" w:bidi="lv-LV"/>
        </w:rPr>
        <w:t xml:space="preserve">Pēdējos gados </w:t>
      </w:r>
      <w:r>
        <w:rPr>
          <w:rFonts w:ascii="Times New Roman" w:hAnsi="Times New Roman"/>
          <w:b/>
          <w:noProof/>
          <w:lang w:val="lv-LV" w:eastAsia="lv-LV" w:bidi="lv-LV"/>
        </w:rPr>
        <w:t xml:space="preserve">lielākajā daļā eurozonas dalībvalstu ir reģistrēti </w:t>
      </w:r>
      <w:r>
        <w:rPr>
          <w:rFonts w:ascii="Times New Roman" w:hAnsi="Times New Roman"/>
          <w:b/>
          <w:i/>
          <w:noProof/>
          <w:lang w:val="lv-LV" w:eastAsia="lv-LV" w:bidi="lv-LV"/>
        </w:rPr>
        <w:t>ULC</w:t>
      </w:r>
      <w:r>
        <w:rPr>
          <w:rFonts w:ascii="Times New Roman" w:hAnsi="Times New Roman"/>
          <w:b/>
          <w:noProof/>
          <w:lang w:val="lv-LV" w:eastAsia="lv-LV" w:bidi="lv-LV"/>
        </w:rPr>
        <w:t xml:space="preserve"> balstīto </w:t>
      </w:r>
      <w:r>
        <w:rPr>
          <w:rFonts w:ascii="Times New Roman" w:hAnsi="Times New Roman"/>
          <w:b/>
          <w:i/>
          <w:noProof/>
          <w:lang w:val="lv-LV" w:eastAsia="lv-LV" w:bidi="lv-LV"/>
        </w:rPr>
        <w:t>REER</w:t>
      </w:r>
      <w:r>
        <w:rPr>
          <w:rFonts w:ascii="Times New Roman" w:hAnsi="Times New Roman"/>
          <w:b/>
          <w:noProof/>
          <w:lang w:val="lv-LV" w:eastAsia="lv-LV" w:bidi="lv-LV"/>
        </w:rPr>
        <w:t xml:space="preserve"> samazinājumi</w:t>
      </w:r>
      <w:r>
        <w:rPr>
          <w:rFonts w:ascii="Times New Roman" w:hAnsi="Times New Roman"/>
          <w:noProof/>
          <w:lang w:val="lv-LV" w:eastAsia="lv-LV" w:bidi="lv-LV"/>
        </w:rPr>
        <w:t xml:space="preserve">, kas nozīmē, ka relatīvie darbaspēka izmaksu samazinājumi bija pietiekami, lai kompensētu euro vērtības pieaugumu efektīvā izteiksmē kopš 2016. gada. Tomēr </w:t>
      </w:r>
      <w:r>
        <w:rPr>
          <w:rFonts w:ascii="Times New Roman" w:hAnsi="Times New Roman"/>
          <w:b/>
          <w:noProof/>
          <w:lang w:val="lv-LV" w:eastAsia="lv-LV" w:bidi="lv-LV"/>
        </w:rPr>
        <w:t>dažās eurozonas valstīs, īpaši Baltijas valstīs, reģistrēti izmaksu konkurētspējas zudumi</w:t>
      </w:r>
      <w:r>
        <w:rPr>
          <w:rFonts w:ascii="Times New Roman" w:hAnsi="Times New Roman"/>
          <w:noProof/>
          <w:lang w:val="lv-LV" w:eastAsia="lv-LV" w:bidi="lv-LV"/>
        </w:rPr>
        <w:t xml:space="preserve">, ko mēra </w:t>
      </w:r>
      <w:r>
        <w:rPr>
          <w:rFonts w:ascii="Times New Roman" w:hAnsi="Times New Roman"/>
          <w:noProof/>
          <w:lang w:val="lv-LV" w:eastAsia="lv-LV" w:bidi="lv-LV"/>
        </w:rPr>
        <w:t xml:space="preserve">ar </w:t>
      </w:r>
      <w:r>
        <w:rPr>
          <w:rFonts w:ascii="Times New Roman" w:hAnsi="Times New Roman"/>
          <w:i/>
          <w:noProof/>
          <w:lang w:val="lv-LV" w:eastAsia="lv-LV" w:bidi="lv-LV"/>
        </w:rPr>
        <w:t>ULC</w:t>
      </w:r>
      <w:r>
        <w:rPr>
          <w:rFonts w:ascii="Times New Roman" w:hAnsi="Times New Roman"/>
          <w:noProof/>
          <w:lang w:val="lv-LV" w:eastAsia="lv-LV" w:bidi="lv-LV"/>
        </w:rPr>
        <w:t xml:space="preserve"> balstītajiem </w:t>
      </w:r>
      <w:r>
        <w:rPr>
          <w:rFonts w:ascii="Times New Roman" w:hAnsi="Times New Roman"/>
          <w:i/>
          <w:noProof/>
          <w:lang w:val="lv-LV" w:eastAsia="lv-LV" w:bidi="lv-LV"/>
        </w:rPr>
        <w:t>REER</w:t>
      </w:r>
      <w:r>
        <w:rPr>
          <w:rFonts w:ascii="Times New Roman" w:hAnsi="Times New Roman"/>
          <w:noProof/>
          <w:lang w:val="lv-LV" w:eastAsia="lv-LV" w:bidi="lv-LV"/>
        </w:rPr>
        <w:t>. Valstīts, kas nav eurozonas dalībnieces, izmaiņas galvenokārt bija saistītas ar nominālā valūtas kursa svārstībām, ko mēra ar nominālajiem efektīvajiem valūtas kursiem (</w:t>
      </w:r>
      <w:r>
        <w:rPr>
          <w:rFonts w:ascii="Times New Roman" w:hAnsi="Times New Roman"/>
          <w:i/>
          <w:noProof/>
          <w:lang w:val="lv-LV" w:eastAsia="lv-LV" w:bidi="lv-LV"/>
        </w:rPr>
        <w:t>NEER</w:t>
      </w:r>
      <w:r>
        <w:rPr>
          <w:rFonts w:ascii="Times New Roman" w:hAnsi="Times New Roman"/>
          <w:noProof/>
          <w:lang w:val="lv-LV" w:eastAsia="lv-LV" w:bidi="lv-LV"/>
        </w:rPr>
        <w:t>). Valūtas vērtības kritums sekmēja konkurētspējas pieaug</w:t>
      </w:r>
      <w:r>
        <w:rPr>
          <w:rFonts w:ascii="Times New Roman" w:hAnsi="Times New Roman"/>
          <w:noProof/>
          <w:lang w:val="lv-LV" w:eastAsia="lv-LV" w:bidi="lv-LV"/>
        </w:rPr>
        <w:t xml:space="preserve">umu Apvienotajā Karalistē, Polijā, Rumānijā un Zviedrijā; valūtas vērtības pieauguma ietekme galvenokārt novērota Bulgārijā un Čehijā. Pēdējos gados izmaksu konkurētspējas pieaugums, ko mēra ar </w:t>
      </w:r>
      <w:r>
        <w:rPr>
          <w:rFonts w:ascii="Times New Roman" w:hAnsi="Times New Roman"/>
          <w:i/>
          <w:noProof/>
          <w:lang w:val="lv-LV" w:eastAsia="lv-LV" w:bidi="lv-LV"/>
        </w:rPr>
        <w:t>ULC</w:t>
      </w:r>
      <w:r>
        <w:rPr>
          <w:rFonts w:ascii="Times New Roman" w:hAnsi="Times New Roman"/>
          <w:noProof/>
          <w:lang w:val="lv-LV" w:eastAsia="lv-LV" w:bidi="lv-LV"/>
        </w:rPr>
        <w:t xml:space="preserve"> balstītajiem </w:t>
      </w:r>
      <w:r>
        <w:rPr>
          <w:rFonts w:ascii="Times New Roman" w:hAnsi="Times New Roman"/>
          <w:i/>
          <w:noProof/>
          <w:lang w:val="lv-LV" w:eastAsia="lv-LV" w:bidi="lv-LV"/>
        </w:rPr>
        <w:t>REER</w:t>
      </w:r>
      <w:r>
        <w:rPr>
          <w:rFonts w:ascii="Times New Roman" w:hAnsi="Times New Roman"/>
          <w:noProof/>
          <w:lang w:val="lv-LV" w:eastAsia="lv-LV" w:bidi="lv-LV"/>
        </w:rPr>
        <w:t>, kopumā bija lielāks neto debitorvalstīs</w:t>
      </w:r>
      <w:r>
        <w:rPr>
          <w:rFonts w:ascii="Times New Roman" w:hAnsi="Times New Roman"/>
          <w:noProof/>
          <w:lang w:val="lv-LV" w:eastAsia="lv-LV" w:bidi="lv-LV"/>
        </w:rPr>
        <w:t xml:space="preserve">. Pierādījumi atbilst iepriekš sniegtajiem, kas attiecas uz </w:t>
      </w:r>
      <w:r>
        <w:rPr>
          <w:rFonts w:ascii="Times New Roman" w:hAnsi="Times New Roman"/>
          <w:i/>
          <w:noProof/>
          <w:lang w:val="lv-LV" w:eastAsia="lv-LV" w:bidi="lv-LV"/>
        </w:rPr>
        <w:t>ULC</w:t>
      </w:r>
      <w:r>
        <w:rPr>
          <w:rFonts w:ascii="Times New Roman" w:hAnsi="Times New Roman"/>
          <w:noProof/>
          <w:lang w:val="lv-LV" w:eastAsia="lv-LV" w:bidi="lv-LV"/>
        </w:rPr>
        <w:t xml:space="preserve"> dinamiku.</w:t>
      </w:r>
    </w:p>
    <w:p w:rsidR="003D03E9" w:rsidRDefault="00F77AE9">
      <w:pPr>
        <w:numPr>
          <w:ilvl w:val="0"/>
          <w:numId w:val="15"/>
        </w:numPr>
        <w:spacing w:before="120" w:after="120"/>
        <w:ind w:left="567" w:hanging="425"/>
        <w:jc w:val="both"/>
        <w:rPr>
          <w:rFonts w:ascii="Times New Roman" w:eastAsia="Times New Roman" w:hAnsi="Times New Roman" w:cs="Times New Roman"/>
          <w:noProof/>
          <w:lang w:val="lv-LV" w:eastAsia="lv-LV" w:bidi="lv-LV"/>
        </w:rPr>
      </w:pPr>
      <w:r>
        <w:rPr>
          <w:b/>
          <w:noProof/>
          <w:lang w:val="lv-LV" w:eastAsia="lv-LV" w:bidi="lv-LV"/>
        </w:rPr>
        <w:t>Cenu konkurētspējas dinamika</w:t>
      </w:r>
      <w:r>
        <w:rPr>
          <w:noProof/>
          <w:lang w:val="lv-LV" w:eastAsia="lv-LV" w:bidi="lv-LV"/>
        </w:rPr>
        <w:t xml:space="preserve">, ko mēra ar IKP deflatorā balstītajiem </w:t>
      </w:r>
      <w:r>
        <w:rPr>
          <w:i/>
          <w:noProof/>
          <w:lang w:val="lv-LV" w:eastAsia="lv-LV" w:bidi="lv-LV"/>
        </w:rPr>
        <w:t>REER</w:t>
      </w:r>
      <w:r>
        <w:rPr>
          <w:noProof/>
          <w:lang w:val="lv-LV" w:eastAsia="lv-LV" w:bidi="lv-LV"/>
        </w:rPr>
        <w:t xml:space="preserve">, </w:t>
      </w:r>
      <w:r>
        <w:rPr>
          <w:b/>
          <w:noProof/>
          <w:lang w:val="lv-LV" w:eastAsia="lv-LV" w:bidi="lv-LV"/>
        </w:rPr>
        <w:t>bija ierobežotāka nekā izmaksu konkurētspējas dinamika</w:t>
      </w:r>
      <w:r>
        <w:rPr>
          <w:noProof/>
          <w:lang w:val="lv-LV" w:eastAsia="lv-LV" w:bidi="lv-LV"/>
        </w:rPr>
        <w:t xml:space="preserve">, ko mēra ar </w:t>
      </w:r>
      <w:r>
        <w:rPr>
          <w:i/>
          <w:noProof/>
          <w:lang w:val="lv-LV" w:eastAsia="lv-LV" w:bidi="lv-LV"/>
        </w:rPr>
        <w:t>ULC</w:t>
      </w:r>
      <w:r>
        <w:rPr>
          <w:noProof/>
          <w:lang w:val="lv-LV" w:eastAsia="lv-LV" w:bidi="lv-LV"/>
        </w:rPr>
        <w:t xml:space="preserve"> balstītajiem </w:t>
      </w:r>
      <w:r>
        <w:rPr>
          <w:i/>
          <w:noProof/>
          <w:lang w:val="lv-LV" w:eastAsia="lv-LV" w:bidi="lv-LV"/>
        </w:rPr>
        <w:t>REER</w:t>
      </w:r>
      <w:r>
        <w:rPr>
          <w:noProof/>
          <w:lang w:val="lv-LV" w:eastAsia="lv-LV" w:bidi="lv-LV"/>
        </w:rPr>
        <w:t>.</w:t>
      </w:r>
      <w:r>
        <w:rPr>
          <w:rFonts w:ascii="Times New Roman" w:hAnsi="Times New Roman"/>
          <w:noProof/>
          <w:lang w:val="lv-LV" w:eastAsia="lv-LV" w:bidi="lv-LV"/>
        </w:rPr>
        <w:t xml:space="preserve"> Tas nozīmē, ka daļ</w:t>
      </w:r>
      <w:r>
        <w:rPr>
          <w:rFonts w:ascii="Times New Roman" w:hAnsi="Times New Roman"/>
          <w:noProof/>
          <w:lang w:val="lv-LV" w:eastAsia="lv-LV" w:bidi="lv-LV"/>
        </w:rPr>
        <w:t>a no variācijas vienības darbaspēka izmaksās ietekmēja cenas un izmaksu starpības nevis tika pārnesta uz cenām (9. grafiks). Pierādījumi, kas liecina par peļņas normas sarukumu, bija īpaši izteikti valstīs, kurās tika reģistrēti lieli izmaksu konkurētspēja</w:t>
      </w:r>
      <w:r>
        <w:rPr>
          <w:rFonts w:ascii="Times New Roman" w:hAnsi="Times New Roman"/>
          <w:noProof/>
          <w:lang w:val="lv-LV" w:eastAsia="lv-LV" w:bidi="lv-LV"/>
        </w:rPr>
        <w:t>s zudumi, īpaši Baltijas valstīs, Bulgārijā un Rumānijā</w:t>
      </w:r>
      <w:r>
        <w:rPr>
          <w:rFonts w:ascii="Times New Roman" w:hAnsi="Times New Roman"/>
          <w:noProof/>
          <w:vertAlign w:val="superscript"/>
          <w:lang w:val="lv-LV" w:eastAsia="lv-LV" w:bidi="lv-LV"/>
        </w:rPr>
        <w:footnoteReference w:id="22"/>
      </w:r>
      <w:r>
        <w:rPr>
          <w:rFonts w:ascii="Times New Roman" w:hAnsi="Times New Roman"/>
          <w:noProof/>
          <w:lang w:val="lv-LV" w:eastAsia="lv-LV" w:bidi="lv-LV"/>
        </w:rPr>
        <w:t xml:space="preserve">. </w:t>
      </w:r>
    </w:p>
    <w:p w:rsidR="003D03E9" w:rsidRDefault="00F77AE9">
      <w:pPr>
        <w:numPr>
          <w:ilvl w:val="0"/>
          <w:numId w:val="15"/>
        </w:numPr>
        <w:spacing w:before="120" w:after="120"/>
        <w:ind w:left="567" w:hanging="425"/>
        <w:jc w:val="both"/>
        <w:rPr>
          <w:rFonts w:ascii="Times New Roman" w:eastAsia="Times New Roman" w:hAnsi="Times New Roman" w:cs="Times New Roman"/>
          <w:noProof/>
          <w:lang w:val="lv-LV" w:eastAsia="lv-LV" w:bidi="lv-LV"/>
        </w:rPr>
      </w:pPr>
      <w:r>
        <w:rPr>
          <w:rFonts w:ascii="Times New Roman" w:hAnsi="Times New Roman"/>
          <w:noProof/>
          <w:lang w:val="lv-LV" w:eastAsia="lv-LV" w:bidi="lv-LV"/>
        </w:rPr>
        <w:t xml:space="preserve">Vairākās valstīs ļoti mēreni vai </w:t>
      </w:r>
      <w:r>
        <w:rPr>
          <w:rFonts w:ascii="Times New Roman" w:hAnsi="Times New Roman"/>
          <w:b/>
          <w:noProof/>
          <w:lang w:val="lv-LV" w:eastAsia="lv-LV" w:bidi="lv-LV"/>
        </w:rPr>
        <w:t>negatīvi patēriņa cenu inflācijas rādītāji</w:t>
      </w:r>
      <w:r>
        <w:rPr>
          <w:rFonts w:ascii="Times New Roman" w:hAnsi="Times New Roman"/>
          <w:noProof/>
          <w:lang w:val="lv-LV" w:eastAsia="lv-LV" w:bidi="lv-LV"/>
        </w:rPr>
        <w:t xml:space="preserve"> atspoguļojās spēcīgā </w:t>
      </w:r>
      <w:r>
        <w:rPr>
          <w:rFonts w:ascii="Times New Roman" w:hAnsi="Times New Roman"/>
          <w:b/>
          <w:noProof/>
          <w:lang w:val="lv-LV" w:eastAsia="lv-LV" w:bidi="lv-LV"/>
        </w:rPr>
        <w:t>konkurētspējas pieaugumā</w:t>
      </w:r>
      <w:r>
        <w:rPr>
          <w:rFonts w:ascii="Times New Roman" w:hAnsi="Times New Roman"/>
          <w:noProof/>
          <w:lang w:val="lv-LV" w:eastAsia="lv-LV" w:bidi="lv-LV"/>
        </w:rPr>
        <w:t xml:space="preserve">, ko mēra ar saskaņotajā patēriņa cenu indeksā (SPCI) balstītajiem </w:t>
      </w:r>
      <w:r>
        <w:rPr>
          <w:rFonts w:ascii="Times New Roman" w:hAnsi="Times New Roman"/>
          <w:i/>
          <w:noProof/>
          <w:lang w:val="lv-LV" w:eastAsia="lv-LV" w:bidi="lv-LV"/>
        </w:rPr>
        <w:t>REER</w:t>
      </w:r>
      <w:r>
        <w:rPr>
          <w:rFonts w:ascii="Times New Roman" w:hAnsi="Times New Roman"/>
          <w:noProof/>
          <w:lang w:val="lv-LV" w:eastAsia="lv-LV" w:bidi="lv-LV"/>
        </w:rPr>
        <w:t>. Div</w:t>
      </w:r>
      <w:r>
        <w:rPr>
          <w:rFonts w:ascii="Times New Roman" w:hAnsi="Times New Roman"/>
          <w:noProof/>
          <w:lang w:val="lv-LV" w:eastAsia="lv-LV" w:bidi="lv-LV"/>
        </w:rPr>
        <w:t xml:space="preserve">as valstis — Īrija un Kipra — 2017. gadā bija pat zem 2017. gada rādītāju kopsavilkuma zemākās robežvērtības. Lielākajā daļā valstu </w:t>
      </w:r>
      <w:r>
        <w:rPr>
          <w:rFonts w:ascii="Times New Roman" w:hAnsi="Times New Roman"/>
          <w:b/>
          <w:noProof/>
          <w:lang w:val="lv-LV" w:eastAsia="lv-LV" w:bidi="lv-LV"/>
        </w:rPr>
        <w:t xml:space="preserve">pašreizējie konkurētspējas rādītāji ir labvēlīgāki nekā pirms krīzes, jo SPCI balstīto </w:t>
      </w:r>
      <w:r>
        <w:rPr>
          <w:rFonts w:ascii="Times New Roman" w:hAnsi="Times New Roman"/>
          <w:b/>
          <w:i/>
          <w:noProof/>
          <w:lang w:val="lv-LV" w:eastAsia="lv-LV" w:bidi="lv-LV"/>
        </w:rPr>
        <w:t>REER</w:t>
      </w:r>
      <w:r>
        <w:rPr>
          <w:rFonts w:ascii="Times New Roman" w:hAnsi="Times New Roman"/>
          <w:noProof/>
          <w:lang w:val="lv-LV" w:eastAsia="lv-LV" w:bidi="lv-LV"/>
        </w:rPr>
        <w:t xml:space="preserve"> līmenis ir zemāks par to, kāds konstatēts pie iepriekšējiem maksimālajiem līmeņiem. Reālā vērtības samazināšanās lielākajā daļā gadījumu sakrita ar starptautiski netirgojamu produktu relatīvās cenas samazinājumu un pieaugošo starptautiski tirgojamu produk</w:t>
      </w:r>
      <w:r>
        <w:rPr>
          <w:rFonts w:ascii="Times New Roman" w:hAnsi="Times New Roman"/>
          <w:noProof/>
          <w:lang w:val="lv-LV" w:eastAsia="lv-LV" w:bidi="lv-LV"/>
        </w:rPr>
        <w:t xml:space="preserve">tu īpatsvaru ekonomikā, vairojot uz eksportu balstītas izaugsmes dinamikas potenciālu. Tomēr dažās valstīs, īpaši Austrijā, Igaunijā un Lietuvā, SPCI balstīto </w:t>
      </w:r>
      <w:r>
        <w:rPr>
          <w:rFonts w:ascii="Times New Roman" w:hAnsi="Times New Roman"/>
          <w:i/>
          <w:noProof/>
          <w:lang w:val="lv-LV" w:eastAsia="lv-LV" w:bidi="lv-LV"/>
        </w:rPr>
        <w:t>REER</w:t>
      </w:r>
      <w:r>
        <w:rPr>
          <w:rFonts w:ascii="Times New Roman" w:hAnsi="Times New Roman"/>
          <w:noProof/>
          <w:lang w:val="lv-LV" w:eastAsia="lv-LV" w:bidi="lv-LV"/>
        </w:rPr>
        <w:t xml:space="preserve"> pašreizējie rādītāji ir tuvi iepriekšējiem maksimālajiem līmeņiem vai lielāki par tiem. </w:t>
      </w:r>
    </w:p>
    <w:p w:rsidR="003D03E9" w:rsidRDefault="003D03E9">
      <w:pPr>
        <w:spacing w:before="120" w:after="120"/>
        <w:ind w:left="567"/>
        <w:jc w:val="both"/>
        <w:rPr>
          <w:rFonts w:ascii="Times New Roman" w:eastAsia="Times New Roman" w:hAnsi="Times New Roman" w:cs="Times New Roman"/>
          <w:b/>
          <w:noProof/>
          <w:lang w:val="lv-LV" w:eastAsia="lv-LV" w:bidi="lv-LV"/>
        </w:rPr>
      </w:pPr>
    </w:p>
    <w:p w:rsidR="003D03E9" w:rsidRDefault="00F77AE9">
      <w:pPr>
        <w:keepNext/>
        <w:spacing w:before="120" w:after="120"/>
        <w:jc w:val="center"/>
        <w:rPr>
          <w:rFonts w:ascii="Times New Roman" w:eastAsia="MS Mincho" w:hAnsi="Times New Roman" w:cs="Times New Roman"/>
          <w:b/>
          <w:bCs/>
          <w:noProof/>
          <w:lang w:val="lv-LV" w:eastAsia="lv-LV" w:bidi="lv-LV"/>
        </w:rPr>
      </w:pPr>
      <w:r>
        <w:rPr>
          <w:rFonts w:ascii="Times New Roman" w:hAnsi="Times New Roman"/>
          <w:b/>
          <w:noProof/>
          <w:lang w:val="lv-LV" w:eastAsia="lv-LV" w:bidi="lv-LV"/>
        </w:rPr>
        <w:t>9.</w:t>
      </w:r>
      <w:r>
        <w:rPr>
          <w:rFonts w:ascii="Times New Roman" w:hAnsi="Times New Roman"/>
          <w:b/>
          <w:noProof/>
          <w:lang w:val="lv-LV" w:eastAsia="lv-LV" w:bidi="lv-LV"/>
        </w:rPr>
        <w:t> grafiks. Nominālie un reālie efektīvie valūtas kursi (</w:t>
      </w:r>
      <w:r>
        <w:rPr>
          <w:rFonts w:ascii="Times New Roman" w:hAnsi="Times New Roman"/>
          <w:b/>
          <w:i/>
          <w:noProof/>
          <w:lang w:val="lv-LV" w:eastAsia="lv-LV" w:bidi="lv-LV"/>
        </w:rPr>
        <w:t>NEER</w:t>
      </w:r>
      <w:r>
        <w:rPr>
          <w:rFonts w:ascii="Times New Roman" w:hAnsi="Times New Roman"/>
          <w:b/>
          <w:noProof/>
          <w:lang w:val="lv-LV" w:eastAsia="lv-LV" w:bidi="lv-LV"/>
        </w:rPr>
        <w:t xml:space="preserve"> un </w:t>
      </w:r>
      <w:r>
        <w:rPr>
          <w:rFonts w:ascii="Times New Roman" w:hAnsi="Times New Roman"/>
          <w:b/>
          <w:i/>
          <w:noProof/>
          <w:lang w:val="lv-LV" w:eastAsia="lv-LV" w:bidi="lv-LV"/>
        </w:rPr>
        <w:t>REER</w:t>
      </w:r>
      <w:r>
        <w:rPr>
          <w:rFonts w:ascii="Times New Roman" w:hAnsi="Times New Roman"/>
          <w:b/>
          <w:noProof/>
          <w:lang w:val="lv-LV" w:eastAsia="lv-LV" w:bidi="lv-LV"/>
        </w:rPr>
        <w:t>)</w:t>
      </w:r>
    </w:p>
    <w:p w:rsidR="003D03E9" w:rsidRDefault="00F77AE9">
      <w:pPr>
        <w:keepNext/>
        <w:spacing w:before="120" w:after="120"/>
        <w:jc w:val="center"/>
        <w:rPr>
          <w:rFonts w:ascii="Times New Roman" w:eastAsia="MS Mincho" w:hAnsi="Times New Roman" w:cs="Times New Roman"/>
          <w:b/>
          <w:bCs/>
          <w:noProof/>
          <w:lang w:val="lv-LV" w:eastAsia="lv-LV" w:bidi="lv-LV"/>
        </w:rPr>
      </w:pPr>
      <w:r>
        <w:rPr>
          <w:rFonts w:ascii="Times New Roman" w:eastAsia="MS Mincho" w:hAnsi="Times New Roman" w:cs="Times New Roman"/>
          <w:b/>
          <w:bCs/>
          <w:noProof/>
          <w:lang w:eastAsia="en-GB"/>
        </w:rPr>
        <w:drawing>
          <wp:inline distT="0" distB="0" distL="0" distR="0">
            <wp:extent cx="5114925" cy="3560445"/>
            <wp:effectExtent l="0" t="0" r="9525"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14925" cy="3560445"/>
                    </a:xfrm>
                    <a:prstGeom prst="rect">
                      <a:avLst/>
                    </a:prstGeom>
                    <a:noFill/>
                  </pic:spPr>
                </pic:pic>
              </a:graphicData>
            </a:graphic>
          </wp:inline>
        </w:drawing>
      </w:r>
    </w:p>
    <w:p w:rsidR="003D03E9" w:rsidRDefault="00F77AE9">
      <w:pPr>
        <w:spacing w:after="0"/>
        <w:jc w:val="both"/>
        <w:rPr>
          <w:rFonts w:ascii="Times New Roman" w:eastAsia="Times New Roman" w:hAnsi="Times New Roman" w:cs="Times New Roman"/>
          <w:noProof/>
          <w:sz w:val="20"/>
          <w:szCs w:val="20"/>
          <w:lang w:val="lv-LV" w:eastAsia="lv-LV" w:bidi="lv-LV"/>
        </w:rPr>
      </w:pPr>
      <w:r>
        <w:rPr>
          <w:rFonts w:ascii="Times New Roman" w:hAnsi="Times New Roman"/>
          <w:i/>
          <w:noProof/>
          <w:sz w:val="20"/>
          <w:lang w:val="lv-LV" w:eastAsia="lv-LV" w:bidi="lv-LV"/>
        </w:rPr>
        <w:t>Avots:</w:t>
      </w:r>
      <w:r>
        <w:rPr>
          <w:rFonts w:ascii="Times New Roman" w:hAnsi="Times New Roman"/>
          <w:noProof/>
          <w:sz w:val="20"/>
          <w:lang w:val="lv-LV" w:eastAsia="lv-LV" w:bidi="lv-LV"/>
        </w:rPr>
        <w:t xml:space="preserve"> AMECO.</w:t>
      </w:r>
    </w:p>
    <w:p w:rsidR="003D03E9" w:rsidRDefault="00F77AE9">
      <w:pPr>
        <w:spacing w:after="0"/>
        <w:jc w:val="both"/>
        <w:rPr>
          <w:rFonts w:ascii="Times New Roman" w:eastAsia="Times New Roman" w:hAnsi="Times New Roman" w:cs="Times New Roman"/>
          <w:noProof/>
          <w:sz w:val="20"/>
          <w:szCs w:val="20"/>
          <w:lang w:val="lv-LV" w:eastAsia="lv-LV" w:bidi="lv-LV"/>
        </w:rPr>
      </w:pPr>
      <w:r>
        <w:rPr>
          <w:rFonts w:ascii="Times New Roman" w:hAnsi="Times New Roman"/>
          <w:i/>
          <w:noProof/>
          <w:sz w:val="20"/>
          <w:lang w:val="lv-LV" w:eastAsia="lv-LV" w:bidi="lv-LV"/>
        </w:rPr>
        <w:t>Piezīme:</w:t>
      </w:r>
      <w:r>
        <w:rPr>
          <w:rFonts w:ascii="Times New Roman" w:hAnsi="Times New Roman"/>
          <w:noProof/>
          <w:sz w:val="20"/>
          <w:lang w:val="lv-LV" w:eastAsia="lv-LV" w:bidi="lv-LV"/>
        </w:rPr>
        <w:t xml:space="preserve"> valstis ir norādītas </w:t>
      </w:r>
      <w:r>
        <w:rPr>
          <w:rFonts w:ascii="Times New Roman" w:hAnsi="Times New Roman"/>
          <w:i/>
          <w:noProof/>
          <w:sz w:val="20"/>
          <w:lang w:val="lv-LV" w:eastAsia="lv-LV" w:bidi="lv-LV"/>
        </w:rPr>
        <w:t>ULC</w:t>
      </w:r>
      <w:r>
        <w:rPr>
          <w:rFonts w:ascii="Times New Roman" w:hAnsi="Times New Roman"/>
          <w:noProof/>
          <w:sz w:val="20"/>
          <w:lang w:val="lv-LV" w:eastAsia="lv-LV" w:bidi="lv-LV"/>
        </w:rPr>
        <w:t xml:space="preserve"> balstīto reālo efektīvo valūtas kursu vidējās gada variācijas augošā secībā 2015.–2017. gadā. </w:t>
      </w:r>
      <w:r>
        <w:rPr>
          <w:rFonts w:ascii="Times New Roman" w:hAnsi="Times New Roman"/>
          <w:i/>
          <w:noProof/>
          <w:sz w:val="20"/>
          <w:lang w:val="lv-LV" w:eastAsia="lv-LV" w:bidi="lv-LV"/>
        </w:rPr>
        <w:t>ULC</w:t>
      </w:r>
      <w:r>
        <w:rPr>
          <w:rFonts w:ascii="Times New Roman" w:hAnsi="Times New Roman"/>
          <w:noProof/>
          <w:sz w:val="20"/>
          <w:lang w:val="lv-LV" w:eastAsia="lv-LV" w:bidi="lv-LV"/>
        </w:rPr>
        <w:t xml:space="preserve"> un IKP deflatorā balstītie </w:t>
      </w:r>
      <w:r>
        <w:rPr>
          <w:rFonts w:ascii="Times New Roman" w:hAnsi="Times New Roman"/>
          <w:i/>
          <w:noProof/>
          <w:sz w:val="20"/>
          <w:lang w:val="lv-LV" w:eastAsia="lv-LV" w:bidi="lv-LV"/>
        </w:rPr>
        <w:t>REER</w:t>
      </w:r>
      <w:r>
        <w:rPr>
          <w:rFonts w:ascii="Times New Roman" w:hAnsi="Times New Roman"/>
          <w:noProof/>
          <w:sz w:val="20"/>
          <w:lang w:val="lv-LV" w:eastAsia="lv-LV" w:bidi="lv-LV"/>
        </w:rPr>
        <w:t xml:space="preserve"> un nomi</w:t>
      </w:r>
      <w:r>
        <w:rPr>
          <w:rFonts w:ascii="Times New Roman" w:hAnsi="Times New Roman"/>
          <w:noProof/>
          <w:sz w:val="20"/>
          <w:lang w:val="lv-LV" w:eastAsia="lv-LV" w:bidi="lv-LV"/>
        </w:rPr>
        <w:t>nālie efektīvie valūtas kursi (</w:t>
      </w:r>
      <w:r>
        <w:rPr>
          <w:rFonts w:ascii="Times New Roman" w:hAnsi="Times New Roman"/>
          <w:i/>
          <w:noProof/>
          <w:sz w:val="20"/>
          <w:lang w:val="lv-LV" w:eastAsia="lv-LV" w:bidi="lv-LV"/>
        </w:rPr>
        <w:t>NEER</w:t>
      </w:r>
      <w:r>
        <w:rPr>
          <w:rFonts w:ascii="Times New Roman" w:hAnsi="Times New Roman"/>
          <w:noProof/>
          <w:sz w:val="20"/>
          <w:lang w:val="lv-LV" w:eastAsia="lv-LV" w:bidi="lv-LV"/>
        </w:rPr>
        <w:t xml:space="preserve">) tiek aprēķināti attiecībā pret 37 tirdzniecības partneriem; SPCI balstītie </w:t>
      </w:r>
      <w:r>
        <w:rPr>
          <w:rFonts w:ascii="Times New Roman" w:hAnsi="Times New Roman"/>
          <w:i/>
          <w:noProof/>
          <w:sz w:val="20"/>
          <w:lang w:val="lv-LV" w:eastAsia="lv-LV" w:bidi="lv-LV"/>
        </w:rPr>
        <w:t>REER</w:t>
      </w:r>
      <w:r>
        <w:rPr>
          <w:rFonts w:ascii="Times New Roman" w:hAnsi="Times New Roman"/>
          <w:noProof/>
          <w:sz w:val="20"/>
          <w:lang w:val="lv-LV" w:eastAsia="lv-LV" w:bidi="lv-LV"/>
        </w:rPr>
        <w:t xml:space="preserve"> tiek aprēķināti attiecībā pret 42 tirdzniecības partneriem, kā tas ir BMZ rādītāju kopsavilkumā.</w:t>
      </w:r>
    </w:p>
    <w:p w:rsidR="003D03E9" w:rsidRDefault="003D03E9">
      <w:pPr>
        <w:spacing w:before="120" w:after="120"/>
        <w:jc w:val="both"/>
        <w:rPr>
          <w:rFonts w:ascii="Times New Roman" w:eastAsia="Times New Roman" w:hAnsi="Times New Roman" w:cs="Times New Roman"/>
          <w:noProof/>
          <w:sz w:val="20"/>
          <w:szCs w:val="20"/>
          <w:lang w:val="lv-LV" w:eastAsia="lv-LV" w:bidi="lv-LV"/>
        </w:rPr>
      </w:pPr>
    </w:p>
    <w:p w:rsidR="003D03E9" w:rsidRDefault="00F77AE9">
      <w:pPr>
        <w:rPr>
          <w:rFonts w:ascii="Times New Roman" w:eastAsia="Times New Roman" w:hAnsi="Times New Roman" w:cs="Times New Roman"/>
          <w:b/>
          <w:noProof/>
          <w:lang w:val="lv-LV" w:eastAsia="lv-LV" w:bidi="lv-LV"/>
        </w:rPr>
      </w:pPr>
      <w:r>
        <w:rPr>
          <w:noProof/>
          <w:lang w:val="lv-LV" w:eastAsia="lv-LV" w:bidi="lv-LV"/>
        </w:rPr>
        <w:br w:type="page"/>
      </w:r>
    </w:p>
    <w:p w:rsidR="003D03E9" w:rsidRDefault="00F77AE9">
      <w:pPr>
        <w:spacing w:before="120" w:after="120"/>
        <w:jc w:val="both"/>
        <w:rPr>
          <w:rFonts w:ascii="Times New Roman" w:eastAsia="Times New Roman" w:hAnsi="Times New Roman" w:cs="Times New Roman"/>
          <w:noProof/>
          <w:lang w:val="lv-LV" w:eastAsia="lv-LV" w:bidi="lv-LV"/>
        </w:rPr>
      </w:pPr>
      <w:r>
        <w:rPr>
          <w:b/>
          <w:noProof/>
          <w:lang w:val="lv-LV" w:eastAsia="lv-LV" w:bidi="lv-LV"/>
        </w:rPr>
        <w:t xml:space="preserve">Eksporta tirgus daļu pieaugums ir </w:t>
      </w:r>
      <w:r>
        <w:rPr>
          <w:b/>
          <w:noProof/>
          <w:lang w:val="lv-LV" w:eastAsia="lv-LV" w:bidi="lv-LV"/>
        </w:rPr>
        <w:t>reģistrēts lielākajā daļā ES valstu, bet šā pieauguma temps kļūst gausāks.</w:t>
      </w:r>
      <w:r>
        <w:rPr>
          <w:rFonts w:ascii="Times New Roman" w:hAnsi="Times New Roman"/>
          <w:noProof/>
          <w:lang w:val="lv-LV" w:eastAsia="lv-LV" w:bidi="lv-LV"/>
        </w:rPr>
        <w:t xml:space="preserve"> Kopējās eksporta tirgus daļas izmaiņas piecos gados, kas reģistrētas 2017. gadā, uzrāda pozitīvas vērtības lielākajā daļā ES dalībvalstu, un tikai vienā valstī (Grieķijā) eksporta t</w:t>
      </w:r>
      <w:r>
        <w:rPr>
          <w:rFonts w:ascii="Times New Roman" w:hAnsi="Times New Roman"/>
          <w:noProof/>
          <w:lang w:val="lv-LV" w:eastAsia="lv-LV" w:bidi="lv-LV"/>
        </w:rPr>
        <w:t>irgus daļu zudumi pārsniedza rādītāju kopsavilkuma robežvērtību. Jaunākie dati rāda atšķirīgu ainu, jo pārsvarā joprojām reģistrēti pieaugumi, bet 2017. gadā tie kļuvuši mērenāki, ņemot vērā euro vērtības pieaugumu un to, ka izejvielu cenu dinamika kļuvusi</w:t>
      </w:r>
      <w:r>
        <w:rPr>
          <w:rFonts w:ascii="Times New Roman" w:hAnsi="Times New Roman"/>
          <w:noProof/>
          <w:lang w:val="lv-LV" w:eastAsia="lv-LV" w:bidi="lv-LV"/>
        </w:rPr>
        <w:t xml:space="preserve"> nelabvēlīgāka. Vienlaikus, lai gan ES valstu eksporta rādītāji 2017. gadā turpināja uzlaboties, citu valstu eksporta rādītāju pieaugums 2017. gadā bija tuvs tam, ko ES panāca 2017. gadā, un pieauguma paātrinājums bijis straujāks salīdzinājumā ar iepriekšē</w:t>
      </w:r>
      <w:r>
        <w:rPr>
          <w:rFonts w:ascii="Times New Roman" w:hAnsi="Times New Roman"/>
          <w:noProof/>
          <w:lang w:val="lv-LV" w:eastAsia="lv-LV" w:bidi="lv-LV"/>
        </w:rPr>
        <w:t>jiem gadiem</w:t>
      </w:r>
      <w:r>
        <w:rPr>
          <w:rFonts w:ascii="Times New Roman" w:hAnsi="Times New Roman"/>
          <w:noProof/>
          <w:vertAlign w:val="superscript"/>
          <w:lang w:val="lv-LV" w:eastAsia="lv-LV" w:bidi="lv-LV"/>
        </w:rPr>
        <w:footnoteReference w:id="23"/>
      </w:r>
      <w:r>
        <w:rPr>
          <w:rFonts w:ascii="Times New Roman" w:hAnsi="Times New Roman"/>
          <w:noProof/>
          <w:lang w:val="lv-LV" w:eastAsia="lv-LV" w:bidi="lv-LV"/>
        </w:rPr>
        <w:t>.</w:t>
      </w:r>
    </w:p>
    <w:p w:rsidR="003D03E9" w:rsidRDefault="00F77AE9">
      <w:pPr>
        <w:numPr>
          <w:ilvl w:val="0"/>
          <w:numId w:val="16"/>
        </w:numPr>
        <w:spacing w:before="120" w:after="120"/>
        <w:ind w:left="567" w:hanging="425"/>
        <w:jc w:val="both"/>
        <w:rPr>
          <w:rFonts w:ascii="Times New Roman" w:eastAsia="Times New Roman" w:hAnsi="Times New Roman" w:cs="Times New Roman"/>
          <w:b/>
          <w:noProof/>
          <w:lang w:val="lv-LV" w:eastAsia="lv-LV" w:bidi="lv-LV"/>
        </w:rPr>
      </w:pPr>
      <w:r>
        <w:rPr>
          <w:rFonts w:ascii="Times New Roman" w:hAnsi="Times New Roman"/>
          <w:noProof/>
          <w:lang w:val="lv-LV" w:eastAsia="lv-LV" w:bidi="lv-LV"/>
        </w:rPr>
        <w:t xml:space="preserve">Iepriekšējo vispārējo pozitīvo tendenci ES eksporta tirgus daļu ziņā ir veicinājis ES iekšējā eksporta pieprasījuma un konkurētspējas pieaugums, kā izklāstīts iepriekš. </w:t>
      </w:r>
      <w:r>
        <w:rPr>
          <w:rFonts w:ascii="Times New Roman" w:hAnsi="Times New Roman"/>
          <w:b/>
          <w:noProof/>
          <w:lang w:val="lv-LV" w:eastAsia="lv-LV" w:bidi="lv-LV"/>
        </w:rPr>
        <w:t>Tirgus daļas pieaugums kopumā bija vairāk izteikts neto debitorvalstīs un</w:t>
      </w:r>
      <w:r>
        <w:rPr>
          <w:rFonts w:ascii="Times New Roman" w:hAnsi="Times New Roman"/>
          <w:b/>
          <w:noProof/>
          <w:lang w:val="lv-LV" w:eastAsia="lv-LV" w:bidi="lv-LV"/>
        </w:rPr>
        <w:t xml:space="preserve"> Centrāleiropas un dažās Austrumeiropas valstīs</w:t>
      </w:r>
      <w:r>
        <w:rPr>
          <w:rFonts w:ascii="Times New Roman" w:hAnsi="Times New Roman"/>
          <w:noProof/>
          <w:lang w:val="lv-LV" w:eastAsia="lv-LV" w:bidi="lv-LV"/>
        </w:rPr>
        <w:t xml:space="preserve">, kas nozīmē, ka straujāks konkurētspējas pieaugums šajās valstīs sekmēja ieguvumus, kas saistīti ar iekļūšanu eksporta tirgos. </w:t>
      </w:r>
    </w:p>
    <w:p w:rsidR="003D03E9" w:rsidRDefault="00F77AE9">
      <w:pPr>
        <w:numPr>
          <w:ilvl w:val="0"/>
          <w:numId w:val="16"/>
        </w:numPr>
        <w:spacing w:before="120" w:after="120"/>
        <w:ind w:left="567" w:hanging="425"/>
        <w:jc w:val="both"/>
        <w:rPr>
          <w:rFonts w:ascii="Times New Roman" w:eastAsia="Times New Roman" w:hAnsi="Times New Roman" w:cs="Times New Roman"/>
          <w:b/>
          <w:noProof/>
          <w:lang w:val="lv-LV" w:eastAsia="lv-LV" w:bidi="lv-LV"/>
        </w:rPr>
      </w:pPr>
      <w:r>
        <w:rPr>
          <w:rFonts w:ascii="Times New Roman" w:hAnsi="Times New Roman"/>
          <w:noProof/>
          <w:lang w:val="lv-LV" w:eastAsia="lv-LV" w:bidi="lv-LV"/>
        </w:rPr>
        <w:t>Jaunākie dati par ikgadējām tirgus daļu izmaiņām liecina par pieaugumiem 2016. g</w:t>
      </w:r>
      <w:r>
        <w:rPr>
          <w:rFonts w:ascii="Times New Roman" w:hAnsi="Times New Roman"/>
          <w:noProof/>
          <w:lang w:val="lv-LV" w:eastAsia="lv-LV" w:bidi="lv-LV"/>
        </w:rPr>
        <w:t xml:space="preserve">adā, kam seko kopumā mērenāki rezultāti 2017. gadā (10. grafiks). </w:t>
      </w:r>
      <w:r>
        <w:rPr>
          <w:rFonts w:ascii="Times New Roman" w:hAnsi="Times New Roman"/>
          <w:b/>
          <w:noProof/>
          <w:lang w:val="lv-LV" w:eastAsia="lv-LV" w:bidi="lv-LV"/>
        </w:rPr>
        <w:t>2017. gadā pieaugumi kļuva mērenāki gandrīz visās ES dalībvalstīs</w:t>
      </w:r>
      <w:r>
        <w:rPr>
          <w:rFonts w:ascii="Times New Roman" w:hAnsi="Times New Roman"/>
          <w:noProof/>
          <w:lang w:val="lv-LV" w:eastAsia="lv-LV" w:bidi="lv-LV"/>
        </w:rPr>
        <w:t>, savukārt Grieķijā un Lietuvā tika reģistrēti lielāki pieaugumi, atspoguļojot virzienmaiņu salīdzinājumā ar iepriekš reģistr</w:t>
      </w:r>
      <w:r>
        <w:rPr>
          <w:rFonts w:ascii="Times New Roman" w:hAnsi="Times New Roman"/>
          <w:noProof/>
          <w:lang w:val="lv-LV" w:eastAsia="lv-LV" w:bidi="lv-LV"/>
        </w:rPr>
        <w:t>ētiem lieliem zaudējumiem.</w:t>
      </w:r>
    </w:p>
    <w:p w:rsidR="003D03E9" w:rsidRDefault="003D03E9">
      <w:pPr>
        <w:spacing w:before="120" w:after="120"/>
        <w:jc w:val="center"/>
        <w:rPr>
          <w:rFonts w:ascii="Times New Roman" w:eastAsia="Times New Roman" w:hAnsi="Times New Roman" w:cs="Times New Roman"/>
          <w:b/>
          <w:noProof/>
          <w:sz w:val="24"/>
          <w:szCs w:val="24"/>
          <w:lang w:val="lv-LV" w:eastAsia="lv-LV" w:bidi="lv-LV"/>
        </w:rPr>
      </w:pPr>
    </w:p>
    <w:p w:rsidR="003D03E9" w:rsidRDefault="00F77AE9">
      <w:pPr>
        <w:keepNext/>
        <w:spacing w:before="120" w:after="120"/>
        <w:jc w:val="center"/>
        <w:rPr>
          <w:rFonts w:ascii="Times New Roman" w:eastAsia="MS Mincho" w:hAnsi="Times New Roman" w:cs="Times New Roman"/>
          <w:b/>
          <w:bCs/>
          <w:noProof/>
          <w:lang w:val="lv-LV" w:eastAsia="lv-LV" w:bidi="lv-LV"/>
        </w:rPr>
      </w:pPr>
      <w:r>
        <w:rPr>
          <w:rFonts w:ascii="Times New Roman" w:hAnsi="Times New Roman"/>
          <w:b/>
          <w:noProof/>
          <w:lang w:val="lv-LV" w:eastAsia="lv-LV" w:bidi="lv-LV"/>
        </w:rPr>
        <w:t>10. grafiks. Eksporta tirgus daļu izmaiņas pēdējos gados</w:t>
      </w:r>
    </w:p>
    <w:p w:rsidR="003D03E9" w:rsidRDefault="00F77AE9">
      <w:pPr>
        <w:spacing w:before="120" w:after="120"/>
        <w:jc w:val="center"/>
        <w:rPr>
          <w:rFonts w:ascii="Times New Roman" w:eastAsia="Times New Roman" w:hAnsi="Times New Roman" w:cs="Times New Roman"/>
          <w:b/>
          <w:noProof/>
          <w:sz w:val="24"/>
          <w:szCs w:val="24"/>
          <w:lang w:val="lv-LV" w:eastAsia="lv-LV" w:bidi="lv-LV"/>
        </w:rPr>
      </w:pPr>
      <w:r>
        <w:rPr>
          <w:rFonts w:ascii="Times New Roman" w:eastAsia="Times New Roman" w:hAnsi="Times New Roman" w:cs="Times New Roman"/>
          <w:b/>
          <w:noProof/>
          <w:sz w:val="24"/>
          <w:szCs w:val="24"/>
          <w:lang w:eastAsia="en-GB"/>
        </w:rPr>
        <w:drawing>
          <wp:inline distT="0" distB="0" distL="0" distR="0">
            <wp:extent cx="5261610" cy="2987040"/>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61610" cy="2987040"/>
                    </a:xfrm>
                    <a:prstGeom prst="rect">
                      <a:avLst/>
                    </a:prstGeom>
                    <a:noFill/>
                  </pic:spPr>
                </pic:pic>
              </a:graphicData>
            </a:graphic>
          </wp:inline>
        </w:drawing>
      </w:r>
    </w:p>
    <w:p w:rsidR="003D03E9" w:rsidRDefault="00F77AE9">
      <w:pPr>
        <w:spacing w:after="0"/>
        <w:jc w:val="both"/>
        <w:rPr>
          <w:rFonts w:ascii="Times New Roman" w:eastAsia="Times New Roman" w:hAnsi="Times New Roman" w:cs="Times New Roman"/>
          <w:noProof/>
          <w:sz w:val="20"/>
          <w:szCs w:val="20"/>
          <w:lang w:val="lv-LV" w:eastAsia="lv-LV" w:bidi="lv-LV"/>
        </w:rPr>
      </w:pPr>
      <w:r>
        <w:rPr>
          <w:rFonts w:ascii="Times New Roman" w:hAnsi="Times New Roman"/>
          <w:i/>
          <w:noProof/>
          <w:sz w:val="20"/>
          <w:lang w:val="lv-LV" w:eastAsia="lv-LV" w:bidi="lv-LV"/>
        </w:rPr>
        <w:t>Avots:</w:t>
      </w:r>
      <w:r>
        <w:rPr>
          <w:rFonts w:ascii="Times New Roman" w:hAnsi="Times New Roman"/>
          <w:noProof/>
          <w:sz w:val="20"/>
          <w:lang w:val="lv-LV" w:eastAsia="lv-LV" w:bidi="lv-LV"/>
        </w:rPr>
        <w:t xml:space="preserve"> </w:t>
      </w:r>
      <w:r>
        <w:rPr>
          <w:rFonts w:ascii="Times New Roman" w:hAnsi="Times New Roman"/>
          <w:i/>
          <w:noProof/>
          <w:sz w:val="20"/>
          <w:lang w:val="lv-LV" w:eastAsia="lv-LV" w:bidi="lv-LV"/>
        </w:rPr>
        <w:t>Eurostat</w:t>
      </w:r>
      <w:r>
        <w:rPr>
          <w:rFonts w:ascii="Times New Roman" w:hAnsi="Times New Roman"/>
          <w:noProof/>
          <w:sz w:val="20"/>
          <w:lang w:val="lv-LV" w:eastAsia="lv-LV" w:bidi="lv-LV"/>
        </w:rPr>
        <w:t>, Komisijas dienestu aprēķini.</w:t>
      </w:r>
    </w:p>
    <w:p w:rsidR="003D03E9" w:rsidRDefault="00F77AE9">
      <w:pPr>
        <w:spacing w:after="0"/>
        <w:jc w:val="both"/>
        <w:rPr>
          <w:rFonts w:ascii="Times New Roman" w:eastAsia="Times New Roman" w:hAnsi="Times New Roman" w:cs="Times New Roman"/>
          <w:i/>
          <w:noProof/>
          <w:sz w:val="20"/>
          <w:szCs w:val="20"/>
          <w:lang w:val="lv-LV" w:eastAsia="lv-LV" w:bidi="lv-LV"/>
        </w:rPr>
      </w:pPr>
      <w:r>
        <w:rPr>
          <w:rFonts w:ascii="Times New Roman" w:hAnsi="Times New Roman"/>
          <w:i/>
          <w:noProof/>
          <w:sz w:val="20"/>
          <w:lang w:val="lv-LV" w:eastAsia="lv-LV" w:bidi="lv-LV"/>
        </w:rPr>
        <w:t xml:space="preserve">Piezīme: </w:t>
      </w:r>
      <w:r>
        <w:rPr>
          <w:rFonts w:ascii="Times New Roman" w:hAnsi="Times New Roman"/>
          <w:noProof/>
          <w:sz w:val="20"/>
          <w:lang w:val="lv-LV" w:eastAsia="lv-LV" w:bidi="lv-LV"/>
        </w:rPr>
        <w:t>valstis ir norādītas eksporta tirgus daļu gada variācijas augošā secībā 2017. gadā.</w:t>
      </w:r>
    </w:p>
    <w:p w:rsidR="003D03E9" w:rsidRDefault="003D03E9">
      <w:pPr>
        <w:rPr>
          <w:rFonts w:ascii="Times New Roman" w:eastAsia="Times New Roman" w:hAnsi="Times New Roman" w:cs="Times New Roman"/>
          <w:i/>
          <w:noProof/>
          <w:sz w:val="20"/>
          <w:szCs w:val="20"/>
          <w:lang w:val="lv-LV" w:eastAsia="lv-LV" w:bidi="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ayout w:type="fixed"/>
        <w:tblLook w:val="04A0" w:firstRow="1" w:lastRow="0" w:firstColumn="1" w:lastColumn="0" w:noHBand="0" w:noVBand="1"/>
      </w:tblPr>
      <w:tblGrid>
        <w:gridCol w:w="9288"/>
      </w:tblGrid>
      <w:tr w:rsidR="003D03E9" w:rsidRPr="00F77AE9">
        <w:tc>
          <w:tcPr>
            <w:tcW w:w="9288" w:type="dxa"/>
            <w:shd w:val="clear" w:color="auto" w:fill="BFBFBF" w:themeFill="background1" w:themeFillShade="BF"/>
          </w:tcPr>
          <w:p w:rsidR="003D03E9" w:rsidRDefault="00F77AE9">
            <w:pPr>
              <w:jc w:val="both"/>
              <w:rPr>
                <w:rFonts w:ascii="Times New Roman" w:hAnsi="Times New Roman" w:cs="Times New Roman"/>
                <w:b/>
                <w:i/>
                <w:noProof/>
                <w:lang w:val="lv-LV" w:eastAsia="lv-LV" w:bidi="lv-LV"/>
              </w:rPr>
            </w:pPr>
            <w:r>
              <w:rPr>
                <w:noProof/>
                <w:lang w:val="lv-LV" w:eastAsia="lv-LV" w:bidi="lv-LV"/>
              </w:rPr>
              <w:br w:type="page"/>
            </w:r>
            <w:r>
              <w:rPr>
                <w:noProof/>
                <w:lang w:val="lv-LV" w:eastAsia="lv-LV" w:bidi="lv-LV"/>
              </w:rPr>
              <w:br w:type="page"/>
            </w:r>
            <w:r>
              <w:rPr>
                <w:noProof/>
                <w:lang w:val="lv-LV" w:eastAsia="lv-LV" w:bidi="lv-LV"/>
              </w:rPr>
              <w:br w:type="page"/>
            </w:r>
            <w:r>
              <w:rPr>
                <w:rFonts w:ascii="Times New Roman" w:hAnsi="Times New Roman"/>
                <w:b/>
                <w:i/>
                <w:noProof/>
                <w:lang w:val="lv-LV" w:eastAsia="lv-LV" w:bidi="lv-LV"/>
              </w:rPr>
              <w:t xml:space="preserve">2. izcēlums. </w:t>
            </w:r>
            <w:r>
              <w:rPr>
                <w:rFonts w:ascii="Times New Roman" w:hAnsi="Times New Roman"/>
                <w:b/>
                <w:i/>
                <w:noProof/>
                <w:lang w:val="lv-LV" w:eastAsia="lv-LV" w:bidi="lv-LV"/>
              </w:rPr>
              <w:t>Makroekonomikas nelīdzsvarotības eurozonas dimensija</w:t>
            </w:r>
          </w:p>
          <w:p w:rsidR="003D03E9" w:rsidRDefault="00F77AE9">
            <w:pPr>
              <w:jc w:val="both"/>
              <w:rPr>
                <w:rFonts w:ascii="Times New Roman" w:hAnsi="Times New Roman" w:cs="Times New Roman"/>
                <w:noProof/>
                <w:lang w:val="lv-LV" w:eastAsia="lv-LV" w:bidi="lv-LV"/>
              </w:rPr>
            </w:pPr>
            <w:r>
              <w:rPr>
                <w:rFonts w:ascii="Times New Roman" w:hAnsi="Times New Roman"/>
                <w:b/>
                <w:noProof/>
                <w:lang w:val="lv-LV" w:eastAsia="lv-LV" w:bidi="lv-LV"/>
              </w:rPr>
              <w:t xml:space="preserve">Eurozonas tekošais konts ir stabilizējies ļoti augstā līmenī. </w:t>
            </w:r>
            <w:r>
              <w:rPr>
                <w:rFonts w:ascii="Times New Roman" w:hAnsi="Times New Roman"/>
                <w:noProof/>
                <w:lang w:val="lv-LV" w:eastAsia="lv-LV" w:bidi="lv-LV"/>
              </w:rPr>
              <w:t xml:space="preserve">Eurozonas tekošā konta saldo pēc 2008. gada krīzes līdz 2016. gadam ievērojami palielinājies. Pamatojoties uz maksājumu bilances statistikas </w:t>
            </w:r>
            <w:r>
              <w:rPr>
                <w:rFonts w:ascii="Times New Roman" w:hAnsi="Times New Roman"/>
                <w:noProof/>
                <w:lang w:val="lv-LV" w:eastAsia="lv-LV" w:bidi="lv-LV"/>
              </w:rPr>
              <w:t>datiem, kopš tā laika eurozonas tekošā konta saldo vērtība ir nostabilizējusies aptuveni 3,2 % apmērā no IKP 2016. un 2017. gadā</w:t>
            </w:r>
            <w:r>
              <w:rPr>
                <w:rFonts w:ascii="Times New Roman" w:hAnsi="Times New Roman"/>
                <w:noProof/>
                <w:vertAlign w:val="superscript"/>
                <w:lang w:val="lv-LV" w:eastAsia="lv-LV" w:bidi="lv-LV"/>
              </w:rPr>
              <w:footnoteReference w:id="24"/>
            </w:r>
            <w:r>
              <w:rPr>
                <w:rFonts w:ascii="Times New Roman" w:hAnsi="Times New Roman"/>
                <w:noProof/>
                <w:lang w:val="lv-LV" w:eastAsia="lv-LV" w:bidi="lv-LV"/>
              </w:rPr>
              <w:t>. Eurozonas tekošā konta pārpalikums joprojām ir lielākais pasaulē, un tiek lēsts, ka tas pārsniedz vērtību, ko varētu sagaidīt</w:t>
            </w:r>
            <w:r>
              <w:rPr>
                <w:rFonts w:ascii="Times New Roman" w:hAnsi="Times New Roman"/>
                <w:noProof/>
                <w:lang w:val="lv-LV" w:eastAsia="lv-LV" w:bidi="lv-LV"/>
              </w:rPr>
              <w:t>, balstoties uz ekonomikas pamatrādītājiem (aptuveni 1,5 % no eurozonas IKP)</w:t>
            </w:r>
            <w:r>
              <w:rPr>
                <w:rFonts w:ascii="Times New Roman" w:hAnsi="Times New Roman"/>
                <w:noProof/>
                <w:vertAlign w:val="superscript"/>
                <w:lang w:val="lv-LV" w:eastAsia="lv-LV" w:bidi="lv-LV"/>
              </w:rPr>
              <w:footnoteReference w:id="25"/>
            </w:r>
            <w:r>
              <w:rPr>
                <w:rFonts w:ascii="Times New Roman" w:hAnsi="Times New Roman"/>
                <w:noProof/>
                <w:lang w:val="lv-LV" w:eastAsia="lv-LV" w:bidi="lv-LV"/>
              </w:rPr>
              <w:t>. Saskaņā ar Eiropas Komisijas 2018. gada rudens prognozi sagaidāms, ka nemainīgas politikas apstākļos eurozonas tekošā konta pārpalikums līdz 2020. gadam nedaudz samazināsies</w:t>
            </w:r>
            <w:r>
              <w:rPr>
                <w:rFonts w:ascii="Times New Roman" w:hAnsi="Times New Roman"/>
                <w:noProof/>
                <w:vertAlign w:val="superscript"/>
                <w:lang w:val="lv-LV" w:eastAsia="lv-LV" w:bidi="lv-LV"/>
              </w:rPr>
              <w:footnoteReference w:id="26"/>
            </w:r>
            <w:r>
              <w:rPr>
                <w:rFonts w:ascii="Times New Roman" w:hAnsi="Times New Roman"/>
                <w:noProof/>
                <w:lang w:val="lv-LV" w:eastAsia="lv-LV" w:bidi="lv-LV"/>
              </w:rPr>
              <w:t>. F</w:t>
            </w:r>
            <w:r>
              <w:rPr>
                <w:rFonts w:ascii="Times New Roman" w:hAnsi="Times New Roman"/>
                <w:noProof/>
                <w:lang w:val="lv-LV" w:eastAsia="lv-LV" w:bidi="lv-LV"/>
              </w:rPr>
              <w:t xml:space="preserve">aktori, kas varētu veicināt pārpalikuma samazinājumu, ietver ciklisko apstākļu relatīvo pasliktināšanos citos pasaules ekonomikas reģionos, ierobežojošās tirdzniecības politikas ietekmes izplatīšanos un neseno reālā efektīvā euro kursa vērtības pieaugumu, </w:t>
            </w:r>
            <w:r>
              <w:rPr>
                <w:rFonts w:ascii="Times New Roman" w:hAnsi="Times New Roman"/>
                <w:noProof/>
                <w:lang w:val="lv-LV" w:eastAsia="lv-LV" w:bidi="lv-LV"/>
              </w:rPr>
              <w:t xml:space="preserve">iespējams, turpmāku euro vērtības pieaugumu (cita starpā saistībā ar pieaugošo spiedienu tirgū, ko rada nemainīgi lielais ārējais pārpalikums) vai pašreizējās tendences virzība uz augstākām naftas cenām.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4531"/>
            </w:tblGrid>
            <w:tr w:rsidR="003D03E9" w:rsidRPr="00F77AE9">
              <w:tc>
                <w:tcPr>
                  <w:tcW w:w="4531" w:type="dxa"/>
                  <w:tcBorders>
                    <w:top w:val="nil"/>
                    <w:left w:val="nil"/>
                    <w:bottom w:val="nil"/>
                    <w:right w:val="nil"/>
                  </w:tcBorders>
                  <w:shd w:val="clear" w:color="auto" w:fill="auto"/>
                </w:tcPr>
                <w:p w:rsidR="003D03E9" w:rsidRDefault="00F77AE9">
                  <w:pPr>
                    <w:jc w:val="both"/>
                    <w:rPr>
                      <w:rFonts w:ascii="Times New Roman" w:hAnsi="Times New Roman" w:cs="Times New Roman"/>
                      <w:b/>
                      <w:noProof/>
                      <w:lang w:val="lv-LV" w:eastAsia="lv-LV" w:bidi="lv-LV"/>
                    </w:rPr>
                  </w:pPr>
                  <w:r>
                    <w:rPr>
                      <w:rFonts w:ascii="Times New Roman" w:hAnsi="Times New Roman"/>
                      <w:b/>
                      <w:noProof/>
                      <w:lang w:val="lv-LV" w:eastAsia="lv-LV" w:bidi="lv-LV"/>
                    </w:rPr>
                    <w:t>B.1. grafiks. Eurozonas tekošā konta dinamika: vals</w:t>
                  </w:r>
                  <w:r>
                    <w:rPr>
                      <w:rFonts w:ascii="Times New Roman" w:hAnsi="Times New Roman"/>
                      <w:b/>
                      <w:noProof/>
                      <w:lang w:val="lv-LV" w:eastAsia="lv-LV" w:bidi="lv-LV"/>
                    </w:rPr>
                    <w:t xml:space="preserve">tu dalījumā </w:t>
                  </w:r>
                </w:p>
              </w:tc>
              <w:tc>
                <w:tcPr>
                  <w:tcW w:w="4531" w:type="dxa"/>
                  <w:tcBorders>
                    <w:top w:val="nil"/>
                    <w:left w:val="nil"/>
                    <w:bottom w:val="nil"/>
                    <w:right w:val="nil"/>
                  </w:tcBorders>
                  <w:shd w:val="clear" w:color="auto" w:fill="auto"/>
                </w:tcPr>
                <w:p w:rsidR="003D03E9" w:rsidRDefault="00F77AE9">
                  <w:pPr>
                    <w:jc w:val="both"/>
                    <w:rPr>
                      <w:rFonts w:ascii="Times New Roman" w:hAnsi="Times New Roman" w:cs="Times New Roman"/>
                      <w:b/>
                      <w:noProof/>
                      <w:lang w:val="lv-LV" w:eastAsia="lv-LV" w:bidi="lv-LV"/>
                    </w:rPr>
                  </w:pPr>
                  <w:r>
                    <w:rPr>
                      <w:rFonts w:ascii="Times New Roman" w:hAnsi="Times New Roman"/>
                      <w:b/>
                      <w:noProof/>
                      <w:lang w:val="lv-LV" w:eastAsia="lv-LV" w:bidi="lv-LV"/>
                    </w:rPr>
                    <w:t xml:space="preserve">B.2. grafiks. Eurozonas tekošā konta dinamika: pozīciju dalījumā </w:t>
                  </w:r>
                </w:p>
              </w:tc>
            </w:tr>
            <w:tr w:rsidR="003D03E9">
              <w:trPr>
                <w:trHeight w:val="3346"/>
              </w:trPr>
              <w:tc>
                <w:tcPr>
                  <w:tcW w:w="4531" w:type="dxa"/>
                  <w:tcBorders>
                    <w:top w:val="nil"/>
                    <w:left w:val="nil"/>
                    <w:bottom w:val="nil"/>
                    <w:right w:val="nil"/>
                  </w:tcBorders>
                  <w:shd w:val="clear" w:color="auto" w:fill="auto"/>
                </w:tcPr>
                <w:p w:rsidR="003D03E9" w:rsidRDefault="00F77AE9">
                  <w:pPr>
                    <w:jc w:val="both"/>
                    <w:rPr>
                      <w:rFonts w:ascii="Times New Roman" w:hAnsi="Times New Roman" w:cs="Times New Roman"/>
                      <w:noProof/>
                      <w:lang w:val="lv-LV" w:eastAsia="lv-LV" w:bidi="lv-LV"/>
                    </w:rPr>
                  </w:pPr>
                  <w:r>
                    <w:rPr>
                      <w:rFonts w:ascii="Times New Roman" w:hAnsi="Times New Roman" w:cs="Times New Roman"/>
                      <w:noProof/>
                      <w:lang w:eastAsia="en-GB"/>
                    </w:rPr>
                    <w:drawing>
                      <wp:inline distT="0" distB="0" distL="0" distR="0">
                        <wp:extent cx="2720732" cy="2450592"/>
                        <wp:effectExtent l="0" t="0" r="381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21223" cy="2451034"/>
                                </a:xfrm>
                                <a:prstGeom prst="rect">
                                  <a:avLst/>
                                </a:prstGeom>
                                <a:noFill/>
                              </pic:spPr>
                            </pic:pic>
                          </a:graphicData>
                        </a:graphic>
                      </wp:inline>
                    </w:drawing>
                  </w:r>
                </w:p>
              </w:tc>
              <w:tc>
                <w:tcPr>
                  <w:tcW w:w="4531" w:type="dxa"/>
                  <w:tcBorders>
                    <w:top w:val="nil"/>
                    <w:left w:val="nil"/>
                    <w:bottom w:val="nil"/>
                    <w:right w:val="nil"/>
                  </w:tcBorders>
                  <w:shd w:val="clear" w:color="auto" w:fill="auto"/>
                </w:tcPr>
                <w:p w:rsidR="003D03E9" w:rsidRDefault="00F77AE9">
                  <w:pPr>
                    <w:jc w:val="both"/>
                    <w:rPr>
                      <w:rFonts w:ascii="Times New Roman" w:hAnsi="Times New Roman" w:cs="Times New Roman"/>
                      <w:noProof/>
                      <w:lang w:val="lv-LV" w:eastAsia="lv-LV" w:bidi="lv-LV"/>
                    </w:rPr>
                  </w:pPr>
                  <w:r>
                    <w:rPr>
                      <w:rFonts w:ascii="Times New Roman" w:hAnsi="Times New Roman" w:cs="Times New Roman"/>
                      <w:noProof/>
                      <w:lang w:eastAsia="en-GB"/>
                    </w:rPr>
                    <w:drawing>
                      <wp:inline distT="0" distB="0" distL="0" distR="0">
                        <wp:extent cx="2455568" cy="2450592"/>
                        <wp:effectExtent l="0" t="0" r="1905"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52799" cy="2447829"/>
                                </a:xfrm>
                                <a:prstGeom prst="rect">
                                  <a:avLst/>
                                </a:prstGeom>
                                <a:noFill/>
                              </pic:spPr>
                            </pic:pic>
                          </a:graphicData>
                        </a:graphic>
                      </wp:inline>
                    </w:drawing>
                  </w:r>
                </w:p>
              </w:tc>
            </w:tr>
            <w:tr w:rsidR="003D03E9" w:rsidRPr="00F77AE9">
              <w:tc>
                <w:tcPr>
                  <w:tcW w:w="4531" w:type="dxa"/>
                  <w:tcBorders>
                    <w:top w:val="nil"/>
                    <w:left w:val="nil"/>
                    <w:bottom w:val="nil"/>
                    <w:right w:val="nil"/>
                  </w:tcBorders>
                  <w:shd w:val="clear" w:color="auto" w:fill="auto"/>
                </w:tcPr>
                <w:p w:rsidR="003D03E9" w:rsidRDefault="00F77AE9">
                  <w:pPr>
                    <w:jc w:val="both"/>
                    <w:rPr>
                      <w:rFonts w:ascii="Times New Roman" w:hAnsi="Times New Roman" w:cs="Times New Roman"/>
                      <w:noProof/>
                      <w:sz w:val="20"/>
                      <w:lang w:val="lv-LV" w:eastAsia="lv-LV" w:bidi="lv-LV"/>
                    </w:rPr>
                  </w:pPr>
                  <w:r>
                    <w:rPr>
                      <w:rFonts w:ascii="Times New Roman" w:hAnsi="Times New Roman"/>
                      <w:i/>
                      <w:noProof/>
                      <w:sz w:val="20"/>
                      <w:lang w:val="lv-LV" w:eastAsia="lv-LV" w:bidi="lv-LV"/>
                    </w:rPr>
                    <w:t>Avots:</w:t>
                  </w:r>
                  <w:r>
                    <w:rPr>
                      <w:rFonts w:ascii="Times New Roman" w:hAnsi="Times New Roman"/>
                      <w:noProof/>
                      <w:sz w:val="20"/>
                      <w:lang w:val="lv-LV" w:eastAsia="lv-LV" w:bidi="lv-LV"/>
                    </w:rPr>
                    <w:t xml:space="preserve"> </w:t>
                  </w:r>
                  <w:r>
                    <w:rPr>
                      <w:rFonts w:ascii="Times New Roman" w:hAnsi="Times New Roman"/>
                      <w:i/>
                      <w:noProof/>
                      <w:sz w:val="20"/>
                      <w:lang w:val="lv-LV" w:eastAsia="lv-LV" w:bidi="lv-LV"/>
                    </w:rPr>
                    <w:t>AMECO</w:t>
                  </w:r>
                  <w:r>
                    <w:rPr>
                      <w:rFonts w:ascii="Times New Roman" w:hAnsi="Times New Roman"/>
                      <w:noProof/>
                      <w:sz w:val="20"/>
                      <w:lang w:val="lv-LV" w:eastAsia="lv-LV" w:bidi="lv-LV"/>
                    </w:rPr>
                    <w:t>, maksājumu bilances rādītāji.</w:t>
                  </w:r>
                </w:p>
              </w:tc>
              <w:tc>
                <w:tcPr>
                  <w:tcW w:w="4531" w:type="dxa"/>
                  <w:tcBorders>
                    <w:top w:val="nil"/>
                    <w:left w:val="nil"/>
                    <w:bottom w:val="nil"/>
                    <w:right w:val="nil"/>
                  </w:tcBorders>
                  <w:shd w:val="clear" w:color="auto" w:fill="auto"/>
                </w:tcPr>
                <w:p w:rsidR="003D03E9" w:rsidRDefault="00F77AE9">
                  <w:pPr>
                    <w:spacing w:after="0"/>
                    <w:jc w:val="both"/>
                    <w:rPr>
                      <w:rFonts w:ascii="Times New Roman" w:hAnsi="Times New Roman" w:cs="Times New Roman"/>
                      <w:noProof/>
                      <w:sz w:val="20"/>
                      <w:lang w:val="lv-LV" w:eastAsia="lv-LV" w:bidi="lv-LV"/>
                    </w:rPr>
                  </w:pPr>
                  <w:r>
                    <w:rPr>
                      <w:rFonts w:ascii="Times New Roman" w:hAnsi="Times New Roman"/>
                      <w:i/>
                      <w:noProof/>
                      <w:sz w:val="20"/>
                      <w:lang w:val="lv-LV" w:eastAsia="lv-LV" w:bidi="lv-LV"/>
                    </w:rPr>
                    <w:t>Avots:</w:t>
                  </w:r>
                  <w:r>
                    <w:rPr>
                      <w:rFonts w:ascii="Times New Roman" w:hAnsi="Times New Roman"/>
                      <w:noProof/>
                      <w:sz w:val="20"/>
                      <w:lang w:val="lv-LV" w:eastAsia="lv-LV" w:bidi="lv-LV"/>
                    </w:rPr>
                    <w:t xml:space="preserve"> </w:t>
                  </w:r>
                  <w:r>
                    <w:rPr>
                      <w:rFonts w:ascii="Times New Roman" w:hAnsi="Times New Roman"/>
                      <w:i/>
                      <w:noProof/>
                      <w:sz w:val="20"/>
                      <w:lang w:val="lv-LV" w:eastAsia="lv-LV" w:bidi="lv-LV"/>
                    </w:rPr>
                    <w:t>Eurostat</w:t>
                  </w:r>
                  <w:r>
                    <w:rPr>
                      <w:rFonts w:ascii="Times New Roman" w:hAnsi="Times New Roman"/>
                      <w:noProof/>
                      <w:sz w:val="20"/>
                      <w:lang w:val="lv-LV" w:eastAsia="lv-LV" w:bidi="lv-LV"/>
                    </w:rPr>
                    <w:t xml:space="preserve">, maksājumu bilances rādītāji. </w:t>
                  </w:r>
                </w:p>
                <w:p w:rsidR="003D03E9" w:rsidRDefault="00F77AE9">
                  <w:pPr>
                    <w:spacing w:after="0"/>
                    <w:jc w:val="both"/>
                    <w:rPr>
                      <w:rFonts w:ascii="Times New Roman" w:hAnsi="Times New Roman" w:cs="Times New Roman"/>
                      <w:noProof/>
                      <w:sz w:val="20"/>
                      <w:lang w:val="lv-LV" w:eastAsia="lv-LV" w:bidi="lv-LV"/>
                    </w:rPr>
                  </w:pPr>
                  <w:r>
                    <w:rPr>
                      <w:rFonts w:ascii="Times New Roman" w:hAnsi="Times New Roman"/>
                      <w:i/>
                      <w:noProof/>
                      <w:sz w:val="20"/>
                      <w:lang w:val="lv-LV" w:eastAsia="lv-LV" w:bidi="lv-LV"/>
                    </w:rPr>
                    <w:t>Piezīme:</w:t>
                  </w:r>
                  <w:r>
                    <w:rPr>
                      <w:rFonts w:ascii="Times New Roman" w:hAnsi="Times New Roman"/>
                      <w:noProof/>
                      <w:sz w:val="20"/>
                      <w:lang w:val="lv-LV" w:eastAsia="lv-LV" w:bidi="lv-LV"/>
                    </w:rPr>
                    <w:t xml:space="preserve"> “18*” attiecas uz četru ceturkšņu vidējiem mainīgajiem datiem līdz 2018. gada 2. ceturksnim.</w:t>
                  </w:r>
                </w:p>
              </w:tc>
            </w:tr>
          </w:tbl>
          <w:p w:rsidR="003D03E9" w:rsidRDefault="003D03E9">
            <w:pPr>
              <w:spacing w:after="120"/>
              <w:jc w:val="both"/>
              <w:rPr>
                <w:rFonts w:ascii="Times New Roman" w:hAnsi="Times New Roman" w:cs="Times New Roman"/>
                <w:b/>
                <w:noProof/>
                <w:lang w:val="lv-LV" w:eastAsia="lv-LV" w:bidi="lv-LV"/>
              </w:rPr>
            </w:pPr>
          </w:p>
          <w:p w:rsidR="003D03E9" w:rsidRDefault="003D03E9">
            <w:pPr>
              <w:spacing w:after="120"/>
              <w:jc w:val="both"/>
              <w:rPr>
                <w:rFonts w:ascii="Times New Roman" w:hAnsi="Times New Roman" w:cs="Times New Roman"/>
                <w:b/>
                <w:noProof/>
                <w:lang w:val="lv-LV" w:eastAsia="lv-LV" w:bidi="lv-LV"/>
              </w:rPr>
            </w:pPr>
          </w:p>
          <w:p w:rsidR="003D03E9" w:rsidRDefault="00F77AE9">
            <w:pPr>
              <w:spacing w:after="120"/>
              <w:jc w:val="both"/>
              <w:rPr>
                <w:rFonts w:ascii="Times New Roman" w:hAnsi="Times New Roman" w:cs="Times New Roman"/>
                <w:noProof/>
                <w:lang w:val="lv-LV" w:eastAsia="lv-LV" w:bidi="lv-LV"/>
              </w:rPr>
            </w:pPr>
            <w:r>
              <w:rPr>
                <w:b/>
                <w:noProof/>
                <w:lang w:val="lv-LV" w:eastAsia="lv-LV" w:bidi="lv-LV"/>
              </w:rPr>
              <w:t>Eurozonā uzkrātais pārpalikums atspoguļo tekošā konta līdzšinējā deficīta korekciju kopā ar joprojām plaši izplatītiem pārpalikumiem</w:t>
            </w:r>
            <w:r>
              <w:rPr>
                <w:noProof/>
                <w:lang w:val="lv-LV" w:eastAsia="lv-LV" w:bidi="lv-LV"/>
              </w:rPr>
              <w:t xml:space="preserve">. Pirms 2008. gada </w:t>
            </w:r>
            <w:r>
              <w:rPr>
                <w:noProof/>
                <w:lang w:val="lv-LV" w:eastAsia="lv-LV" w:bidi="lv-LV"/>
              </w:rPr>
              <w:t xml:space="preserve">eurozonas tekošā konta saldo kopumā bija līdzsvarots, tad 2008. gadā tika reģistrēts deficīts, strauji samazinoties pieprasījumam pasaules eksporta tirgos, un pēc 2008. gada finanšu krīzes tika reģistrēts pārpalikums, galvenokārt ņemot vērā lielā deficīta </w:t>
            </w:r>
            <w:r>
              <w:rPr>
                <w:noProof/>
                <w:lang w:val="lv-LV" w:eastAsia="lv-LV" w:bidi="lv-LV"/>
              </w:rPr>
              <w:t>korekciju pēc tam, kad bija notikusi pārrobežu finanšu plūsmu virzienmaiņa (B.1. grafiks).</w:t>
            </w:r>
            <w:r>
              <w:rPr>
                <w:rFonts w:ascii="Times New Roman" w:hAnsi="Times New Roman"/>
                <w:noProof/>
                <w:lang w:val="lv-LV" w:eastAsia="lv-LV" w:bidi="lv-LV"/>
              </w:rPr>
              <w:t xml:space="preserve"> Pēc 2011. gada pārpalikums palielinājās līdz ar parāda krīzes izplatīšanos Spānijā un Itālijā un ar to saistīto iekšzemes pieprasījuma sarukumu, kas veicināja virzie</w:t>
            </w:r>
            <w:r>
              <w:rPr>
                <w:rFonts w:ascii="Times New Roman" w:hAnsi="Times New Roman"/>
                <w:noProof/>
                <w:lang w:val="lv-LV" w:eastAsia="lv-LV" w:bidi="lv-LV"/>
              </w:rPr>
              <w:t>nmaiņu, kuras rezultātā šo valstu tekošā konta saldo reģistrēts ar pārpalikumu. Kopš 2011. gada Vācijā reģistrēts lielā tekošā konta pārpalikuma pakāpenisks pieaugums. Pašlaik eurozonas tekošā konta pārpalikums galvenokārt izveidojies no lieliem pārpalikum</w:t>
            </w:r>
            <w:r>
              <w:rPr>
                <w:rFonts w:ascii="Times New Roman" w:hAnsi="Times New Roman"/>
                <w:noProof/>
                <w:lang w:val="lv-LV" w:eastAsia="lv-LV" w:bidi="lv-LV"/>
              </w:rPr>
              <w:t xml:space="preserve">iem, kas reģistrēti Nīderlandē un Vācijā, kuru kopējās ārējās pozīcijas veido lielāko daļu eurozonas pārpalikuma (B.1. grafiks). Kopš 2016. gada Vācijas tekošā konta pārpalikuma pakāpenisks samazinājums ir saistīts ar eurozonas pārpalikuma stabilizāciju. </w:t>
            </w:r>
          </w:p>
          <w:p w:rsidR="003D03E9" w:rsidRDefault="00F77AE9">
            <w:pPr>
              <w:spacing w:after="120"/>
              <w:jc w:val="both"/>
              <w:rPr>
                <w:rFonts w:ascii="Times New Roman" w:hAnsi="Times New Roman" w:cs="Times New Roman"/>
                <w:noProof/>
                <w:lang w:val="lv-LV" w:eastAsia="lv-LV" w:bidi="lv-LV"/>
              </w:rPr>
            </w:pPr>
            <w:r>
              <w:rPr>
                <w:rFonts w:ascii="Times New Roman" w:hAnsi="Times New Roman"/>
                <w:b/>
                <w:noProof/>
                <w:lang w:val="lv-LV" w:eastAsia="lv-LV" w:bidi="lv-LV"/>
              </w:rPr>
              <w:t xml:space="preserve">Eurozonas tekošā konta nesenās izmaiņas galvenokārt bija saistītas ar enerģijas, ienākuma un pakalpojumu bilanci. </w:t>
            </w:r>
            <w:r>
              <w:rPr>
                <w:rFonts w:ascii="Times New Roman" w:hAnsi="Times New Roman"/>
                <w:noProof/>
                <w:lang w:val="lv-LV" w:eastAsia="lv-LV" w:bidi="lv-LV"/>
              </w:rPr>
              <w:t>Ar enerģētiku nesaistītu preču bilancē pēc finanšu krīzes reģistrēti uzlabojumi, kas atspoguļo relatīvi vājo eurozonas ciklisko pozīciju salīd</w:t>
            </w:r>
            <w:r>
              <w:rPr>
                <w:rFonts w:ascii="Times New Roman" w:hAnsi="Times New Roman"/>
                <w:noProof/>
                <w:lang w:val="lv-LV" w:eastAsia="lv-LV" w:bidi="lv-LV"/>
              </w:rPr>
              <w:t>zinājumā ar citiem pasaules reģioniem un kas veido lielāko daļu no tekošā konta uzlabojumiem (B.2. grafiks). Tajā pašā laikposmā eurozonas cikliski koriģētā tekošā konta saldo nedaudz uzlabojās. Sākot no 2013. gada, ņemot vērā eurozonas izlaides atgūšanos,</w:t>
            </w:r>
            <w:r>
              <w:rPr>
                <w:rFonts w:ascii="Times New Roman" w:hAnsi="Times New Roman"/>
                <w:noProof/>
                <w:lang w:val="lv-LV" w:eastAsia="lv-LV" w:bidi="lv-LV"/>
              </w:rPr>
              <w:t xml:space="preserve"> preču bilances pārpalikums stabilizējās un sāka gausi samazināties, bet eksporta rezultāti salīdzinājumā ar citām attīstītajām valstīm bija stabili gan vērtības, gan apjoma ziņā</w:t>
            </w:r>
            <w:r>
              <w:rPr>
                <w:rFonts w:ascii="Times New Roman" w:hAnsi="Times New Roman"/>
                <w:noProof/>
                <w:vertAlign w:val="superscript"/>
                <w:lang w:val="lv-LV" w:eastAsia="lv-LV" w:bidi="lv-LV"/>
              </w:rPr>
              <w:footnoteReference w:id="27"/>
            </w:r>
            <w:r>
              <w:rPr>
                <w:rFonts w:ascii="Times New Roman" w:hAnsi="Times New Roman"/>
                <w:noProof/>
                <w:lang w:val="lv-LV" w:eastAsia="lv-LV" w:bidi="lv-LV"/>
              </w:rPr>
              <w:t>. Enerģijas bilances pēckrīzes dinamika galvenokārt bija saistīta ar naftas c</w:t>
            </w:r>
            <w:r>
              <w:rPr>
                <w:rFonts w:ascii="Times New Roman" w:hAnsi="Times New Roman"/>
                <w:noProof/>
                <w:lang w:val="lv-LV" w:eastAsia="lv-LV" w:bidi="lv-LV"/>
              </w:rPr>
              <w:t xml:space="preserve">enas svārstībām. Pēc ievērojama samazinājuma 2008. gadā naftas cenas no 2009. gada līdz 2011. gadam atguvās un no 2014. līdz 2016. gadam atkal samazinājās, kas bija pamats izmaiņām pretējā virzienā enerģijas bilancē. Naftas cenu atgūšanās, kas sākās 2016. </w:t>
            </w:r>
            <w:r>
              <w:rPr>
                <w:rFonts w:ascii="Times New Roman" w:hAnsi="Times New Roman"/>
                <w:noProof/>
                <w:lang w:val="lv-LV" w:eastAsia="lv-LV" w:bidi="lv-LV"/>
              </w:rPr>
              <w:t>gada vidū, ir pamats sliktākiem enerģijas bilances rādītājiem, kas reģistrēti kopš tā laika</w:t>
            </w:r>
            <w:r>
              <w:rPr>
                <w:rFonts w:ascii="Times New Roman" w:hAnsi="Times New Roman"/>
                <w:noProof/>
                <w:vertAlign w:val="superscript"/>
                <w:lang w:val="lv-LV" w:eastAsia="lv-LV" w:bidi="lv-LV"/>
              </w:rPr>
              <w:footnoteReference w:id="28"/>
            </w:r>
            <w:r>
              <w:rPr>
                <w:rFonts w:ascii="Times New Roman" w:hAnsi="Times New Roman"/>
                <w:noProof/>
                <w:lang w:val="lv-LV" w:eastAsia="lv-LV" w:bidi="lv-LV"/>
              </w:rPr>
              <w:t>. Enerģijas bilances negatīvo devumu eurozonas pārpalikumā kopš 2016. gada kompensēja pakalpojumu bilances uzlabojums. Ienākuma bilance, neraugoties uz kapitāla ien</w:t>
            </w:r>
            <w:r>
              <w:rPr>
                <w:rFonts w:ascii="Times New Roman" w:hAnsi="Times New Roman"/>
                <w:noProof/>
                <w:lang w:val="lv-LV" w:eastAsia="lv-LV" w:bidi="lv-LV"/>
              </w:rPr>
              <w:t xml:space="preserve">ākuma bilances uzlabojumu, kas saistīts ar pozitīvu un augošu </w:t>
            </w:r>
            <w:r>
              <w:rPr>
                <w:rFonts w:ascii="Times New Roman" w:hAnsi="Times New Roman"/>
                <w:i/>
                <w:noProof/>
                <w:lang w:val="lv-LV" w:eastAsia="lv-LV" w:bidi="lv-LV"/>
              </w:rPr>
              <w:t>NIIP</w:t>
            </w:r>
            <w:r>
              <w:rPr>
                <w:rFonts w:ascii="Times New Roman" w:hAnsi="Times New Roman"/>
                <w:noProof/>
                <w:lang w:val="lv-LV" w:eastAsia="lv-LV" w:bidi="lv-LV"/>
              </w:rPr>
              <w:t xml:space="preserve"> eurozonas agregētā līmenī, joprojām ir negatīva un 2017. gadā ir pasliktinājusies, ņemot vērā dinamiku, kas reģistrēta uzņēmumu neto ienākumam. </w:t>
            </w:r>
          </w:p>
          <w:p w:rsidR="003D03E9" w:rsidRDefault="00F77AE9">
            <w:pPr>
              <w:spacing w:after="120"/>
              <w:jc w:val="both"/>
              <w:rPr>
                <w:rFonts w:ascii="Times New Roman" w:hAnsi="Times New Roman" w:cs="Times New Roman"/>
                <w:noProof/>
                <w:lang w:val="lv-LV" w:eastAsia="lv-LV" w:bidi="lv-LV"/>
              </w:rPr>
            </w:pPr>
            <w:r>
              <w:rPr>
                <w:rFonts w:ascii="Times New Roman" w:hAnsi="Times New Roman"/>
                <w:b/>
                <w:noProof/>
                <w:lang w:val="lv-LV" w:eastAsia="lv-LV" w:bidi="lv-LV"/>
              </w:rPr>
              <w:t>Eurozonas pārpalikuma dinamika ir saistīta a</w:t>
            </w:r>
            <w:r>
              <w:rPr>
                <w:rFonts w:ascii="Times New Roman" w:hAnsi="Times New Roman"/>
                <w:b/>
                <w:noProof/>
                <w:lang w:val="lv-LV" w:eastAsia="lv-LV" w:bidi="lv-LV"/>
              </w:rPr>
              <w:t xml:space="preserve">r to, ka iekšzemes pieprasījums atpaliek no saimnieciskās darbības un noturīga pieprasījuma eksporta tirgos, pateicoties lielam pieprasījumam pasaulē pēc Eiropas precēm un pakalpojumiem un konkurētspējas pozīcijas uzlabojumiem. </w:t>
            </w:r>
            <w:r>
              <w:rPr>
                <w:rFonts w:ascii="Times New Roman" w:hAnsi="Times New Roman"/>
                <w:noProof/>
                <w:lang w:val="lv-LV" w:eastAsia="lv-LV" w:bidi="lv-LV"/>
              </w:rPr>
              <w:t>Starpība starp agregēto ienā</w:t>
            </w:r>
            <w:r>
              <w:rPr>
                <w:rFonts w:ascii="Times New Roman" w:hAnsi="Times New Roman"/>
                <w:noProof/>
                <w:lang w:val="lv-LV" w:eastAsia="lv-LV" w:bidi="lv-LV"/>
              </w:rPr>
              <w:t>kumu un izdevumiem, kas atbilst neto eksportam, kopš 2008. gada finanšu krīzes līdz 2016. gadam ir palielinājusies (skatīt B.3. grafiku). Sākoties krīzei, zemā pieprasījuma dinamika atspoguļoja privātā sektora aizņemto līdzekļu īpatsvara plaša mēroga samaz</w:t>
            </w:r>
            <w:r>
              <w:rPr>
                <w:rFonts w:ascii="Times New Roman" w:hAnsi="Times New Roman"/>
                <w:noProof/>
                <w:lang w:val="lv-LV" w:eastAsia="lv-LV" w:bidi="lv-LV"/>
              </w:rPr>
              <w:t>ināšanas procesu, īpaši neto debitorvalstīs, kuras skāra tekošā konta bremzēšanas process, savukārt lielāki valdības sektora neto aizņēmumi palīdzēja mazināt krīzes ietekmi uz ienākumiem (B.4. grafiks). Pēc eurozonas parādu krīzes padziļināšanās 2011. gadā</w:t>
            </w:r>
            <w:r>
              <w:rPr>
                <w:rFonts w:ascii="Times New Roman" w:hAnsi="Times New Roman"/>
                <w:noProof/>
                <w:lang w:val="lv-LV" w:eastAsia="lv-LV" w:bidi="lv-LV"/>
              </w:rPr>
              <w:t xml:space="preserve"> aizņemto līdzekļu īpatsvara samazināšanas process sākās arī valdības sektorā, kas kopš tā laika ir devis lielāko ieguldījumu eurozonas kopējās neto aizdevumu pozīcijas pieaugumā. Neto aizdevumu rādītāji mājsaimniecību sektorā pašlaik ir divreiz lielāki sa</w:t>
            </w:r>
            <w:r>
              <w:rPr>
                <w:rFonts w:ascii="Times New Roman" w:hAnsi="Times New Roman"/>
                <w:noProof/>
                <w:lang w:val="lv-LV" w:eastAsia="lv-LV" w:bidi="lv-LV"/>
              </w:rPr>
              <w:t>līdzinājumā ar pirmskrīzes periodu, un nefinanšu sabiedrībām, kas parasti reģistrē neto aizņēmumu vajadzības, kopš 2013. gada ir reģistrējušas pozitīvas neto aizdevumu pozīcijas. Valdības neto aizdevumi joprojām ir negatīvi un ir tikai nesen sasnieguši līm</w:t>
            </w:r>
            <w:r>
              <w:rPr>
                <w:rFonts w:ascii="Times New Roman" w:hAnsi="Times New Roman"/>
                <w:noProof/>
                <w:lang w:val="lv-LV" w:eastAsia="lv-LV" w:bidi="lv-LV"/>
              </w:rPr>
              <w:t>eni, kas atbilst valdības parāda attiecības samazinājumam lielākajā daļā eurozonas valstu. Neraugoties uz aktīvu aizņemto līdzekļu īpatsvara samazināšanas procesu, pēc krīzes ieilgusī nominālā IKP stagnācija parāda, ka mājsaimniecību, uzņēmumu un valdību p</w:t>
            </w:r>
            <w:r>
              <w:rPr>
                <w:rFonts w:ascii="Times New Roman" w:hAnsi="Times New Roman"/>
                <w:noProof/>
                <w:lang w:val="lv-LV" w:eastAsia="lv-LV" w:bidi="lv-LV"/>
              </w:rPr>
              <w:t>arāda attiecības pret IKP vairākās eurozonas valstīs ir vēsturiski augstas. Aizņemto līdzekļu īpatsvara samazināšanas process pašlaik notiek labvēlīgos ekonomikas apstākļos.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4531"/>
            </w:tblGrid>
            <w:tr w:rsidR="003D03E9" w:rsidRPr="00F77AE9">
              <w:tc>
                <w:tcPr>
                  <w:tcW w:w="4531" w:type="dxa"/>
                  <w:tcBorders>
                    <w:top w:val="nil"/>
                    <w:left w:val="nil"/>
                    <w:bottom w:val="nil"/>
                    <w:right w:val="nil"/>
                  </w:tcBorders>
                  <w:shd w:val="clear" w:color="auto" w:fill="auto"/>
                </w:tcPr>
                <w:p w:rsidR="003D03E9" w:rsidRDefault="00F77AE9">
                  <w:pPr>
                    <w:jc w:val="both"/>
                    <w:rPr>
                      <w:rFonts w:ascii="Times New Roman" w:hAnsi="Times New Roman" w:cs="Times New Roman"/>
                      <w:b/>
                      <w:noProof/>
                      <w:lang w:val="lv-LV" w:eastAsia="lv-LV" w:bidi="lv-LV"/>
                    </w:rPr>
                  </w:pPr>
                  <w:r>
                    <w:rPr>
                      <w:rFonts w:ascii="Times New Roman" w:hAnsi="Times New Roman"/>
                      <w:b/>
                      <w:noProof/>
                      <w:lang w:val="lv-LV" w:eastAsia="lv-LV" w:bidi="lv-LV"/>
                    </w:rPr>
                    <w:t>B.3. grafiks. Eurozonas izlaide, iekšzemes pieprasījums, neto eksports un pamatinf</w:t>
                  </w:r>
                  <w:r>
                    <w:rPr>
                      <w:rFonts w:ascii="Times New Roman" w:hAnsi="Times New Roman"/>
                      <w:b/>
                      <w:noProof/>
                      <w:lang w:val="lv-LV" w:eastAsia="lv-LV" w:bidi="lv-LV"/>
                    </w:rPr>
                    <w:t>lācija</w:t>
                  </w:r>
                </w:p>
              </w:tc>
              <w:tc>
                <w:tcPr>
                  <w:tcW w:w="4531" w:type="dxa"/>
                  <w:tcBorders>
                    <w:top w:val="nil"/>
                    <w:left w:val="nil"/>
                    <w:bottom w:val="nil"/>
                    <w:right w:val="nil"/>
                  </w:tcBorders>
                  <w:shd w:val="clear" w:color="auto" w:fill="auto"/>
                </w:tcPr>
                <w:p w:rsidR="003D03E9" w:rsidRDefault="00F77AE9">
                  <w:pPr>
                    <w:jc w:val="both"/>
                    <w:rPr>
                      <w:rFonts w:ascii="Times New Roman" w:hAnsi="Times New Roman" w:cs="Times New Roman"/>
                      <w:b/>
                      <w:noProof/>
                      <w:lang w:val="lv-LV" w:eastAsia="lv-LV" w:bidi="lv-LV"/>
                    </w:rPr>
                  </w:pPr>
                  <w:r>
                    <w:rPr>
                      <w:rFonts w:ascii="Times New Roman" w:hAnsi="Times New Roman"/>
                      <w:b/>
                      <w:noProof/>
                      <w:lang w:val="lv-LV" w:eastAsia="lv-LV" w:bidi="lv-LV"/>
                    </w:rPr>
                    <w:t xml:space="preserve">B.4. grafiks. Eurozonas neto aizdevumi/aizņēmumi sektoru dalījumā </w:t>
                  </w:r>
                </w:p>
              </w:tc>
            </w:tr>
            <w:tr w:rsidR="003D03E9">
              <w:trPr>
                <w:trHeight w:val="3406"/>
              </w:trPr>
              <w:tc>
                <w:tcPr>
                  <w:tcW w:w="4531" w:type="dxa"/>
                  <w:tcBorders>
                    <w:top w:val="nil"/>
                    <w:left w:val="nil"/>
                    <w:bottom w:val="nil"/>
                    <w:right w:val="nil"/>
                  </w:tcBorders>
                  <w:shd w:val="clear" w:color="auto" w:fill="auto"/>
                </w:tcPr>
                <w:p w:rsidR="003D03E9" w:rsidRDefault="00F77AE9">
                  <w:pPr>
                    <w:jc w:val="both"/>
                    <w:rPr>
                      <w:rFonts w:ascii="Times New Roman" w:hAnsi="Times New Roman" w:cs="Times New Roman"/>
                      <w:noProof/>
                      <w:lang w:val="lv-LV" w:eastAsia="lv-LV" w:bidi="lv-LV"/>
                    </w:rPr>
                  </w:pPr>
                  <w:r>
                    <w:rPr>
                      <w:rFonts w:ascii="Times New Roman" w:hAnsi="Times New Roman" w:cs="Times New Roman"/>
                      <w:noProof/>
                      <w:lang w:eastAsia="en-GB"/>
                    </w:rPr>
                    <w:drawing>
                      <wp:inline distT="0" distB="0" distL="0" distR="0">
                        <wp:extent cx="2677364" cy="2438051"/>
                        <wp:effectExtent l="0" t="0" r="889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79425" cy="2439927"/>
                                </a:xfrm>
                                <a:prstGeom prst="rect">
                                  <a:avLst/>
                                </a:prstGeom>
                                <a:noFill/>
                              </pic:spPr>
                            </pic:pic>
                          </a:graphicData>
                        </a:graphic>
                      </wp:inline>
                    </w:drawing>
                  </w:r>
                </w:p>
              </w:tc>
              <w:tc>
                <w:tcPr>
                  <w:tcW w:w="4531" w:type="dxa"/>
                  <w:tcBorders>
                    <w:top w:val="nil"/>
                    <w:left w:val="nil"/>
                    <w:bottom w:val="nil"/>
                    <w:right w:val="nil"/>
                  </w:tcBorders>
                  <w:shd w:val="clear" w:color="auto" w:fill="auto"/>
                </w:tcPr>
                <w:p w:rsidR="003D03E9" w:rsidRDefault="00F77AE9">
                  <w:pPr>
                    <w:jc w:val="both"/>
                    <w:rPr>
                      <w:rFonts w:ascii="Times New Roman" w:hAnsi="Times New Roman" w:cs="Times New Roman"/>
                      <w:noProof/>
                      <w:lang w:val="lv-LV" w:eastAsia="lv-LV" w:bidi="lv-LV"/>
                    </w:rPr>
                  </w:pPr>
                  <w:r>
                    <w:rPr>
                      <w:rFonts w:ascii="Times New Roman" w:hAnsi="Times New Roman" w:cs="Times New Roman"/>
                      <w:noProof/>
                      <w:lang w:eastAsia="en-GB"/>
                    </w:rPr>
                    <w:drawing>
                      <wp:inline distT="0" distB="0" distL="0" distR="0">
                        <wp:extent cx="2416482" cy="2435961"/>
                        <wp:effectExtent l="0" t="0" r="3175"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17672" cy="2437160"/>
                                </a:xfrm>
                                <a:prstGeom prst="rect">
                                  <a:avLst/>
                                </a:prstGeom>
                                <a:noFill/>
                              </pic:spPr>
                            </pic:pic>
                          </a:graphicData>
                        </a:graphic>
                      </wp:inline>
                    </w:drawing>
                  </w:r>
                </w:p>
              </w:tc>
            </w:tr>
            <w:tr w:rsidR="003D03E9">
              <w:tc>
                <w:tcPr>
                  <w:tcW w:w="4531" w:type="dxa"/>
                  <w:tcBorders>
                    <w:top w:val="nil"/>
                    <w:left w:val="nil"/>
                    <w:bottom w:val="nil"/>
                    <w:right w:val="nil"/>
                  </w:tcBorders>
                  <w:shd w:val="clear" w:color="auto" w:fill="auto"/>
                </w:tcPr>
                <w:p w:rsidR="003D03E9" w:rsidRDefault="00F77AE9">
                  <w:pPr>
                    <w:jc w:val="both"/>
                    <w:rPr>
                      <w:rFonts w:ascii="Times New Roman" w:hAnsi="Times New Roman" w:cs="Times New Roman"/>
                      <w:noProof/>
                      <w:sz w:val="20"/>
                      <w:lang w:val="lv-LV" w:eastAsia="lv-LV" w:bidi="lv-LV"/>
                    </w:rPr>
                  </w:pPr>
                  <w:r>
                    <w:rPr>
                      <w:rFonts w:ascii="Times New Roman" w:hAnsi="Times New Roman"/>
                      <w:i/>
                      <w:noProof/>
                      <w:sz w:val="20"/>
                      <w:lang w:val="lv-LV" w:eastAsia="lv-LV" w:bidi="lv-LV"/>
                    </w:rPr>
                    <w:t>Avots:</w:t>
                  </w:r>
                  <w:r>
                    <w:rPr>
                      <w:rFonts w:ascii="Times New Roman" w:hAnsi="Times New Roman"/>
                      <w:noProof/>
                      <w:sz w:val="20"/>
                      <w:lang w:val="lv-LV" w:eastAsia="lv-LV" w:bidi="lv-LV"/>
                    </w:rPr>
                    <w:t xml:space="preserve"> AMECO.</w:t>
                  </w:r>
                </w:p>
              </w:tc>
              <w:tc>
                <w:tcPr>
                  <w:tcW w:w="4531" w:type="dxa"/>
                  <w:tcBorders>
                    <w:top w:val="nil"/>
                    <w:left w:val="nil"/>
                    <w:bottom w:val="nil"/>
                    <w:right w:val="nil"/>
                  </w:tcBorders>
                  <w:shd w:val="clear" w:color="auto" w:fill="auto"/>
                </w:tcPr>
                <w:p w:rsidR="003D03E9" w:rsidRDefault="00F77AE9">
                  <w:pPr>
                    <w:jc w:val="both"/>
                    <w:rPr>
                      <w:rFonts w:ascii="Times New Roman" w:hAnsi="Times New Roman" w:cs="Times New Roman"/>
                      <w:noProof/>
                      <w:sz w:val="20"/>
                      <w:lang w:val="lv-LV" w:eastAsia="lv-LV" w:bidi="lv-LV"/>
                    </w:rPr>
                  </w:pPr>
                  <w:r>
                    <w:rPr>
                      <w:rFonts w:ascii="Times New Roman" w:hAnsi="Times New Roman"/>
                      <w:i/>
                      <w:noProof/>
                      <w:sz w:val="20"/>
                      <w:lang w:val="lv-LV" w:eastAsia="lv-LV" w:bidi="lv-LV"/>
                    </w:rPr>
                    <w:t>Avots:</w:t>
                  </w:r>
                  <w:r>
                    <w:rPr>
                      <w:rFonts w:ascii="Times New Roman" w:hAnsi="Times New Roman"/>
                      <w:noProof/>
                      <w:sz w:val="20"/>
                      <w:lang w:val="lv-LV" w:eastAsia="lv-LV" w:bidi="lv-LV"/>
                    </w:rPr>
                    <w:t xml:space="preserve"> Eurostat.</w:t>
                  </w:r>
                </w:p>
              </w:tc>
            </w:tr>
          </w:tbl>
          <w:p w:rsidR="003D03E9" w:rsidRDefault="003D03E9">
            <w:pPr>
              <w:spacing w:after="120"/>
              <w:jc w:val="both"/>
              <w:rPr>
                <w:rFonts w:ascii="Times New Roman" w:hAnsi="Times New Roman" w:cs="Times New Roman"/>
                <w:b/>
                <w:noProof/>
                <w:lang w:val="lv-LV" w:eastAsia="lv-LV" w:bidi="lv-LV"/>
              </w:rPr>
            </w:pPr>
          </w:p>
          <w:p w:rsidR="003D03E9" w:rsidRDefault="00F77AE9">
            <w:pPr>
              <w:spacing w:after="120"/>
              <w:jc w:val="both"/>
              <w:rPr>
                <w:rFonts w:ascii="Times New Roman" w:hAnsi="Times New Roman" w:cs="Times New Roman"/>
                <w:noProof/>
                <w:lang w:val="lv-LV" w:eastAsia="lv-LV" w:bidi="lv-LV"/>
              </w:rPr>
            </w:pPr>
            <w:r>
              <w:rPr>
                <w:rFonts w:ascii="Times New Roman" w:hAnsi="Times New Roman"/>
                <w:b/>
                <w:noProof/>
                <w:lang w:val="lv-LV" w:eastAsia="lv-LV" w:bidi="lv-LV"/>
              </w:rPr>
              <w:t xml:space="preserve">Joprojām ir problēmjautājumi, kas saistīti ar krājumu noturīgu nelīdzsvarotību, pašreizējās ekonomikas ekspansijas ilgizturību un ierobežotām iespējām amortizēt negatīvus satricinājumus valstīs, kurās ir augsts parāda līmenis. </w:t>
            </w:r>
            <w:r>
              <w:rPr>
                <w:rFonts w:ascii="Times New Roman" w:hAnsi="Times New Roman"/>
                <w:noProof/>
                <w:lang w:val="lv-LV" w:eastAsia="lv-LV" w:bidi="lv-LV"/>
              </w:rPr>
              <w:t>Pēc gandrīz desmit gadus ilga</w:t>
            </w:r>
            <w:r>
              <w:rPr>
                <w:rFonts w:ascii="Times New Roman" w:hAnsi="Times New Roman"/>
                <w:noProof/>
                <w:lang w:val="lv-LV" w:eastAsia="lv-LV" w:bidi="lv-LV"/>
              </w:rPr>
              <w:t>s gausas dinamikas eurozonas iekšzemes pieprasījums atgūstas, izlaides starpības virziens ir pozitīvs un ir sagaidāms, ka inflācija pakāpeniski pietuvosies monetāro iestāžu mērķim (B.3. grafiks). Pašreizējā ekonomikas ekspansija sekmē krājumu nelīdzsvarotī</w:t>
            </w:r>
            <w:r>
              <w:rPr>
                <w:rFonts w:ascii="Times New Roman" w:hAnsi="Times New Roman"/>
                <w:noProof/>
                <w:lang w:val="lv-LV" w:eastAsia="lv-LV" w:bidi="lv-LV"/>
              </w:rPr>
              <w:t>bas korekciju, bet ir vairāki problēmjautājumi, kas vēl jārisina. Pirmkārt, nav skaidrs, vai pašreizējā ekonomikas ekspansija ir ilgizturīga, jo ne vienmēr ir izpildīti nosacījumi ilgtspējīgas izaugsmes nodrošināšanai, īpaši saistībā ar pastāvīgi nepietiek</w:t>
            </w:r>
            <w:r>
              <w:rPr>
                <w:rFonts w:ascii="Times New Roman" w:hAnsi="Times New Roman"/>
                <w:noProof/>
                <w:lang w:val="lv-LV" w:eastAsia="lv-LV" w:bidi="lv-LV"/>
              </w:rPr>
              <w:t>amiem ieguldījumiem, nepietiekamiem ražīguma pieauguma veicināšanas pamatnosacījumiem un neizmantoto cilvēkkapitāla potenciālu</w:t>
            </w:r>
            <w:r>
              <w:rPr>
                <w:rFonts w:ascii="Times New Roman" w:hAnsi="Times New Roman"/>
                <w:noProof/>
                <w:vertAlign w:val="superscript"/>
                <w:lang w:val="lv-LV" w:eastAsia="lv-LV" w:bidi="lv-LV"/>
              </w:rPr>
              <w:footnoteReference w:id="29"/>
            </w:r>
            <w:r>
              <w:rPr>
                <w:rFonts w:ascii="Times New Roman" w:hAnsi="Times New Roman"/>
                <w:noProof/>
                <w:lang w:val="lv-LV" w:eastAsia="lv-LV" w:bidi="lv-LV"/>
              </w:rPr>
              <w:t xml:space="preserve">. Otrkārt, līdzsvarošanas process eurozonā joprojām ir nepilnīgs. Valstīs ar vēsturiski lieliem deficītiem joprojām ir vērojamas </w:t>
            </w:r>
            <w:r>
              <w:rPr>
                <w:rFonts w:ascii="Times New Roman" w:hAnsi="Times New Roman"/>
                <w:noProof/>
                <w:lang w:val="lv-LV" w:eastAsia="lv-LV" w:bidi="lv-LV"/>
              </w:rPr>
              <w:t>lielas negatīvas neto starptautisko ieguldījumu pozīcijas kopā ar lieliem privātā vai valdības sektora parāda krājumiem, kas rada neaizsargātību. Turklāt tās pašas valstis ar augstu parāda līmeni parasti ir arī tās valstis, kurām ir relatīvi mazākas iespēj</w:t>
            </w:r>
            <w:r>
              <w:rPr>
                <w:rFonts w:ascii="Times New Roman" w:hAnsi="Times New Roman"/>
                <w:noProof/>
                <w:lang w:val="lv-LV" w:eastAsia="lv-LV" w:bidi="lv-LV"/>
              </w:rPr>
              <w:t xml:space="preserve">as paļauties uz potenciālo izlaides pieaugumu, lai mazinātu parāda attiecības, un tas nozīmē, ka iespējas ar privātajiem un publiskajiem ietaupījumiem amortizēt negatīvus izlaides satricinājumus varētu būt ierobežotas (B.6. grafiks). </w:t>
            </w:r>
          </w:p>
          <w:p w:rsidR="003D03E9" w:rsidRDefault="00F77AE9">
            <w:pPr>
              <w:spacing w:after="120"/>
              <w:jc w:val="both"/>
              <w:rPr>
                <w:rFonts w:ascii="Times New Roman" w:hAnsi="Times New Roman" w:cs="Times New Roman"/>
                <w:noProof/>
                <w:lang w:val="lv-LV" w:eastAsia="lv-LV" w:bidi="lv-LV"/>
              </w:rPr>
            </w:pPr>
            <w:r>
              <w:rPr>
                <w:b/>
                <w:noProof/>
                <w:lang w:val="lv-LV" w:eastAsia="lv-LV" w:bidi="lv-LV"/>
              </w:rPr>
              <w:t>Simetriska līdzsvaroš</w:t>
            </w:r>
            <w:r>
              <w:rPr>
                <w:b/>
                <w:noProof/>
                <w:lang w:val="lv-LV" w:eastAsia="lv-LV" w:bidi="lv-LV"/>
              </w:rPr>
              <w:t>ana eurozonā palīdzētu atjaunot ilgtspējīgu izaugsmi, vienlaikus nodrošinot uz nākotni vērstu makroekonomikas stabilitāti</w:t>
            </w:r>
            <w:r>
              <w:rPr>
                <w:noProof/>
                <w:lang w:val="lv-LV" w:eastAsia="lv-LV" w:bidi="lv-LV"/>
              </w:rPr>
              <w:t>.</w:t>
            </w:r>
            <w:r>
              <w:rPr>
                <w:rFonts w:ascii="Times New Roman" w:hAnsi="Times New Roman"/>
                <w:noProof/>
                <w:lang w:val="lv-LV" w:eastAsia="lv-LV" w:bidi="lv-LV"/>
              </w:rPr>
              <w:t xml:space="preserve"> Ir nepieciešama atbilstoša politikas kombinācija, lai nodrošinātu, ka izaugsme ir ilgtspējīga un saderīga ar makroekonomikas stabilit</w:t>
            </w:r>
            <w:r>
              <w:rPr>
                <w:rFonts w:ascii="Times New Roman" w:hAnsi="Times New Roman"/>
                <w:noProof/>
                <w:lang w:val="lv-LV" w:eastAsia="lv-LV" w:bidi="lv-LV"/>
              </w:rPr>
              <w:t>āti. Lai neto debitorvalstīs samazinātu lielus ārvalstu un iekšzemes parāda krājumus, ir jāsaglabā piesardzīgs tekošā konta saldo un jānodrošina atbilstošs parāda samazināšanas temps, saglabājot mērķi palielināt izaugsmes potenciālu ar pienācīgiem ieguldīj</w:t>
            </w:r>
            <w:r>
              <w:rPr>
                <w:rFonts w:ascii="Times New Roman" w:hAnsi="Times New Roman"/>
                <w:noProof/>
                <w:lang w:val="lv-LV" w:eastAsia="lv-LV" w:bidi="lv-LV"/>
              </w:rPr>
              <w:t>umiem un reformām un novēršot procikliska sarukuma risku grūtos laikos. Neto debitorvalstīs ir īpaši nepieciešama ražīguma perspektīvu vairošana, lai parāda krājumi kļūtu ilgtspējīgāki un relatīvās konkurētspējas tendences veicinātu līdzsvarošanu, ņemot vē</w:t>
            </w:r>
            <w:r>
              <w:rPr>
                <w:rFonts w:ascii="Times New Roman" w:hAnsi="Times New Roman"/>
                <w:noProof/>
                <w:lang w:val="lv-LV" w:eastAsia="lv-LV" w:bidi="lv-LV"/>
              </w:rPr>
              <w:t>rā kontekstu, kurā neto debitorvalstu relatīvās konkurētspējas uzlabojumi, kas novēroti kopš 2012. gada, nesen kļuva ierobežotāki (B.5. grafiks). No otras puses, politika, ar ko veicina ieguldījumus un novērš darba samaksas inerci, palīdzētu novērst pastāv</w:t>
            </w:r>
            <w:r>
              <w:rPr>
                <w:rFonts w:ascii="Times New Roman" w:hAnsi="Times New Roman"/>
                <w:noProof/>
                <w:lang w:val="lv-LV" w:eastAsia="lv-LV" w:bidi="lv-LV"/>
              </w:rPr>
              <w:t>īgi lielus pārpalikumus neto kreditorvalstīs, vienlaikus palīdzot atbalstīt izaugsmes potenciālu un panākot, lai izaugsmes iespējas būtu mazāk atkarīgas no ārvalstu pieprasījuma.</w:t>
            </w:r>
          </w:p>
          <w:tbl>
            <w:tblPr>
              <w:tblW w:w="9214" w:type="dxa"/>
              <w:tblLayout w:type="fixed"/>
              <w:tblLook w:val="04A0" w:firstRow="1" w:lastRow="0" w:firstColumn="1" w:lastColumn="0" w:noHBand="0" w:noVBand="1"/>
            </w:tblPr>
            <w:tblGrid>
              <w:gridCol w:w="4536"/>
              <w:gridCol w:w="4429"/>
              <w:gridCol w:w="249"/>
            </w:tblGrid>
            <w:tr w:rsidR="003D03E9" w:rsidRPr="00F77AE9">
              <w:tc>
                <w:tcPr>
                  <w:tcW w:w="4536" w:type="dxa"/>
                </w:tcPr>
                <w:p w:rsidR="003D03E9" w:rsidRDefault="00F77AE9">
                  <w:pPr>
                    <w:jc w:val="both"/>
                    <w:rPr>
                      <w:rFonts w:ascii="Times New Roman" w:hAnsi="Times New Roman" w:cs="Times New Roman"/>
                      <w:b/>
                      <w:noProof/>
                      <w:lang w:val="lv-LV" w:eastAsia="lv-LV" w:bidi="lv-LV"/>
                    </w:rPr>
                  </w:pPr>
                  <w:r>
                    <w:rPr>
                      <w:rFonts w:ascii="Times New Roman" w:hAnsi="Times New Roman"/>
                      <w:b/>
                      <w:noProof/>
                      <w:lang w:val="lv-LV" w:eastAsia="lv-LV" w:bidi="lv-LV"/>
                    </w:rPr>
                    <w:t xml:space="preserve">B.5. grafiks. Līdzsvarošana eurozonā (bezdarbs, darba samaksa un </w:t>
                  </w:r>
                  <w:r>
                    <w:rPr>
                      <w:rFonts w:ascii="Times New Roman" w:hAnsi="Times New Roman"/>
                      <w:b/>
                      <w:i/>
                      <w:noProof/>
                      <w:lang w:val="lv-LV" w:eastAsia="lv-LV" w:bidi="lv-LV"/>
                    </w:rPr>
                    <w:t>ULC</w:t>
                  </w:r>
                  <w:r>
                    <w:rPr>
                      <w:rFonts w:ascii="Times New Roman" w:hAnsi="Times New Roman"/>
                      <w:b/>
                      <w:noProof/>
                      <w:lang w:val="lv-LV" w:eastAsia="lv-LV" w:bidi="lv-LV"/>
                    </w:rPr>
                    <w:t xml:space="preserve"> pieaugum</w:t>
                  </w:r>
                  <w:r>
                    <w:rPr>
                      <w:rFonts w:ascii="Times New Roman" w:hAnsi="Times New Roman"/>
                      <w:b/>
                      <w:noProof/>
                      <w:lang w:val="lv-LV" w:eastAsia="lv-LV" w:bidi="lv-LV"/>
                    </w:rPr>
                    <w:t>s)</w:t>
                  </w:r>
                </w:p>
              </w:tc>
              <w:tc>
                <w:tcPr>
                  <w:tcW w:w="4429" w:type="dxa"/>
                </w:tcPr>
                <w:p w:rsidR="003D03E9" w:rsidRDefault="00F77AE9">
                  <w:pPr>
                    <w:jc w:val="both"/>
                    <w:rPr>
                      <w:rFonts w:ascii="Times New Roman" w:hAnsi="Times New Roman" w:cs="Times New Roman"/>
                      <w:b/>
                      <w:noProof/>
                      <w:lang w:val="lv-LV" w:eastAsia="lv-LV" w:bidi="lv-LV"/>
                    </w:rPr>
                  </w:pPr>
                  <w:r>
                    <w:rPr>
                      <w:rFonts w:ascii="Times New Roman" w:hAnsi="Times New Roman"/>
                      <w:b/>
                      <w:noProof/>
                      <w:lang w:val="lv-LV" w:eastAsia="lv-LV" w:bidi="lv-LV"/>
                    </w:rPr>
                    <w:t>B.6. grafiks. Parāds un potenciālās izaugsmes perspektīvas eurozonas valstīs</w:t>
                  </w:r>
                </w:p>
              </w:tc>
              <w:tc>
                <w:tcPr>
                  <w:tcW w:w="249" w:type="dxa"/>
                </w:tcPr>
                <w:p w:rsidR="003D03E9" w:rsidRDefault="003D03E9">
                  <w:pPr>
                    <w:jc w:val="both"/>
                    <w:rPr>
                      <w:rFonts w:ascii="Times New Roman" w:hAnsi="Times New Roman" w:cs="Times New Roman"/>
                      <w:b/>
                      <w:noProof/>
                      <w:lang w:val="lv-LV" w:eastAsia="lv-LV" w:bidi="lv-LV"/>
                    </w:rPr>
                  </w:pPr>
                </w:p>
              </w:tc>
            </w:tr>
            <w:tr w:rsidR="003D03E9">
              <w:tc>
                <w:tcPr>
                  <w:tcW w:w="4536" w:type="dxa"/>
                </w:tcPr>
                <w:tbl>
                  <w:tblPr>
                    <w:tblW w:w="4423" w:type="dxa"/>
                    <w:tblLayout w:type="fixed"/>
                    <w:tblLook w:val="04A0" w:firstRow="1" w:lastRow="0" w:firstColumn="1" w:lastColumn="0" w:noHBand="0" w:noVBand="1"/>
                  </w:tblPr>
                  <w:tblGrid>
                    <w:gridCol w:w="4423"/>
                  </w:tblGrid>
                  <w:tr w:rsidR="003D03E9">
                    <w:tc>
                      <w:tcPr>
                        <w:tcW w:w="4423" w:type="dxa"/>
                        <w:tcBorders>
                          <w:top w:val="nil"/>
                          <w:left w:val="nil"/>
                          <w:bottom w:val="nil"/>
                          <w:right w:val="nil"/>
                        </w:tcBorders>
                      </w:tcPr>
                      <w:p w:rsidR="003D03E9" w:rsidRDefault="00F77AE9">
                        <w:pPr>
                          <w:ind w:right="113"/>
                          <w:rPr>
                            <w:noProof/>
                            <w:lang w:val="lv-LV" w:eastAsia="lv-LV" w:bidi="lv-LV"/>
                          </w:rPr>
                        </w:pPr>
                        <w:r>
                          <w:rPr>
                            <w:noProof/>
                            <w:lang w:eastAsia="en-GB"/>
                          </w:rPr>
                          <w:drawing>
                            <wp:inline distT="0" distB="0" distL="0" distR="0">
                              <wp:extent cx="2501799" cy="2322818"/>
                              <wp:effectExtent l="0" t="0" r="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02223" cy="2323211"/>
                                      </a:xfrm>
                                      <a:prstGeom prst="rect">
                                        <a:avLst/>
                                      </a:prstGeom>
                                      <a:noFill/>
                                    </pic:spPr>
                                  </pic:pic>
                                </a:graphicData>
                              </a:graphic>
                            </wp:inline>
                          </w:drawing>
                        </w:r>
                      </w:p>
                    </w:tc>
                  </w:tr>
                </w:tbl>
                <w:p w:rsidR="003D03E9" w:rsidRDefault="003D03E9">
                  <w:pPr>
                    <w:jc w:val="both"/>
                    <w:rPr>
                      <w:rFonts w:ascii="Times New Roman" w:hAnsi="Times New Roman" w:cs="Times New Roman"/>
                      <w:noProof/>
                      <w:lang w:val="lv-LV" w:eastAsia="lv-LV" w:bidi="lv-LV"/>
                    </w:rPr>
                  </w:pPr>
                </w:p>
              </w:tc>
              <w:tc>
                <w:tcPr>
                  <w:tcW w:w="4429" w:type="dxa"/>
                </w:tcPr>
                <w:p w:rsidR="003D03E9" w:rsidRDefault="00F77AE9">
                  <w:pPr>
                    <w:jc w:val="both"/>
                    <w:rPr>
                      <w:rFonts w:ascii="Times New Roman" w:hAnsi="Times New Roman" w:cs="Times New Roman"/>
                      <w:noProof/>
                      <w:lang w:val="lv-LV" w:eastAsia="lv-LV" w:bidi="lv-LV"/>
                    </w:rPr>
                  </w:pPr>
                  <w:r>
                    <w:rPr>
                      <w:rFonts w:ascii="Times New Roman" w:hAnsi="Times New Roman" w:cs="Times New Roman"/>
                      <w:noProof/>
                      <w:lang w:eastAsia="en-GB"/>
                    </w:rPr>
                    <w:drawing>
                      <wp:inline distT="0" distB="0" distL="0" distR="0">
                        <wp:extent cx="2670048" cy="234397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70264" cy="2344161"/>
                                </a:xfrm>
                                <a:prstGeom prst="rect">
                                  <a:avLst/>
                                </a:prstGeom>
                                <a:noFill/>
                              </pic:spPr>
                            </pic:pic>
                          </a:graphicData>
                        </a:graphic>
                      </wp:inline>
                    </w:drawing>
                  </w:r>
                </w:p>
              </w:tc>
              <w:tc>
                <w:tcPr>
                  <w:tcW w:w="249" w:type="dxa"/>
                </w:tcPr>
                <w:p w:rsidR="003D03E9" w:rsidRDefault="003D03E9">
                  <w:pPr>
                    <w:jc w:val="both"/>
                    <w:rPr>
                      <w:rFonts w:ascii="Times New Roman" w:hAnsi="Times New Roman" w:cs="Times New Roman"/>
                      <w:noProof/>
                      <w:lang w:val="lv-LV" w:eastAsia="lv-LV" w:bidi="lv-LV"/>
                    </w:rPr>
                  </w:pPr>
                </w:p>
              </w:tc>
            </w:tr>
            <w:tr w:rsidR="003D03E9" w:rsidRPr="00F77AE9">
              <w:trPr>
                <w:gridAfter w:val="1"/>
                <w:wAfter w:w="249" w:type="dxa"/>
              </w:trPr>
              <w:tc>
                <w:tcPr>
                  <w:tcW w:w="4536" w:type="dxa"/>
                </w:tcPr>
                <w:p w:rsidR="003D03E9" w:rsidRDefault="00F77AE9">
                  <w:pPr>
                    <w:jc w:val="both"/>
                    <w:rPr>
                      <w:rFonts w:ascii="Times New Roman" w:hAnsi="Times New Roman" w:cs="Times New Roman"/>
                      <w:noProof/>
                      <w:sz w:val="20"/>
                      <w:lang w:val="lv-LV" w:eastAsia="lv-LV" w:bidi="lv-LV"/>
                    </w:rPr>
                  </w:pPr>
                  <w:r>
                    <w:rPr>
                      <w:rFonts w:ascii="Times New Roman" w:hAnsi="Times New Roman"/>
                      <w:i/>
                      <w:noProof/>
                      <w:sz w:val="20"/>
                      <w:lang w:val="lv-LV" w:eastAsia="lv-LV" w:bidi="lv-LV"/>
                    </w:rPr>
                    <w:t>Avots:</w:t>
                  </w:r>
                  <w:r>
                    <w:rPr>
                      <w:rFonts w:ascii="Times New Roman" w:hAnsi="Times New Roman"/>
                      <w:noProof/>
                      <w:sz w:val="20"/>
                      <w:lang w:val="lv-LV" w:eastAsia="lv-LV" w:bidi="lv-LV"/>
                    </w:rPr>
                    <w:t xml:space="preserve"> AMECO.</w:t>
                  </w:r>
                </w:p>
                <w:p w:rsidR="003D03E9" w:rsidRDefault="00F77AE9">
                  <w:pPr>
                    <w:jc w:val="both"/>
                    <w:rPr>
                      <w:rFonts w:ascii="Times New Roman" w:hAnsi="Times New Roman" w:cs="Times New Roman"/>
                      <w:noProof/>
                      <w:sz w:val="20"/>
                      <w:lang w:val="lv-LV" w:eastAsia="lv-LV" w:bidi="lv-LV"/>
                    </w:rPr>
                  </w:pPr>
                  <w:r>
                    <w:rPr>
                      <w:rFonts w:ascii="Times New Roman" w:hAnsi="Times New Roman"/>
                      <w:i/>
                      <w:noProof/>
                      <w:sz w:val="20"/>
                      <w:lang w:val="lv-LV" w:eastAsia="lv-LV" w:bidi="lv-LV"/>
                    </w:rPr>
                    <w:t>Piezīme:</w:t>
                  </w:r>
                  <w:r>
                    <w:rPr>
                      <w:rFonts w:ascii="Times New Roman" w:hAnsi="Times New Roman"/>
                      <w:noProof/>
                      <w:sz w:val="20"/>
                      <w:lang w:val="lv-LV" w:eastAsia="lv-LV" w:bidi="lv-LV"/>
                    </w:rPr>
                    <w:t xml:space="preserve"> “pārpalikuma” valstis: Austrija, Beļģija, Luksemburga, Nīderlande, Somija un Vācija; visas pārējās eurozonas dalībvalstis tiek uzskatītas par “deficīta” valstīm. </w:t>
                  </w:r>
                </w:p>
              </w:tc>
              <w:tc>
                <w:tcPr>
                  <w:tcW w:w="4429" w:type="dxa"/>
                </w:tcPr>
                <w:p w:rsidR="003D03E9" w:rsidRDefault="00F77AE9">
                  <w:pPr>
                    <w:jc w:val="both"/>
                    <w:rPr>
                      <w:rFonts w:ascii="Times New Roman" w:hAnsi="Times New Roman" w:cs="Times New Roman"/>
                      <w:noProof/>
                      <w:sz w:val="20"/>
                      <w:lang w:val="lv-LV" w:eastAsia="lv-LV" w:bidi="lv-LV"/>
                    </w:rPr>
                  </w:pPr>
                  <w:r>
                    <w:rPr>
                      <w:rFonts w:ascii="Times New Roman" w:hAnsi="Times New Roman"/>
                      <w:i/>
                      <w:noProof/>
                      <w:sz w:val="20"/>
                      <w:lang w:val="lv-LV" w:eastAsia="lv-LV" w:bidi="lv-LV"/>
                    </w:rPr>
                    <w:t>Avots:</w:t>
                  </w:r>
                  <w:r>
                    <w:rPr>
                      <w:rFonts w:ascii="Times New Roman" w:hAnsi="Times New Roman"/>
                      <w:noProof/>
                      <w:sz w:val="20"/>
                      <w:lang w:val="lv-LV" w:eastAsia="lv-LV" w:bidi="lv-LV"/>
                    </w:rPr>
                    <w:t xml:space="preserve"> AMECO.</w:t>
                  </w:r>
                  <w:r>
                    <w:rPr>
                      <w:rFonts w:ascii="Times New Roman" w:hAnsi="Times New Roman"/>
                      <w:noProof/>
                      <w:lang w:val="lv-LV" w:eastAsia="lv-LV" w:bidi="lv-LV"/>
                    </w:rPr>
                    <w:t xml:space="preserve"> </w:t>
                  </w:r>
                </w:p>
                <w:p w:rsidR="003D03E9" w:rsidRDefault="00F77AE9">
                  <w:pPr>
                    <w:jc w:val="both"/>
                    <w:rPr>
                      <w:rFonts w:ascii="Times New Roman" w:hAnsi="Times New Roman" w:cs="Times New Roman"/>
                      <w:noProof/>
                      <w:sz w:val="20"/>
                      <w:lang w:val="lv-LV" w:eastAsia="lv-LV" w:bidi="lv-LV"/>
                    </w:rPr>
                  </w:pPr>
                  <w:r>
                    <w:rPr>
                      <w:rFonts w:ascii="Times New Roman" w:hAnsi="Times New Roman"/>
                      <w:i/>
                      <w:noProof/>
                      <w:sz w:val="20"/>
                      <w:lang w:val="lv-LV" w:eastAsia="lv-LV" w:bidi="lv-LV"/>
                    </w:rPr>
                    <w:t>Piezīme:</w:t>
                  </w:r>
                  <w:r>
                    <w:rPr>
                      <w:rFonts w:ascii="Times New Roman" w:hAnsi="Times New Roman"/>
                      <w:noProof/>
                      <w:sz w:val="20"/>
                      <w:lang w:val="lv-LV" w:eastAsia="lv-LV" w:bidi="lv-LV"/>
                    </w:rPr>
                    <w:t xml:space="preserve"> “burbuļu” lielums atspoguļo valdības parāda vērtību (% no IKP) 2017.</w:t>
                  </w:r>
                  <w:r>
                    <w:rPr>
                      <w:rFonts w:ascii="Times New Roman" w:hAnsi="Times New Roman"/>
                      <w:noProof/>
                      <w:sz w:val="20"/>
                      <w:lang w:val="lv-LV" w:eastAsia="lv-LV" w:bidi="lv-LV"/>
                    </w:rPr>
                    <w:t xml:space="preserve"> gadā.</w:t>
                  </w:r>
                </w:p>
              </w:tc>
            </w:tr>
          </w:tbl>
          <w:p w:rsidR="003D03E9" w:rsidRDefault="003D03E9">
            <w:pPr>
              <w:jc w:val="both"/>
              <w:rPr>
                <w:rFonts w:ascii="Times New Roman" w:hAnsi="Times New Roman" w:cs="Times New Roman"/>
                <w:b/>
                <w:noProof/>
                <w:lang w:val="lv-LV" w:eastAsia="lv-LV" w:bidi="lv-LV"/>
              </w:rPr>
            </w:pPr>
          </w:p>
        </w:tc>
      </w:tr>
    </w:tbl>
    <w:p w:rsidR="003D03E9" w:rsidRDefault="003D03E9">
      <w:pPr>
        <w:rPr>
          <w:rFonts w:ascii="Times New Roman" w:eastAsia="Times New Roman" w:hAnsi="Times New Roman" w:cs="Times New Roman"/>
          <w:b/>
          <w:noProof/>
          <w:lang w:val="lv-LV" w:eastAsia="lv-LV" w:bidi="lv-LV"/>
        </w:rPr>
      </w:pPr>
    </w:p>
    <w:p w:rsidR="003D03E9" w:rsidRDefault="00F77AE9">
      <w:pPr>
        <w:spacing w:before="120" w:after="120"/>
        <w:jc w:val="both"/>
        <w:rPr>
          <w:rFonts w:ascii="Times New Roman" w:eastAsia="Times New Roman" w:hAnsi="Times New Roman" w:cs="Times New Roman"/>
          <w:noProof/>
          <w:lang w:val="lv-LV" w:eastAsia="lv-LV" w:bidi="lv-LV"/>
        </w:rPr>
      </w:pPr>
      <w:r>
        <w:rPr>
          <w:rFonts w:ascii="Times New Roman" w:hAnsi="Times New Roman"/>
          <w:b/>
          <w:noProof/>
          <w:lang w:val="lv-LV" w:eastAsia="lv-LV" w:bidi="lv-LV"/>
        </w:rPr>
        <w:t>Privātā sektora parāda rādītāji pakāpeniski samazinās, bet vairākās dalībvalstīs tie joprojām ir paaugstināti.</w:t>
      </w:r>
      <w:r>
        <w:rPr>
          <w:rFonts w:ascii="Times New Roman" w:hAnsi="Times New Roman"/>
          <w:noProof/>
          <w:lang w:val="lv-LV" w:eastAsia="lv-LV" w:bidi="lv-LV"/>
        </w:rPr>
        <w:t xml:space="preserve"> Rādītāju kopsavilkumā noteikto privātā sektora parāda robežvērtību 2017. gadā pārsniedza 12 dalībvalstis — tās pašas valstis, kas pagājušā gada BMZ. Vislielākā privātā sektora parāda attiecība ir Kiprā, Īrijā, Luksemburgā un Nīderlandē, lai gan šo valstu </w:t>
      </w:r>
      <w:r>
        <w:rPr>
          <w:rFonts w:ascii="Times New Roman" w:hAnsi="Times New Roman"/>
          <w:noProof/>
          <w:lang w:val="lv-LV" w:eastAsia="lv-LV" w:bidi="lv-LV"/>
        </w:rPr>
        <w:t>rādītājus ietekmē pārrobežu darījumi, kas saistīti ar starptautisku uzņēmumu darbību. Īpaši augsts privātā sektora parāda līmenis ir reģistrēts arī Apvienotajā Karalistē, Beļģijā, Dānijā, Portugālē un Zviedrijā, kur privātā sektora parāda līmenis pārsniedz</w:t>
      </w:r>
      <w:r>
        <w:rPr>
          <w:rFonts w:ascii="Times New Roman" w:hAnsi="Times New Roman"/>
          <w:noProof/>
          <w:lang w:val="lv-LV" w:eastAsia="lv-LV" w:bidi="lv-LV"/>
        </w:rPr>
        <w:t xml:space="preserve"> 160 % no IKP. Mājsaimniecību un nefinanšu sabiedrību īpatsvars augstajos privātā sektora parāda līmeņos dažādās dalībvalstīs atšķiras.</w:t>
      </w:r>
      <w:r>
        <w:rPr>
          <w:rFonts w:ascii="Times New Roman" w:hAnsi="Times New Roman"/>
          <w:b/>
          <w:noProof/>
          <w:lang w:val="lv-LV" w:eastAsia="lv-LV" w:bidi="lv-LV"/>
        </w:rPr>
        <w:t xml:space="preserve"> </w:t>
      </w:r>
      <w:r>
        <w:rPr>
          <w:rFonts w:ascii="Times New Roman" w:hAnsi="Times New Roman"/>
          <w:noProof/>
          <w:lang w:val="lv-LV" w:eastAsia="lv-LV" w:bidi="lv-LV"/>
        </w:rPr>
        <w:t>Beļģijas, Īrijas un Luksemburgas gadījumā augsta vispārējā privātā sektora parāda attiecība galvenokārt ir saistīta ar n</w:t>
      </w:r>
      <w:r>
        <w:rPr>
          <w:rFonts w:ascii="Times New Roman" w:hAnsi="Times New Roman"/>
          <w:noProof/>
          <w:lang w:val="lv-LV" w:eastAsia="lv-LV" w:bidi="lv-LV"/>
        </w:rPr>
        <w:t>efinanšu sabiedrību parādsaistībām. Turpretī Apvienotajā Karalistē un Dānijā mājsaimniecību sektors sekmē privātā sektora parāda krājumus. Kiprā, Nīderlandē, Portugālē un Zviedrijā salīdzinoši augsts parāda līmenis ir gan uzņēmumu, gan mājsaimniecību sekto</w:t>
      </w:r>
      <w:r>
        <w:rPr>
          <w:rFonts w:ascii="Times New Roman" w:hAnsi="Times New Roman"/>
          <w:noProof/>
          <w:lang w:val="lv-LV" w:eastAsia="lv-LV" w:bidi="lv-LV"/>
        </w:rPr>
        <w:t xml:space="preserve">rā. </w:t>
      </w:r>
      <w:r>
        <w:rPr>
          <w:noProof/>
          <w:lang w:val="lv-LV" w:eastAsia="lv-LV" w:bidi="lv-LV"/>
        </w:rPr>
        <w:t>Privātā sektora parāda krājumu atšķirības dažādās valstīs ir lielā mērā izskaidrojamas ar atšķirībām pamatrādītājos, kas ir pamats parāda uzkrāšanai; tie ietver izaugsmes un ieguldījumu perspektīvas un finanšu attīstību. Tādējādi, novērtējot parāda līm</w:t>
      </w:r>
      <w:r>
        <w:rPr>
          <w:noProof/>
          <w:lang w:val="lv-LV" w:eastAsia="lv-LV" w:bidi="lv-LV"/>
        </w:rPr>
        <w:t>eni un raugoties no tālredzīgas perspektīvas, jāņem vērā šie faktori, kā arī citi elementi, kas ietekmē riskus, kurus rada liels parāds</w:t>
      </w:r>
      <w:r>
        <w:rPr>
          <w:noProof/>
          <w:vertAlign w:val="superscript"/>
          <w:lang w:val="lv-LV" w:eastAsia="lv-LV" w:bidi="lv-LV"/>
        </w:rPr>
        <w:footnoteReference w:id="30"/>
      </w:r>
      <w:r>
        <w:rPr>
          <w:noProof/>
          <w:lang w:val="lv-LV" w:eastAsia="lv-LV" w:bidi="lv-LV"/>
        </w:rPr>
        <w:t>.</w:t>
      </w:r>
    </w:p>
    <w:p w:rsidR="003D03E9" w:rsidRDefault="003D03E9">
      <w:pPr>
        <w:keepNext/>
        <w:spacing w:before="120" w:after="120"/>
        <w:jc w:val="center"/>
        <w:rPr>
          <w:rFonts w:ascii="Times New Roman" w:eastAsia="MS Mincho" w:hAnsi="Times New Roman" w:cs="Times New Roman"/>
          <w:b/>
          <w:bCs/>
          <w:noProof/>
          <w:lang w:val="lv-LV" w:eastAsia="lv-LV" w:bidi="lv-LV"/>
        </w:rPr>
      </w:pPr>
    </w:p>
    <w:p w:rsidR="003D03E9" w:rsidRDefault="00F77AE9">
      <w:pPr>
        <w:keepNext/>
        <w:spacing w:before="120" w:after="120"/>
        <w:jc w:val="center"/>
        <w:rPr>
          <w:rFonts w:ascii="Times New Roman" w:eastAsia="MS Mincho" w:hAnsi="Times New Roman" w:cs="Times New Roman"/>
          <w:b/>
          <w:bCs/>
          <w:noProof/>
          <w:lang w:val="lv-LV" w:eastAsia="lv-LV" w:bidi="lv-LV"/>
        </w:rPr>
      </w:pPr>
      <w:r>
        <w:rPr>
          <w:rFonts w:ascii="Times New Roman" w:hAnsi="Times New Roman"/>
          <w:b/>
          <w:noProof/>
          <w:lang w:val="lv-LV" w:eastAsia="lv-LV" w:bidi="lv-LV"/>
        </w:rPr>
        <w:t>11. grafiks. Nefinanšu sabiedrību aizņemto līdzekļu īpatsvara samazināšanas procesa tempi</w:t>
      </w:r>
    </w:p>
    <w:p w:rsidR="003D03E9" w:rsidRDefault="00F77AE9">
      <w:pPr>
        <w:keepNext/>
        <w:spacing w:after="0"/>
        <w:jc w:val="center"/>
        <w:rPr>
          <w:rFonts w:ascii="Times New Roman" w:eastAsia="MS Mincho" w:hAnsi="Times New Roman" w:cs="Times New Roman"/>
          <w:b/>
          <w:bCs/>
          <w:noProof/>
          <w:lang w:val="lv-LV" w:eastAsia="lv-LV" w:bidi="lv-LV"/>
        </w:rPr>
      </w:pPr>
      <w:r>
        <w:rPr>
          <w:rFonts w:ascii="Times New Roman" w:eastAsia="MS Mincho" w:hAnsi="Times New Roman" w:cs="Times New Roman"/>
          <w:b/>
          <w:bCs/>
          <w:noProof/>
          <w:lang w:eastAsia="en-GB"/>
        </w:rPr>
        <w:drawing>
          <wp:inline distT="0" distB="0" distL="0" distR="0">
            <wp:extent cx="5151755" cy="3218815"/>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51755" cy="3218815"/>
                    </a:xfrm>
                    <a:prstGeom prst="rect">
                      <a:avLst/>
                    </a:prstGeom>
                    <a:noFill/>
                  </pic:spPr>
                </pic:pic>
              </a:graphicData>
            </a:graphic>
          </wp:inline>
        </w:drawing>
      </w:r>
    </w:p>
    <w:p w:rsidR="003D03E9" w:rsidRDefault="00F77AE9">
      <w:pPr>
        <w:keepNext/>
        <w:spacing w:after="0"/>
        <w:jc w:val="both"/>
        <w:rPr>
          <w:rFonts w:ascii="Times New Roman" w:eastAsia="Times New Roman" w:hAnsi="Times New Roman" w:cs="Times New Roman"/>
          <w:noProof/>
          <w:sz w:val="20"/>
          <w:szCs w:val="20"/>
          <w:lang w:val="lv-LV" w:eastAsia="lv-LV" w:bidi="lv-LV"/>
        </w:rPr>
      </w:pPr>
      <w:r>
        <w:rPr>
          <w:rFonts w:ascii="Times New Roman" w:hAnsi="Times New Roman"/>
          <w:i/>
          <w:noProof/>
          <w:sz w:val="20"/>
          <w:lang w:val="lv-LV" w:eastAsia="lv-LV" w:bidi="lv-LV"/>
        </w:rPr>
        <w:t>Avots:</w:t>
      </w:r>
      <w:r>
        <w:rPr>
          <w:rFonts w:ascii="Times New Roman" w:hAnsi="Times New Roman"/>
          <w:noProof/>
          <w:sz w:val="20"/>
          <w:lang w:val="lv-LV" w:eastAsia="lv-LV" w:bidi="lv-LV"/>
        </w:rPr>
        <w:t xml:space="preserve"> </w:t>
      </w:r>
      <w:r>
        <w:rPr>
          <w:rFonts w:ascii="Times New Roman" w:hAnsi="Times New Roman"/>
          <w:i/>
          <w:noProof/>
          <w:sz w:val="20"/>
          <w:lang w:val="lv-LV" w:eastAsia="lv-LV" w:bidi="lv-LV"/>
        </w:rPr>
        <w:t>Eurostat</w:t>
      </w:r>
      <w:r>
        <w:rPr>
          <w:rFonts w:ascii="Times New Roman" w:hAnsi="Times New Roman"/>
          <w:noProof/>
          <w:sz w:val="20"/>
          <w:lang w:val="lv-LV" w:eastAsia="lv-LV" w:bidi="lv-LV"/>
        </w:rPr>
        <w:t xml:space="preserve"> konsolidē</w:t>
      </w:r>
      <w:r>
        <w:rPr>
          <w:rFonts w:ascii="Times New Roman" w:hAnsi="Times New Roman"/>
          <w:noProof/>
          <w:sz w:val="20"/>
          <w:lang w:val="lv-LV" w:eastAsia="lv-LV" w:bidi="lv-LV"/>
        </w:rPr>
        <w:t>tie gada sektoru konti, Komisijas dienestu aprēķini.</w:t>
      </w:r>
    </w:p>
    <w:p w:rsidR="003D03E9" w:rsidRDefault="00F77AE9">
      <w:pPr>
        <w:spacing w:after="0"/>
        <w:jc w:val="both"/>
        <w:rPr>
          <w:rFonts w:ascii="Times New Roman" w:eastAsia="Times New Roman" w:hAnsi="Times New Roman" w:cs="Times New Roman"/>
          <w:noProof/>
          <w:sz w:val="20"/>
          <w:szCs w:val="20"/>
          <w:lang w:val="lv-LV" w:eastAsia="lv-LV" w:bidi="lv-LV"/>
        </w:rPr>
      </w:pPr>
      <w:r>
        <w:rPr>
          <w:rFonts w:ascii="Times New Roman" w:hAnsi="Times New Roman"/>
          <w:i/>
          <w:noProof/>
          <w:sz w:val="20"/>
          <w:lang w:val="lv-LV" w:eastAsia="lv-LV" w:bidi="lv-LV"/>
        </w:rPr>
        <w:t>Piezīme:</w:t>
      </w:r>
      <w:r>
        <w:rPr>
          <w:rFonts w:ascii="Times New Roman" w:hAnsi="Times New Roman"/>
          <w:noProof/>
          <w:sz w:val="20"/>
          <w:lang w:val="lv-LV" w:eastAsia="lv-LV" w:bidi="lv-LV"/>
        </w:rPr>
        <w:t xml:space="preserve"> valstis norādītas parāda pret IKP attiecības dilstošā secībā 2017. gadā. Skaitļi zem valsts koda norāda maksimuma gadu. Aprēķinot pieaugumu līdz maksimālajam rādītājam, 2000. gads kā izejas punkts nav izmantots attiecībā uz šādām valstīm: Horvātiju un Īri</w:t>
      </w:r>
      <w:r>
        <w:rPr>
          <w:rFonts w:ascii="Times New Roman" w:hAnsi="Times New Roman"/>
          <w:noProof/>
          <w:sz w:val="20"/>
          <w:lang w:val="lv-LV" w:eastAsia="lv-LV" w:bidi="lv-LV"/>
        </w:rPr>
        <w:t>ju (izmantots 2001. gads) un Kipru (izmantots 2006. gads). |LU, IE un BE vērtības apstrādātas, lai tās atbilstu mērogam.</w:t>
      </w:r>
    </w:p>
    <w:p w:rsidR="003D03E9" w:rsidRDefault="00F77AE9">
      <w:pPr>
        <w:keepNext/>
        <w:spacing w:before="120" w:after="120"/>
        <w:jc w:val="center"/>
        <w:rPr>
          <w:rFonts w:ascii="Times New Roman" w:eastAsia="MS Mincho" w:hAnsi="Times New Roman" w:cs="Times New Roman"/>
          <w:b/>
          <w:bCs/>
          <w:noProof/>
          <w:lang w:val="lv-LV" w:eastAsia="lv-LV" w:bidi="lv-LV"/>
        </w:rPr>
      </w:pPr>
      <w:r>
        <w:rPr>
          <w:rFonts w:ascii="Times New Roman" w:hAnsi="Times New Roman"/>
          <w:b/>
          <w:noProof/>
          <w:lang w:val="lv-LV" w:eastAsia="lv-LV" w:bidi="lv-LV"/>
        </w:rPr>
        <w:t>12. grafiks. Mājsaimniecību aizņemto līdzekļu īpatsvara samazināšanas procesa tempi</w:t>
      </w:r>
    </w:p>
    <w:p w:rsidR="003D03E9" w:rsidRDefault="00F77AE9">
      <w:pPr>
        <w:keepNext/>
        <w:spacing w:before="120" w:after="120"/>
        <w:jc w:val="center"/>
        <w:rPr>
          <w:rFonts w:ascii="Times New Roman" w:eastAsia="MS Mincho" w:hAnsi="Times New Roman" w:cs="Times New Roman"/>
          <w:b/>
          <w:bCs/>
          <w:noProof/>
          <w:lang w:val="lv-LV" w:eastAsia="lv-LV" w:bidi="lv-LV"/>
        </w:rPr>
      </w:pPr>
      <w:r>
        <w:rPr>
          <w:rFonts w:ascii="Times New Roman" w:eastAsia="MS Mincho" w:hAnsi="Times New Roman" w:cs="Times New Roman"/>
          <w:b/>
          <w:bCs/>
          <w:noProof/>
          <w:lang w:eastAsia="en-GB"/>
        </w:rPr>
        <w:drawing>
          <wp:inline distT="0" distB="0" distL="0" distR="0">
            <wp:extent cx="5096510" cy="3145790"/>
            <wp:effectExtent l="0" t="0" r="889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96510" cy="3145790"/>
                    </a:xfrm>
                    <a:prstGeom prst="rect">
                      <a:avLst/>
                    </a:prstGeom>
                    <a:noFill/>
                  </pic:spPr>
                </pic:pic>
              </a:graphicData>
            </a:graphic>
          </wp:inline>
        </w:drawing>
      </w:r>
    </w:p>
    <w:p w:rsidR="003D03E9" w:rsidRDefault="00F77AE9">
      <w:pPr>
        <w:keepNext/>
        <w:spacing w:after="0"/>
        <w:jc w:val="both"/>
        <w:rPr>
          <w:rFonts w:ascii="Times New Roman" w:eastAsia="Times New Roman" w:hAnsi="Times New Roman" w:cs="Times New Roman"/>
          <w:noProof/>
          <w:sz w:val="20"/>
          <w:szCs w:val="20"/>
          <w:lang w:val="lv-LV" w:eastAsia="lv-LV" w:bidi="lv-LV"/>
        </w:rPr>
      </w:pPr>
      <w:r>
        <w:rPr>
          <w:rFonts w:ascii="Times New Roman" w:hAnsi="Times New Roman"/>
          <w:i/>
          <w:noProof/>
          <w:sz w:val="20"/>
          <w:lang w:val="lv-LV" w:eastAsia="lv-LV" w:bidi="lv-LV"/>
        </w:rPr>
        <w:t>Avots:</w:t>
      </w:r>
      <w:r>
        <w:rPr>
          <w:rFonts w:ascii="Times New Roman" w:hAnsi="Times New Roman"/>
          <w:noProof/>
          <w:sz w:val="20"/>
          <w:lang w:val="lv-LV" w:eastAsia="lv-LV" w:bidi="lv-LV"/>
        </w:rPr>
        <w:t xml:space="preserve"> </w:t>
      </w:r>
      <w:r>
        <w:rPr>
          <w:rFonts w:ascii="Times New Roman" w:hAnsi="Times New Roman"/>
          <w:i/>
          <w:noProof/>
          <w:sz w:val="20"/>
          <w:lang w:val="lv-LV" w:eastAsia="lv-LV" w:bidi="lv-LV"/>
        </w:rPr>
        <w:t>Eurostat</w:t>
      </w:r>
      <w:r>
        <w:rPr>
          <w:rFonts w:ascii="Times New Roman" w:hAnsi="Times New Roman"/>
          <w:noProof/>
          <w:sz w:val="20"/>
          <w:lang w:val="lv-LV" w:eastAsia="lv-LV" w:bidi="lv-LV"/>
        </w:rPr>
        <w:t xml:space="preserve"> konsolidētie gada sektoru konti, Komisijas dienestu aprēķini.</w:t>
      </w:r>
    </w:p>
    <w:p w:rsidR="003D03E9" w:rsidRDefault="00F77AE9">
      <w:pPr>
        <w:spacing w:after="0"/>
        <w:jc w:val="both"/>
        <w:rPr>
          <w:rFonts w:ascii="Times New Roman" w:eastAsia="Times New Roman" w:hAnsi="Times New Roman" w:cs="Times New Roman"/>
          <w:noProof/>
          <w:sz w:val="20"/>
          <w:szCs w:val="20"/>
          <w:lang w:val="lv-LV" w:eastAsia="lv-LV" w:bidi="lv-LV"/>
        </w:rPr>
      </w:pPr>
      <w:r>
        <w:rPr>
          <w:rFonts w:ascii="Times New Roman" w:hAnsi="Times New Roman"/>
          <w:i/>
          <w:noProof/>
          <w:sz w:val="20"/>
          <w:lang w:val="lv-LV" w:eastAsia="lv-LV" w:bidi="lv-LV"/>
        </w:rPr>
        <w:t>Piezīme:</w:t>
      </w:r>
      <w:r>
        <w:rPr>
          <w:rFonts w:ascii="Times New Roman" w:hAnsi="Times New Roman"/>
          <w:noProof/>
          <w:sz w:val="20"/>
          <w:lang w:val="lv-LV" w:eastAsia="lv-LV" w:bidi="lv-LV"/>
        </w:rPr>
        <w:t xml:space="preserve"> valstis norādītas parāda pret IKP attiecības dilstošā secībā 2017. gadā. Skaitļi zem valsts koda norāda maksimuma gadu. Aprēķinot pieaugumu līdz maksimālajam rādītājam, 2000. gads kā i</w:t>
      </w:r>
      <w:r>
        <w:rPr>
          <w:rFonts w:ascii="Times New Roman" w:hAnsi="Times New Roman"/>
          <w:noProof/>
          <w:sz w:val="20"/>
          <w:lang w:val="lv-LV" w:eastAsia="lv-LV" w:bidi="lv-LV"/>
        </w:rPr>
        <w:t xml:space="preserve">zejas punkts nav izmantots attiecībā uz šādām valstīm: Horvātiju un Īriju (2001. gads). </w:t>
      </w:r>
    </w:p>
    <w:p w:rsidR="003D03E9" w:rsidRDefault="003D03E9">
      <w:pPr>
        <w:spacing w:before="120" w:after="120"/>
        <w:jc w:val="both"/>
        <w:rPr>
          <w:rFonts w:ascii="Times New Roman" w:eastAsia="Times New Roman" w:hAnsi="Times New Roman" w:cs="Times New Roman"/>
          <w:b/>
          <w:noProof/>
          <w:sz w:val="24"/>
          <w:szCs w:val="24"/>
          <w:lang w:val="lv-LV" w:eastAsia="lv-LV" w:bidi="lv-LV"/>
        </w:rPr>
      </w:pPr>
    </w:p>
    <w:p w:rsidR="003D03E9" w:rsidRDefault="00F77AE9">
      <w:pPr>
        <w:spacing w:before="120" w:after="120"/>
        <w:jc w:val="both"/>
        <w:rPr>
          <w:rFonts w:ascii="Times New Roman" w:eastAsia="Times New Roman" w:hAnsi="Times New Roman" w:cs="Times New Roman"/>
          <w:noProof/>
          <w:lang w:val="lv-LV" w:eastAsia="lv-LV" w:bidi="lv-LV"/>
        </w:rPr>
      </w:pPr>
      <w:r>
        <w:rPr>
          <w:b/>
          <w:noProof/>
          <w:lang w:val="lv-LV" w:eastAsia="lv-LV" w:bidi="lv-LV"/>
        </w:rPr>
        <w:t>Privātā sektora parāda attiecība pret IKP lielākajā daļā dalībvalstu samazinās tempā, kas ne vienmēr atbilst vajadzībām, kuras izriet no aizņemto līdzekļu īpatsvara s</w:t>
      </w:r>
      <w:r>
        <w:rPr>
          <w:b/>
          <w:noProof/>
          <w:lang w:val="lv-LV" w:eastAsia="lv-LV" w:bidi="lv-LV"/>
        </w:rPr>
        <w:t>amazināšanas procesa.</w:t>
      </w:r>
      <w:r>
        <w:rPr>
          <w:rFonts w:ascii="Times New Roman" w:hAnsi="Times New Roman"/>
          <w:noProof/>
          <w:lang w:val="lv-LV" w:eastAsia="lv-LV" w:bidi="lv-LV"/>
        </w:rPr>
        <w:t xml:space="preserve"> </w:t>
      </w:r>
      <w:r>
        <w:rPr>
          <w:noProof/>
          <w:lang w:val="lv-LV" w:eastAsia="lv-LV" w:bidi="lv-LV"/>
        </w:rPr>
        <w:t>Aizņemto līdzekļu īpatsvara samazināšanas process vispirms ir sācies nefinanšu sabiedrībās un ir bijis raitāks salīdzinājumā ar reģistrēto samazinājumu mājsaimniecību sektorā gan tāpēc, ka uzņēmumu sektora neto kredītplūsma bijusi neg</w:t>
      </w:r>
      <w:r>
        <w:rPr>
          <w:noProof/>
          <w:lang w:val="lv-LV" w:eastAsia="lv-LV" w:bidi="lv-LV"/>
        </w:rPr>
        <w:t>atīvāka, gan tāpēc, ka nominālā izaugsme vairāk ietekmējusi parāda attiecību pret IKP samazinājumu, ņemot vērā, ka salīdzinājumā ar mājsaimniecībām uzņēmumu parāda attiecība pret IKP ir lielāka.</w:t>
      </w:r>
      <w:r>
        <w:rPr>
          <w:rFonts w:ascii="Times New Roman" w:hAnsi="Times New Roman"/>
          <w:noProof/>
          <w:lang w:val="lv-LV" w:eastAsia="lv-LV" w:bidi="lv-LV"/>
        </w:rPr>
        <w:t xml:space="preserve"> </w:t>
      </w:r>
    </w:p>
    <w:p w:rsidR="003D03E9" w:rsidRDefault="00F77AE9">
      <w:pPr>
        <w:numPr>
          <w:ilvl w:val="0"/>
          <w:numId w:val="24"/>
        </w:numPr>
        <w:spacing w:before="120" w:after="120"/>
        <w:contextualSpacing/>
        <w:jc w:val="both"/>
        <w:rPr>
          <w:rFonts w:ascii="Times New Roman" w:eastAsia="Times New Roman" w:hAnsi="Times New Roman" w:cs="Times New Roman"/>
          <w:b/>
          <w:noProof/>
          <w:lang w:val="lv-LV" w:eastAsia="lv-LV" w:bidi="lv-LV"/>
        </w:rPr>
      </w:pPr>
      <w:r>
        <w:rPr>
          <w:rFonts w:ascii="Times New Roman" w:hAnsi="Times New Roman"/>
          <w:noProof/>
          <w:lang w:val="lv-LV" w:eastAsia="lv-LV" w:bidi="lv-LV"/>
        </w:rPr>
        <w:t>Vairākās valstīs nefinanšu sabiedrībām ir izdevies samazināt vismaz pusi no tāda parāda attiecībām pret IKP, kas uzkrātas no 2000. gada līdz gadam, kurā to parāds sasniedza maksimālo līmeni (Apvienotā Karaliste, Dānija, Horvātija, Igaunija, Itālija, Latvij</w:t>
      </w:r>
      <w:r>
        <w:rPr>
          <w:rFonts w:ascii="Times New Roman" w:hAnsi="Times New Roman"/>
          <w:noProof/>
          <w:lang w:val="lv-LV" w:eastAsia="lv-LV" w:bidi="lv-LV"/>
        </w:rPr>
        <w:t>a, Lietuva, Portugāle, Rumānija, Slovēnija, Spānija un Zviedrija). Tomēr aizņemto līdzekļu īpatsvara samazināšanas procesa temps ne vienmēr atbilda aizņemto līdzekļu īpatsvara samazināšanas vajadzībām, jo piecās valstīs, kurās ir vieni no lielākajiem uzņēm</w:t>
      </w:r>
      <w:r>
        <w:rPr>
          <w:rFonts w:ascii="Times New Roman" w:hAnsi="Times New Roman"/>
          <w:noProof/>
          <w:lang w:val="lv-LV" w:eastAsia="lv-LV" w:bidi="lv-LV"/>
        </w:rPr>
        <w:t>umu parāda rādītājiem (Beļģija, Īrija, Kipra, Luksemburga un Nīderlande), aizņemto līdzekļu īpatsvara samazināšanas process uzņēmumu vidū ir bijis pieticīgs attiecībā pret parāda krājumiem, savukārt Francijā nefinanšu sabiedrību parāda līmenis turpināja pi</w:t>
      </w:r>
      <w:r>
        <w:rPr>
          <w:rFonts w:ascii="Times New Roman" w:hAnsi="Times New Roman"/>
          <w:noProof/>
          <w:lang w:val="lv-LV" w:eastAsia="lv-LV" w:bidi="lv-LV"/>
        </w:rPr>
        <w:t xml:space="preserve">eaugt (11. grafiks). </w:t>
      </w:r>
    </w:p>
    <w:p w:rsidR="003D03E9" w:rsidRDefault="00F77AE9">
      <w:pPr>
        <w:numPr>
          <w:ilvl w:val="0"/>
          <w:numId w:val="24"/>
        </w:numPr>
        <w:spacing w:before="120" w:after="120"/>
        <w:contextualSpacing/>
        <w:jc w:val="both"/>
        <w:rPr>
          <w:rFonts w:ascii="Times New Roman" w:eastAsia="Times New Roman" w:hAnsi="Times New Roman" w:cs="Times New Roman"/>
          <w:b/>
          <w:noProof/>
          <w:lang w:val="lv-LV" w:eastAsia="lv-LV" w:bidi="lv-LV"/>
        </w:rPr>
      </w:pPr>
      <w:r>
        <w:rPr>
          <w:noProof/>
          <w:lang w:val="lv-LV" w:eastAsia="lv-LV" w:bidi="lv-LV"/>
        </w:rPr>
        <w:t>Mājsaimniecību aizņemto līdzekļu īpatsvars pēdējo divu gadu laikā samazinājies gan tajās trijās dalībvalstīs, kurās mājsaimniecību sektora parāds ir vislielākais (Dānijā, Kiprā un Nīderlandē), gan citās valstīs ar lielu parāda līmeni,</w:t>
      </w:r>
      <w:r>
        <w:rPr>
          <w:noProof/>
          <w:lang w:val="lv-LV" w:eastAsia="lv-LV" w:bidi="lv-LV"/>
        </w:rPr>
        <w:t xml:space="preserve"> tādās kā Grieķija, Portugāle un Spānija (12. grafiks).</w:t>
      </w:r>
      <w:r>
        <w:rPr>
          <w:rFonts w:ascii="Times New Roman" w:hAnsi="Times New Roman"/>
          <w:noProof/>
          <w:lang w:val="lv-LV" w:eastAsia="lv-LV" w:bidi="lv-LV"/>
        </w:rPr>
        <w:t xml:space="preserve"> Turpretī Apvienotajā Karalistē mājsaimniecību aizņemto līdzekļu īpatsvara samazināšanas process ir apstājies, bet Somijā un Zviedrijā relatīvi lielās parāda attiecības pieauga vēl vairāk.</w:t>
      </w:r>
    </w:p>
    <w:p w:rsidR="003D03E9" w:rsidRDefault="003D03E9">
      <w:pPr>
        <w:rPr>
          <w:noProof/>
          <w:lang w:val="lv-LV" w:eastAsia="lv-LV" w:bidi="lv-LV"/>
        </w:rPr>
      </w:pPr>
    </w:p>
    <w:tbl>
      <w:tblPr>
        <w:tblW w:w="0" w:type="auto"/>
        <w:tblLook w:val="04A0" w:firstRow="1" w:lastRow="0" w:firstColumn="1" w:lastColumn="0" w:noHBand="0" w:noVBand="1"/>
      </w:tblPr>
      <w:tblGrid>
        <w:gridCol w:w="4543"/>
        <w:gridCol w:w="4745"/>
      </w:tblGrid>
      <w:tr w:rsidR="003D03E9" w:rsidRPr="00F77AE9">
        <w:tc>
          <w:tcPr>
            <w:tcW w:w="4644" w:type="dxa"/>
          </w:tcPr>
          <w:p w:rsidR="003D03E9" w:rsidRDefault="00F77AE9">
            <w:pPr>
              <w:spacing w:before="120" w:after="120"/>
              <w:jc w:val="both"/>
              <w:rPr>
                <w:rFonts w:ascii="Times New Roman" w:eastAsia="Times New Roman" w:hAnsi="Times New Roman" w:cs="Times New Roman"/>
                <w:noProof/>
                <w:sz w:val="24"/>
                <w:szCs w:val="24"/>
                <w:lang w:val="lv-LV" w:eastAsia="lv-LV" w:bidi="lv-LV"/>
              </w:rPr>
            </w:pPr>
            <w:r>
              <w:rPr>
                <w:rFonts w:ascii="Times New Roman" w:hAnsi="Times New Roman"/>
                <w:b/>
                <w:noProof/>
                <w:lang w:val="lv-LV" w:eastAsia="lv-LV" w:bidi="lv-LV"/>
              </w:rPr>
              <w:t>13. grafiks</w:t>
            </w:r>
            <w:r>
              <w:rPr>
                <w:rFonts w:ascii="Times New Roman" w:hAnsi="Times New Roman"/>
                <w:b/>
                <w:noProof/>
                <w:lang w:val="lv-LV" w:eastAsia="lv-LV" w:bidi="lv-LV"/>
              </w:rPr>
              <w:t>. Nefinanšu sabiedrību parāda attiecības pret IKP izmaiņu struktūra (2018. g. 1. cet.)</w:t>
            </w:r>
          </w:p>
        </w:tc>
        <w:tc>
          <w:tcPr>
            <w:tcW w:w="4644" w:type="dxa"/>
          </w:tcPr>
          <w:p w:rsidR="003D03E9" w:rsidRDefault="00F77AE9">
            <w:pPr>
              <w:keepNext/>
              <w:spacing w:before="120" w:after="120"/>
              <w:jc w:val="both"/>
              <w:rPr>
                <w:rFonts w:ascii="Times New Roman" w:eastAsia="MS Mincho" w:hAnsi="Times New Roman" w:cs="Times New Roman"/>
                <w:b/>
                <w:bCs/>
                <w:noProof/>
                <w:lang w:val="lv-LV" w:eastAsia="lv-LV" w:bidi="lv-LV"/>
              </w:rPr>
            </w:pPr>
            <w:r>
              <w:rPr>
                <w:rFonts w:ascii="Times New Roman" w:hAnsi="Times New Roman"/>
                <w:b/>
                <w:noProof/>
                <w:lang w:val="lv-LV" w:eastAsia="lv-LV" w:bidi="lv-LV"/>
              </w:rPr>
              <w:t>14. grafiks. Mājsaimniecību parāda attiecības pret IKP izmaiņu struktūra (2018. g. 1. cet.)</w:t>
            </w:r>
          </w:p>
        </w:tc>
      </w:tr>
      <w:tr w:rsidR="003D03E9">
        <w:tc>
          <w:tcPr>
            <w:tcW w:w="4644" w:type="dxa"/>
          </w:tcPr>
          <w:p w:rsidR="003D03E9" w:rsidRDefault="00F77AE9">
            <w:pPr>
              <w:jc w:val="both"/>
              <w:rPr>
                <w:rFonts w:ascii="Times New Roman" w:eastAsia="Times New Roman" w:hAnsi="Times New Roman" w:cs="Times New Roman"/>
                <w:noProof/>
                <w:sz w:val="24"/>
                <w:szCs w:val="24"/>
                <w:lang w:val="lv-LV" w:eastAsia="lv-LV" w:bidi="lv-LV"/>
              </w:rPr>
            </w:pPr>
            <w:r>
              <w:rPr>
                <w:rFonts w:ascii="Times New Roman" w:eastAsia="Times New Roman" w:hAnsi="Times New Roman" w:cs="Times New Roman"/>
                <w:noProof/>
                <w:sz w:val="24"/>
                <w:szCs w:val="24"/>
                <w:lang w:eastAsia="en-GB"/>
              </w:rPr>
              <w:drawing>
                <wp:inline distT="0" distB="0" distL="0" distR="0">
                  <wp:extent cx="2853055" cy="2993390"/>
                  <wp:effectExtent l="0" t="0" r="444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3055" cy="2993390"/>
                          </a:xfrm>
                          <a:prstGeom prst="rect">
                            <a:avLst/>
                          </a:prstGeom>
                          <a:noFill/>
                        </pic:spPr>
                      </pic:pic>
                    </a:graphicData>
                  </a:graphic>
                </wp:inline>
              </w:drawing>
            </w:r>
          </w:p>
        </w:tc>
        <w:tc>
          <w:tcPr>
            <w:tcW w:w="4644" w:type="dxa"/>
          </w:tcPr>
          <w:p w:rsidR="003D03E9" w:rsidRDefault="00F77AE9">
            <w:pPr>
              <w:keepNext/>
              <w:jc w:val="both"/>
              <w:rPr>
                <w:rFonts w:ascii="Times New Roman" w:eastAsia="Times New Roman" w:hAnsi="Times New Roman" w:cs="Times New Roman"/>
                <w:noProof/>
                <w:sz w:val="24"/>
                <w:szCs w:val="24"/>
                <w:lang w:val="lv-LV" w:eastAsia="lv-LV" w:bidi="lv-LV"/>
              </w:rPr>
            </w:pPr>
            <w:r>
              <w:rPr>
                <w:rFonts w:ascii="Times New Roman" w:eastAsia="Times New Roman" w:hAnsi="Times New Roman" w:cs="Times New Roman"/>
                <w:noProof/>
                <w:sz w:val="24"/>
                <w:szCs w:val="24"/>
                <w:lang w:eastAsia="en-GB"/>
              </w:rPr>
              <w:drawing>
                <wp:inline distT="0" distB="0" distL="0" distR="0">
                  <wp:extent cx="2991917" cy="2971213"/>
                  <wp:effectExtent l="0" t="0" r="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90998" cy="2970300"/>
                          </a:xfrm>
                          <a:prstGeom prst="rect">
                            <a:avLst/>
                          </a:prstGeom>
                          <a:noFill/>
                        </pic:spPr>
                      </pic:pic>
                    </a:graphicData>
                  </a:graphic>
                </wp:inline>
              </w:drawing>
            </w:r>
          </w:p>
        </w:tc>
      </w:tr>
    </w:tbl>
    <w:p w:rsidR="003D03E9" w:rsidRDefault="00F77AE9">
      <w:pPr>
        <w:keepNext/>
        <w:spacing w:after="0"/>
        <w:jc w:val="both"/>
        <w:rPr>
          <w:rFonts w:ascii="Times New Roman" w:eastAsia="Times New Roman" w:hAnsi="Times New Roman" w:cs="Times New Roman"/>
          <w:noProof/>
          <w:sz w:val="20"/>
          <w:szCs w:val="20"/>
          <w:lang w:val="lv-LV" w:eastAsia="lv-LV" w:bidi="lv-LV"/>
        </w:rPr>
      </w:pPr>
      <w:r>
        <w:rPr>
          <w:rFonts w:ascii="Times New Roman" w:hAnsi="Times New Roman"/>
          <w:i/>
          <w:noProof/>
          <w:sz w:val="20"/>
          <w:lang w:val="lv-LV" w:eastAsia="lv-LV" w:bidi="lv-LV"/>
        </w:rPr>
        <w:t>Avoti:</w:t>
      </w:r>
      <w:r>
        <w:rPr>
          <w:rFonts w:ascii="Times New Roman" w:hAnsi="Times New Roman"/>
          <w:noProof/>
          <w:sz w:val="20"/>
          <w:lang w:val="lv-LV" w:eastAsia="lv-LV" w:bidi="lv-LV"/>
        </w:rPr>
        <w:t xml:space="preserve"> </w:t>
      </w:r>
      <w:r>
        <w:rPr>
          <w:rFonts w:ascii="Times New Roman" w:hAnsi="Times New Roman"/>
          <w:i/>
          <w:noProof/>
          <w:sz w:val="20"/>
          <w:lang w:val="lv-LV" w:eastAsia="lv-LV" w:bidi="lv-LV"/>
        </w:rPr>
        <w:t>Eurostat</w:t>
      </w:r>
      <w:r>
        <w:rPr>
          <w:rFonts w:ascii="Times New Roman" w:hAnsi="Times New Roman"/>
          <w:noProof/>
          <w:sz w:val="20"/>
          <w:lang w:val="lv-LV" w:eastAsia="lv-LV" w:bidi="lv-LV"/>
        </w:rPr>
        <w:t xml:space="preserve"> nekonsolidētie ceturkšņa sektoru konti, Komisijas dienestu aprēķini.</w:t>
      </w:r>
    </w:p>
    <w:p w:rsidR="003D03E9" w:rsidRDefault="00F77AE9">
      <w:pPr>
        <w:spacing w:after="0"/>
        <w:jc w:val="both"/>
        <w:rPr>
          <w:rFonts w:ascii="Times New Roman" w:eastAsia="Times New Roman" w:hAnsi="Times New Roman" w:cs="Times New Roman"/>
          <w:noProof/>
          <w:sz w:val="20"/>
          <w:szCs w:val="20"/>
          <w:lang w:val="lv-LV" w:eastAsia="lv-LV" w:bidi="lv-LV"/>
        </w:rPr>
      </w:pPr>
      <w:r>
        <w:rPr>
          <w:rFonts w:ascii="Times New Roman" w:hAnsi="Times New Roman"/>
          <w:i/>
          <w:noProof/>
          <w:sz w:val="20"/>
          <w:lang w:val="lv-LV" w:eastAsia="lv-LV" w:bidi="lv-LV"/>
        </w:rPr>
        <w:t>Piezīmes:</w:t>
      </w:r>
      <w:r>
        <w:rPr>
          <w:rFonts w:ascii="Times New Roman" w:hAnsi="Times New Roman"/>
          <w:noProof/>
          <w:sz w:val="20"/>
          <w:lang w:val="lv-LV" w:eastAsia="lv-LV" w:bidi="lv-LV"/>
        </w:rPr>
        <w:t xml:space="preserve"> šajos grafikos attēlots nekonsolidēto parāda attiecību pret IKP izmaiņu salīdzinājumā ar iepriekšējiem gadiem dalījums četros komponentos: kredītplūsmas, potenciālais un ciklis</w:t>
      </w:r>
      <w:r>
        <w:rPr>
          <w:rFonts w:ascii="Times New Roman" w:hAnsi="Times New Roman"/>
          <w:noProof/>
          <w:sz w:val="20"/>
          <w:lang w:val="lv-LV" w:eastAsia="lv-LV" w:bidi="lv-LV"/>
        </w:rPr>
        <w:t>kais reālā IKP pieaugums, inflācija un citas izmaiņas. IKP pieauguma cikliskais komponents ir aprēķināts kā starpība starp faktisko un potenciālo pieaugumu. Aktīvs aizņemto līdzekļu īpatsvara samazināšanas process ietver parāda neto atmaksu (negatīvas neto</w:t>
      </w:r>
      <w:r>
        <w:rPr>
          <w:rFonts w:ascii="Times New Roman" w:hAnsi="Times New Roman"/>
          <w:noProof/>
          <w:sz w:val="20"/>
          <w:lang w:val="lv-LV" w:eastAsia="lv-LV" w:bidi="lv-LV"/>
        </w:rPr>
        <w:t xml:space="preserve"> kredītplūsmas), kas parasti izraisa sektora bilances samazināšanos nominālā izteiksmē. Savukārt pasīvs aizņemto līdzekļu īpatsvara samazināšanas process nozīmē, ka nominālā IKP pieaugums ir lielāks nekā pozitīvās neto kredītplūsmas, kā rezultātā samazinās</w:t>
      </w:r>
      <w:r>
        <w:rPr>
          <w:rFonts w:ascii="Times New Roman" w:hAnsi="Times New Roman"/>
          <w:noProof/>
          <w:sz w:val="20"/>
          <w:lang w:val="lv-LV" w:eastAsia="lv-LV" w:bidi="lv-LV"/>
        </w:rPr>
        <w:t xml:space="preserve"> parāda attiecība pret IKP. </w:t>
      </w:r>
    </w:p>
    <w:p w:rsidR="003D03E9" w:rsidRDefault="003D03E9">
      <w:pPr>
        <w:spacing w:before="120" w:after="120"/>
        <w:jc w:val="center"/>
        <w:rPr>
          <w:rFonts w:ascii="Times New Roman" w:eastAsia="Times New Roman" w:hAnsi="Times New Roman" w:cs="Times New Roman"/>
          <w:i/>
          <w:noProof/>
          <w:sz w:val="20"/>
          <w:szCs w:val="20"/>
          <w:lang w:val="lv-LV" w:eastAsia="lv-LV" w:bidi="lv-LV"/>
        </w:rPr>
      </w:pPr>
    </w:p>
    <w:p w:rsidR="003D03E9" w:rsidRDefault="00F77AE9">
      <w:pPr>
        <w:spacing w:before="120" w:after="120"/>
        <w:jc w:val="both"/>
        <w:rPr>
          <w:rFonts w:ascii="Times New Roman" w:eastAsia="Times New Roman" w:hAnsi="Times New Roman" w:cs="Times New Roman"/>
          <w:noProof/>
          <w:lang w:val="lv-LV" w:eastAsia="lv-LV" w:bidi="lv-LV"/>
        </w:rPr>
      </w:pPr>
      <w:r>
        <w:rPr>
          <w:rFonts w:ascii="Times New Roman" w:hAnsi="Times New Roman"/>
          <w:b/>
          <w:noProof/>
          <w:lang w:val="lv-LV" w:eastAsia="lv-LV" w:bidi="lv-LV"/>
        </w:rPr>
        <w:t xml:space="preserve">Aizņemto līdzekļu īpatsvara samazināšanas process arvien vairāk balstās uz augstākiem nominālā IKP pieauguma rādītājiem. </w:t>
      </w:r>
      <w:r>
        <w:rPr>
          <w:rFonts w:ascii="Times New Roman" w:hAnsi="Times New Roman"/>
          <w:noProof/>
          <w:lang w:val="lv-LV" w:eastAsia="lv-LV" w:bidi="lv-LV"/>
        </w:rPr>
        <w:t>Privātā sektora kredītplūsmas atgūstas, bet joprojām ir salīdzinoši mērenas, un 2017. gadā neviena dalībv</w:t>
      </w:r>
      <w:r>
        <w:rPr>
          <w:rFonts w:ascii="Times New Roman" w:hAnsi="Times New Roman"/>
          <w:noProof/>
          <w:lang w:val="lv-LV" w:eastAsia="lv-LV" w:bidi="lv-LV"/>
        </w:rPr>
        <w:t xml:space="preserve">alsts nepārsniedza rādītāju kopsavilkumā noteikto robežvērtību. Nominālā IKP pieaugums mazināja spiedienu aktīvi samazināt aizņemto līdzekļu īpatsvaru, kā rezultātā samazinājās to valstu skaits, kurām ir negatīvas kredītplūsmas uzņēmumu vai mājsaimniecību </w:t>
      </w:r>
      <w:r>
        <w:rPr>
          <w:rFonts w:ascii="Times New Roman" w:hAnsi="Times New Roman"/>
          <w:noProof/>
          <w:lang w:val="lv-LV" w:eastAsia="lv-LV" w:bidi="lv-LV"/>
        </w:rPr>
        <w:t>sektorā, un negatīvās plūsmas vidēji bija mazākas absolūtā izteiksmē (13. un 14. grafiks). Turklāt dažas valstis, kas iepriekš nav samazinājušas aizņemto līdzekļu īpatsvaru, sāka “pasīvi” samazināt aizņemto līdzekļu īpatsvaru, t. i., tikai tāpēc, ka nominā</w:t>
      </w:r>
      <w:r>
        <w:rPr>
          <w:rFonts w:ascii="Times New Roman" w:hAnsi="Times New Roman"/>
          <w:noProof/>
          <w:lang w:val="lv-LV" w:eastAsia="lv-LV" w:bidi="lv-LV"/>
        </w:rPr>
        <w:t>lā IKP pieaugums samazina parāda attiecību pret IKP un neto kredītplūsmas palielina parādu. Tā tas ir Austrijā, Čehijā un Itālijā, ciktāl tas attiecas uz nefinanšu sabiedrībām, un Austrijā, Igaunijā un Polijā, ciktāl tas attiecas uz mājsaimniecību sektoru.</w:t>
      </w:r>
      <w:r>
        <w:rPr>
          <w:rFonts w:ascii="Times New Roman" w:hAnsi="Times New Roman"/>
          <w:noProof/>
          <w:lang w:val="lv-LV" w:eastAsia="lv-LV" w:bidi="lv-LV"/>
        </w:rPr>
        <w:t xml:space="preserve"> Kā redzams 13. un 14. grafikā, tiek lēsts, ka galvenokārt nominālās izaugsmes rādītāji ir cikliski (piemēram, Grieķijā, Horvātijā, Kiprā, Portugālē un Spānijā). Raugoties nākotnē, turpmākas aizņemto līdzekļu īpatsvara pasīvās samazināšanas perspektīvas ar</w:t>
      </w:r>
      <w:r>
        <w:rPr>
          <w:rFonts w:ascii="Times New Roman" w:hAnsi="Times New Roman"/>
          <w:noProof/>
          <w:lang w:val="lv-LV" w:eastAsia="lv-LV" w:bidi="lv-LV"/>
        </w:rPr>
        <w:t>vien vairāk būs atkarīgas no izaugsmes potenciāla, jo cikliskā komponenta izaugsme pamazām sāks mazināties, jo izlaides starpības kļūst pozitīvas arvien lielākam skaitam valstu.</w:t>
      </w:r>
    </w:p>
    <w:p w:rsidR="003D03E9" w:rsidRDefault="003D03E9">
      <w:pPr>
        <w:rPr>
          <w:rFonts w:ascii="Times New Roman" w:eastAsia="Times New Roman" w:hAnsi="Times New Roman" w:cs="Times New Roman"/>
          <w:b/>
          <w:noProof/>
          <w:lang w:val="lv-LV" w:eastAsia="lv-LV" w:bidi="lv-LV"/>
        </w:rPr>
      </w:pPr>
    </w:p>
    <w:p w:rsidR="003D03E9" w:rsidRDefault="00F77AE9">
      <w:pPr>
        <w:spacing w:before="120" w:after="120"/>
        <w:jc w:val="both"/>
        <w:rPr>
          <w:noProof/>
          <w:lang w:val="lv-LV" w:eastAsia="lv-LV" w:bidi="lv-LV"/>
        </w:rPr>
      </w:pPr>
      <w:r>
        <w:rPr>
          <w:rFonts w:ascii="Times New Roman" w:hAnsi="Times New Roman"/>
          <w:b/>
          <w:noProof/>
          <w:lang w:val="lv-LV" w:eastAsia="lv-LV" w:bidi="lv-LV"/>
        </w:rPr>
        <w:t>Nosacījumi ES banku sektorā uzlabojas, bet dažās dalībvalstīs joprojām ir zem</w:t>
      </w:r>
      <w:r>
        <w:rPr>
          <w:rFonts w:ascii="Times New Roman" w:hAnsi="Times New Roman"/>
          <w:b/>
          <w:noProof/>
          <w:lang w:val="lv-LV" w:eastAsia="lv-LV" w:bidi="lv-LV"/>
        </w:rPr>
        <w:t xml:space="preserve">s rentabilitātes līmenis un lieli ieņēmumus nenesošu aizdevumu (INA) krājumi. </w:t>
      </w:r>
      <w:r>
        <w:rPr>
          <w:noProof/>
          <w:lang w:val="lv-LV" w:eastAsia="lv-LV" w:bidi="lv-LV"/>
        </w:rPr>
        <w:t>Tas jo īpaši attiecas uz Grieķiju, Kipru, Itāliju un Portugāli (15. un 16. grafiks). Pozitīvi ir tas, ka 2017. gadā banku nozares rentabilitāte bija īpaši liela šajās valstīs, un</w:t>
      </w:r>
      <w:r>
        <w:rPr>
          <w:noProof/>
          <w:lang w:val="lv-LV" w:eastAsia="lv-LV" w:bidi="lv-LV"/>
        </w:rPr>
        <w:t xml:space="preserve"> ieņēmumus nenesošo aizdevumu samazinājums bieži vien bija diezgan liels. </w:t>
      </w:r>
    </w:p>
    <w:p w:rsidR="003D03E9" w:rsidRDefault="00F77AE9">
      <w:pPr>
        <w:numPr>
          <w:ilvl w:val="0"/>
          <w:numId w:val="18"/>
        </w:numPr>
        <w:spacing w:before="120" w:after="120"/>
        <w:ind w:left="567" w:hanging="425"/>
        <w:jc w:val="both"/>
        <w:rPr>
          <w:rFonts w:ascii="Times New Roman" w:eastAsia="Times New Roman" w:hAnsi="Times New Roman" w:cs="Times New Roman"/>
          <w:noProof/>
          <w:lang w:val="lv-LV" w:eastAsia="lv-LV" w:bidi="lv-LV"/>
        </w:rPr>
      </w:pPr>
      <w:r>
        <w:rPr>
          <w:noProof/>
          <w:lang w:val="lv-LV" w:eastAsia="lv-LV" w:bidi="lv-LV"/>
        </w:rPr>
        <w:t xml:space="preserve">Lielākajā daļā ES dalībvalstu </w:t>
      </w:r>
      <w:r>
        <w:rPr>
          <w:b/>
          <w:noProof/>
          <w:lang w:val="lv-LV" w:eastAsia="lv-LV" w:bidi="lv-LV"/>
        </w:rPr>
        <w:t>finanšu sektora saistību pieaugums 2017. gadā palēninājās</w:t>
      </w:r>
      <w:r>
        <w:rPr>
          <w:noProof/>
          <w:lang w:val="lv-LV" w:eastAsia="lv-LV" w:bidi="lv-LV"/>
        </w:rPr>
        <w:t>, un visās dalībvalstīs, izņemot divas, šis rādītājs joprojām atbilst rādītāju kopsavilkuma ro</w:t>
      </w:r>
      <w:r>
        <w:rPr>
          <w:noProof/>
          <w:lang w:val="lv-LV" w:eastAsia="lv-LV" w:bidi="lv-LV"/>
        </w:rPr>
        <w:t>bežvērtībai</w:t>
      </w:r>
      <w:r>
        <w:rPr>
          <w:noProof/>
          <w:vertAlign w:val="superscript"/>
          <w:lang w:val="lv-LV" w:eastAsia="lv-LV" w:bidi="lv-LV"/>
        </w:rPr>
        <w:footnoteReference w:id="31"/>
      </w:r>
      <w:r>
        <w:rPr>
          <w:noProof/>
          <w:lang w:val="lv-LV" w:eastAsia="lv-LV" w:bidi="lv-LV"/>
        </w:rPr>
        <w:t>.</w:t>
      </w:r>
      <w:r>
        <w:rPr>
          <w:rFonts w:ascii="Times New Roman" w:hAnsi="Times New Roman"/>
          <w:noProof/>
          <w:lang w:val="lv-LV" w:eastAsia="lv-LV" w:bidi="lv-LV"/>
        </w:rPr>
        <w:t xml:space="preserve"> Banku kredītplūsmas 2017. gadā pēc to iepriekšējā pieauguma palēninājās, un banku kredītu pieaugums mājsaimniecību sektorā saglabājās spēcīgāks nekā nefinanšu sabiedrībām. </w:t>
      </w:r>
    </w:p>
    <w:p w:rsidR="003D03E9" w:rsidRDefault="00F77AE9">
      <w:pPr>
        <w:numPr>
          <w:ilvl w:val="0"/>
          <w:numId w:val="18"/>
        </w:numPr>
        <w:spacing w:before="120" w:after="120"/>
        <w:ind w:left="567" w:hanging="425"/>
        <w:jc w:val="both"/>
        <w:rPr>
          <w:rFonts w:ascii="Times New Roman" w:eastAsia="Times New Roman" w:hAnsi="Times New Roman" w:cs="Times New Roman"/>
          <w:noProof/>
          <w:lang w:val="lv-LV" w:eastAsia="lv-LV" w:bidi="lv-LV"/>
        </w:rPr>
      </w:pPr>
      <w:r>
        <w:rPr>
          <w:noProof/>
          <w:lang w:val="lv-LV" w:eastAsia="lv-LV" w:bidi="lv-LV"/>
        </w:rPr>
        <w:t xml:space="preserve">Pagājušajā gadā </w:t>
      </w:r>
      <w:r>
        <w:rPr>
          <w:b/>
          <w:noProof/>
          <w:lang w:val="lv-LV" w:eastAsia="lv-LV" w:bidi="lv-LV"/>
        </w:rPr>
        <w:t xml:space="preserve">lielākajā daļā dalībvalstu bija vērojami turpmāki </w:t>
      </w:r>
      <w:r>
        <w:rPr>
          <w:b/>
          <w:noProof/>
          <w:lang w:val="lv-LV" w:eastAsia="lv-LV" w:bidi="lv-LV"/>
        </w:rPr>
        <w:t>banku rentabilitātes un kapitāla rādītāju uzlabojumi</w:t>
      </w:r>
      <w:r>
        <w:rPr>
          <w:noProof/>
          <w:lang w:val="lv-LV" w:eastAsia="lv-LV" w:bidi="lv-LV"/>
        </w:rPr>
        <w:t>.</w:t>
      </w:r>
      <w:r>
        <w:rPr>
          <w:rFonts w:ascii="Times New Roman" w:hAnsi="Times New Roman"/>
          <w:noProof/>
          <w:lang w:val="lv-LV" w:eastAsia="lv-LV" w:bidi="lv-LV"/>
        </w:rPr>
        <w:t xml:space="preserve"> Banku pašu kapitāla novērtējumi līdz 2018. gada sākumam ir palielinājušies, un pēc tam notika korekcija lejup, kas daļēji kompensēja iepriekšējo palielinājumu un daļēji bija saistīta ar ienesīguma līkņu</w:t>
      </w:r>
      <w:r>
        <w:rPr>
          <w:rFonts w:ascii="Times New Roman" w:hAnsi="Times New Roman"/>
          <w:noProof/>
          <w:lang w:val="lv-LV" w:eastAsia="lv-LV" w:bidi="lv-LV"/>
        </w:rPr>
        <w:t xml:space="preserve"> izlīdzināšanos un ar to saistīto procentu likmju starpību sarukumu. </w:t>
      </w:r>
      <w:r>
        <w:rPr>
          <w:noProof/>
          <w:lang w:val="lv-LV" w:eastAsia="lv-LV" w:bidi="lv-LV"/>
        </w:rPr>
        <w:t xml:space="preserve">Dažās dalībvalstīs ir vērojama kombinācija, ko veido zema rentabilitāte, salīdzinājumā ar citām valstīm zemi kapitāla rādītāji un augsts ieņēmumus nenesošu aizdevumu līmenis. </w:t>
      </w:r>
    </w:p>
    <w:p w:rsidR="003D03E9" w:rsidRDefault="00F77AE9">
      <w:pPr>
        <w:numPr>
          <w:ilvl w:val="0"/>
          <w:numId w:val="11"/>
        </w:numPr>
        <w:spacing w:before="120" w:after="120"/>
        <w:ind w:left="567" w:hanging="425"/>
        <w:jc w:val="both"/>
        <w:rPr>
          <w:rFonts w:ascii="Times New Roman" w:eastAsia="Calibri" w:hAnsi="Times New Roman" w:cs="Times New Roman"/>
          <w:noProof/>
          <w:lang w:val="lv-LV" w:eastAsia="lv-LV" w:bidi="lv-LV"/>
        </w:rPr>
      </w:pPr>
      <w:r>
        <w:rPr>
          <w:rFonts w:ascii="Times New Roman" w:hAnsi="Times New Roman"/>
          <w:b/>
          <w:noProof/>
          <w:lang w:val="lv-LV" w:eastAsia="lv-LV" w:bidi="lv-LV"/>
        </w:rPr>
        <w:t xml:space="preserve">INA apjoms </w:t>
      </w:r>
      <w:r>
        <w:rPr>
          <w:rFonts w:ascii="Times New Roman" w:hAnsi="Times New Roman"/>
          <w:b/>
          <w:noProof/>
          <w:lang w:val="lv-LV" w:eastAsia="lv-LV" w:bidi="lv-LV"/>
        </w:rPr>
        <w:t xml:space="preserve">vairākās dalībvalstīs joprojām ir liels. </w:t>
      </w:r>
      <w:r>
        <w:rPr>
          <w:rFonts w:ascii="Times New Roman" w:hAnsi="Times New Roman"/>
          <w:noProof/>
          <w:lang w:val="lv-LV" w:eastAsia="lv-LV" w:bidi="lv-LV"/>
        </w:rPr>
        <w:t>INA īpatsvars 2017. gadā jo īpaši liels bija Grieķijā un Kiprā, kur INA ir attiecīgi 45 % un 30 % no kopējiem aizdevumiem, un Itālijā, Portugālē, Bulgārijā, Īrijā un Horvātijā, kur INA apjoms ir tuvu 10 % no kopējie</w:t>
      </w:r>
      <w:r>
        <w:rPr>
          <w:rFonts w:ascii="Times New Roman" w:hAnsi="Times New Roman"/>
          <w:noProof/>
          <w:lang w:val="lv-LV" w:eastAsia="lv-LV" w:bidi="lv-LV"/>
        </w:rPr>
        <w:t xml:space="preserve">m aizdevumiem </w:t>
      </w:r>
      <w:r>
        <w:rPr>
          <w:rFonts w:ascii="Times New Roman" w:hAnsi="Times New Roman"/>
          <w:noProof/>
          <w:vertAlign w:val="superscript"/>
          <w:lang w:val="lv-LV" w:eastAsia="lv-LV" w:bidi="lv-LV"/>
        </w:rPr>
        <w:footnoteReference w:id="32"/>
      </w:r>
      <w:r>
        <w:rPr>
          <w:rFonts w:ascii="Times New Roman" w:hAnsi="Times New Roman"/>
          <w:noProof/>
          <w:lang w:val="lv-LV" w:eastAsia="lv-LV" w:bidi="lv-LV"/>
        </w:rPr>
        <w:t xml:space="preserve">. Pēc INA apjoma pieauguma pēckrīzes periodā tas ir sācis samazināties dažādā ātrumā visā ES. </w:t>
      </w:r>
      <w:r>
        <w:rPr>
          <w:rFonts w:ascii="Times New Roman" w:hAnsi="Times New Roman"/>
          <w:b/>
          <w:noProof/>
          <w:lang w:val="lv-LV" w:eastAsia="lv-LV" w:bidi="lv-LV"/>
        </w:rPr>
        <w:t>Jaunākie dati liecina,</w:t>
      </w:r>
      <w:r>
        <w:rPr>
          <w:rFonts w:ascii="Times New Roman" w:hAnsi="Times New Roman"/>
          <w:noProof/>
          <w:lang w:val="lv-LV" w:eastAsia="lv-LV" w:bidi="lv-LV"/>
        </w:rPr>
        <w:t xml:space="preserve"> </w:t>
      </w:r>
      <w:r>
        <w:rPr>
          <w:rFonts w:ascii="Times New Roman" w:hAnsi="Times New Roman"/>
          <w:b/>
          <w:noProof/>
          <w:lang w:val="lv-LV" w:eastAsia="lv-LV" w:bidi="lv-LV"/>
        </w:rPr>
        <w:t>ka turpinās progress INA apjoma samazināšanā</w:t>
      </w:r>
      <w:r>
        <w:rPr>
          <w:rFonts w:ascii="Times New Roman" w:hAnsi="Times New Roman"/>
          <w:noProof/>
          <w:lang w:val="lv-LV" w:eastAsia="lv-LV" w:bidi="lv-LV"/>
        </w:rPr>
        <w:t xml:space="preserve">, tostarp valstīs ar lielu INA īpatsvaru (izņemot Grieķiju), jo īpaši Portugālē </w:t>
      </w:r>
      <w:r>
        <w:rPr>
          <w:rFonts w:ascii="Times New Roman" w:hAnsi="Times New Roman"/>
          <w:noProof/>
          <w:lang w:val="lv-LV" w:eastAsia="lv-LV" w:bidi="lv-LV"/>
        </w:rPr>
        <w:t>un Itālijā (16. grafiks)</w:t>
      </w:r>
      <w:r>
        <w:rPr>
          <w:rFonts w:ascii="Times New Roman" w:hAnsi="Times New Roman"/>
          <w:noProof/>
          <w:vertAlign w:val="superscript"/>
          <w:lang w:val="lv-LV" w:eastAsia="lv-LV" w:bidi="lv-LV"/>
        </w:rPr>
        <w:footnoteReference w:id="33"/>
      </w:r>
      <w:r>
        <w:rPr>
          <w:rFonts w:ascii="Times New Roman" w:hAnsi="Times New Roman"/>
          <w:noProof/>
          <w:lang w:val="lv-LV" w:eastAsia="lv-LV" w:bidi="lv-LV"/>
        </w:rPr>
        <w:t xml:space="preserve">. </w:t>
      </w:r>
    </w:p>
    <w:p w:rsidR="003D03E9" w:rsidRDefault="003D03E9">
      <w:pPr>
        <w:spacing w:before="120" w:after="120"/>
        <w:ind w:left="720"/>
        <w:jc w:val="both"/>
        <w:rPr>
          <w:rFonts w:ascii="Times New Roman" w:eastAsia="Times New Roman" w:hAnsi="Times New Roman" w:cs="Times New Roman"/>
          <w:noProof/>
          <w:sz w:val="24"/>
          <w:szCs w:val="24"/>
          <w:lang w:val="lv-LV" w:eastAsia="lv-LV" w:bidi="lv-LV"/>
        </w:rPr>
      </w:pPr>
    </w:p>
    <w:tbl>
      <w:tblPr>
        <w:tblW w:w="0" w:type="auto"/>
        <w:tblLook w:val="04A0" w:firstRow="1" w:lastRow="0" w:firstColumn="1" w:lastColumn="0" w:noHBand="0" w:noVBand="1"/>
      </w:tblPr>
      <w:tblGrid>
        <w:gridCol w:w="4643"/>
        <w:gridCol w:w="4643"/>
      </w:tblGrid>
      <w:tr w:rsidR="003D03E9" w:rsidRPr="00F77AE9">
        <w:tc>
          <w:tcPr>
            <w:tcW w:w="4643" w:type="dxa"/>
            <w:hideMark/>
          </w:tcPr>
          <w:p w:rsidR="003D03E9" w:rsidRDefault="00F77AE9">
            <w:pPr>
              <w:keepNext/>
              <w:spacing w:before="120" w:after="120"/>
              <w:jc w:val="center"/>
              <w:rPr>
                <w:rFonts w:eastAsia="MS Mincho"/>
                <w:b/>
                <w:bCs/>
                <w:noProof/>
                <w:lang w:val="lv-LV" w:eastAsia="lv-LV" w:bidi="lv-LV"/>
              </w:rPr>
            </w:pPr>
            <w:r>
              <w:rPr>
                <w:b/>
                <w:noProof/>
                <w:lang w:val="lv-LV" w:eastAsia="lv-LV" w:bidi="lv-LV"/>
              </w:rPr>
              <w:t>15. grafiks. Banku rentabilitāte un kapitāla attiecības</w:t>
            </w:r>
          </w:p>
        </w:tc>
        <w:tc>
          <w:tcPr>
            <w:tcW w:w="4643" w:type="dxa"/>
          </w:tcPr>
          <w:p w:rsidR="003D03E9" w:rsidRDefault="00F77AE9">
            <w:pPr>
              <w:spacing w:before="120" w:after="120"/>
              <w:jc w:val="center"/>
              <w:rPr>
                <w:noProof/>
                <w:sz w:val="24"/>
                <w:szCs w:val="24"/>
                <w:lang w:val="lv-LV" w:eastAsia="lv-LV" w:bidi="lv-LV"/>
              </w:rPr>
            </w:pPr>
            <w:r>
              <w:rPr>
                <w:b/>
                <w:noProof/>
                <w:lang w:val="lv-LV" w:eastAsia="lv-LV" w:bidi="lv-LV"/>
              </w:rPr>
              <w:t>16. grafiks. Ieņēmumus nenesoši parāda instrumenti</w:t>
            </w:r>
          </w:p>
        </w:tc>
      </w:tr>
      <w:tr w:rsidR="003D03E9">
        <w:tc>
          <w:tcPr>
            <w:tcW w:w="4643" w:type="dxa"/>
            <w:hideMark/>
          </w:tcPr>
          <w:p w:rsidR="003D03E9" w:rsidRDefault="00F77AE9">
            <w:pPr>
              <w:spacing w:before="120" w:after="120"/>
              <w:jc w:val="both"/>
              <w:rPr>
                <w:noProof/>
                <w:sz w:val="24"/>
                <w:szCs w:val="24"/>
                <w:lang w:val="lv-LV" w:eastAsia="lv-LV" w:bidi="lv-LV"/>
              </w:rPr>
            </w:pPr>
            <w:r>
              <w:rPr>
                <w:noProof/>
                <w:sz w:val="24"/>
                <w:szCs w:val="24"/>
                <w:lang w:eastAsia="en-GB"/>
              </w:rPr>
              <w:drawing>
                <wp:inline distT="0" distB="0" distL="0" distR="0">
                  <wp:extent cx="2773680" cy="3035935"/>
                  <wp:effectExtent l="0" t="0" r="762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73680" cy="3035935"/>
                          </a:xfrm>
                          <a:prstGeom prst="rect">
                            <a:avLst/>
                          </a:prstGeom>
                          <a:noFill/>
                        </pic:spPr>
                      </pic:pic>
                    </a:graphicData>
                  </a:graphic>
                </wp:inline>
              </w:drawing>
            </w:r>
          </w:p>
        </w:tc>
        <w:tc>
          <w:tcPr>
            <w:tcW w:w="4643" w:type="dxa"/>
            <w:hideMark/>
          </w:tcPr>
          <w:p w:rsidR="003D03E9" w:rsidRDefault="00F77AE9">
            <w:pPr>
              <w:spacing w:before="120" w:after="120"/>
              <w:jc w:val="both"/>
              <w:rPr>
                <w:noProof/>
                <w:sz w:val="24"/>
                <w:szCs w:val="24"/>
                <w:lang w:val="lv-LV" w:eastAsia="lv-LV" w:bidi="lv-LV"/>
              </w:rPr>
            </w:pPr>
            <w:r>
              <w:rPr>
                <w:noProof/>
                <w:sz w:val="24"/>
                <w:szCs w:val="24"/>
                <w:lang w:eastAsia="en-GB"/>
              </w:rPr>
              <w:drawing>
                <wp:inline distT="0" distB="0" distL="0" distR="0">
                  <wp:extent cx="2804160" cy="301180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04160" cy="3011805"/>
                          </a:xfrm>
                          <a:prstGeom prst="rect">
                            <a:avLst/>
                          </a:prstGeom>
                          <a:noFill/>
                        </pic:spPr>
                      </pic:pic>
                    </a:graphicData>
                  </a:graphic>
                </wp:inline>
              </w:drawing>
            </w:r>
          </w:p>
        </w:tc>
      </w:tr>
    </w:tbl>
    <w:p w:rsidR="003D03E9" w:rsidRDefault="00F77AE9">
      <w:pPr>
        <w:keepNext/>
        <w:spacing w:after="0"/>
        <w:jc w:val="both"/>
        <w:rPr>
          <w:rFonts w:ascii="Times New Roman" w:eastAsia="Times New Roman" w:hAnsi="Times New Roman" w:cs="Times New Roman"/>
          <w:noProof/>
          <w:sz w:val="20"/>
          <w:szCs w:val="20"/>
          <w:lang w:val="lv-LV" w:eastAsia="lv-LV" w:bidi="lv-LV"/>
        </w:rPr>
      </w:pPr>
      <w:r>
        <w:rPr>
          <w:rFonts w:ascii="Times New Roman" w:hAnsi="Times New Roman"/>
          <w:i/>
          <w:noProof/>
          <w:sz w:val="20"/>
          <w:lang w:val="lv-LV" w:eastAsia="lv-LV" w:bidi="lv-LV"/>
        </w:rPr>
        <w:t>Avoti:</w:t>
      </w:r>
      <w:r>
        <w:rPr>
          <w:rFonts w:ascii="Times New Roman" w:hAnsi="Times New Roman"/>
          <w:noProof/>
          <w:sz w:val="20"/>
          <w:lang w:val="lv-LV" w:eastAsia="lv-LV" w:bidi="lv-LV"/>
        </w:rPr>
        <w:t xml:space="preserve"> ECB, Komisijas dienestu aprēķini.</w:t>
      </w:r>
    </w:p>
    <w:p w:rsidR="003D03E9" w:rsidRDefault="00F77AE9">
      <w:pPr>
        <w:spacing w:after="0"/>
        <w:jc w:val="both"/>
        <w:rPr>
          <w:rFonts w:ascii="Times New Roman" w:eastAsia="Times New Roman" w:hAnsi="Times New Roman" w:cs="Times New Roman"/>
          <w:noProof/>
          <w:sz w:val="20"/>
          <w:szCs w:val="20"/>
          <w:lang w:val="lv-LV" w:eastAsia="lv-LV" w:bidi="lv-LV"/>
        </w:rPr>
      </w:pPr>
      <w:r>
        <w:rPr>
          <w:rFonts w:ascii="Times New Roman" w:hAnsi="Times New Roman"/>
          <w:i/>
          <w:noProof/>
          <w:sz w:val="20"/>
          <w:lang w:val="lv-LV" w:eastAsia="lv-LV" w:bidi="lv-LV"/>
        </w:rPr>
        <w:t>Piezīmes:</w:t>
      </w:r>
      <w:r>
        <w:rPr>
          <w:rFonts w:ascii="Times New Roman" w:hAnsi="Times New Roman"/>
          <w:noProof/>
          <w:sz w:val="24"/>
          <w:lang w:val="lv-LV" w:eastAsia="lv-LV" w:bidi="lv-LV"/>
        </w:rPr>
        <w:t xml:space="preserve"> </w:t>
      </w:r>
      <w:r>
        <w:rPr>
          <w:rFonts w:ascii="Times New Roman" w:hAnsi="Times New Roman"/>
          <w:noProof/>
          <w:sz w:val="20"/>
          <w:lang w:val="lv-LV" w:eastAsia="lv-LV" w:bidi="lv-LV"/>
        </w:rPr>
        <w:t>2008. gada dati par ieņēmumus nenesošu parāda instrumentu bruto</w:t>
      </w:r>
      <w:r>
        <w:rPr>
          <w:rFonts w:ascii="Times New Roman" w:hAnsi="Times New Roman"/>
          <w:noProof/>
          <w:sz w:val="20"/>
          <w:lang w:val="lv-LV" w:eastAsia="lv-LV" w:bidi="lv-LV"/>
        </w:rPr>
        <w:t xml:space="preserve"> vērtību nav pieejami par CZ, HR, SE un SI.</w:t>
      </w:r>
    </w:p>
    <w:p w:rsidR="003D03E9" w:rsidRDefault="003D03E9">
      <w:pPr>
        <w:spacing w:before="120" w:after="120"/>
        <w:rPr>
          <w:rFonts w:ascii="Times New Roman" w:eastAsia="Times New Roman" w:hAnsi="Times New Roman" w:cs="Times New Roman"/>
          <w:b/>
          <w:noProof/>
          <w:sz w:val="24"/>
          <w:szCs w:val="24"/>
          <w:lang w:val="lv-LV" w:eastAsia="lv-LV" w:bidi="lv-LV"/>
        </w:rPr>
      </w:pPr>
    </w:p>
    <w:p w:rsidR="003D03E9" w:rsidRDefault="00F77AE9">
      <w:pPr>
        <w:spacing w:before="120" w:after="120"/>
        <w:jc w:val="both"/>
        <w:rPr>
          <w:rFonts w:ascii="Times New Roman" w:eastAsia="Times New Roman" w:hAnsi="Times New Roman" w:cs="Times New Roman"/>
          <w:noProof/>
          <w:lang w:val="lv-LV" w:eastAsia="lv-LV" w:bidi="lv-LV"/>
        </w:rPr>
      </w:pPr>
      <w:r>
        <w:rPr>
          <w:rFonts w:ascii="Times New Roman" w:hAnsi="Times New Roman"/>
          <w:b/>
          <w:noProof/>
          <w:lang w:val="lv-LV" w:eastAsia="lv-LV" w:bidi="lv-LV"/>
        </w:rPr>
        <w:t>Mājokļu cenas 2017. gadā palielinājās gandrīz visās ES valstīs, bet mājokļu cenu pieauguma temps, šķiet, kļūst mērenāks valstīs, kurās pārāk augsta novērtējuma pazīmes ir visizteiktākās.</w:t>
      </w:r>
      <w:r>
        <w:rPr>
          <w:rFonts w:ascii="Times New Roman" w:hAnsi="Times New Roman"/>
          <w:noProof/>
          <w:lang w:val="lv-LV" w:eastAsia="lv-LV" w:bidi="lv-LV"/>
        </w:rPr>
        <w:t xml:space="preserve"> Lai gan mājokļu cenas pastāvīgi pieauga visā ES, 2017. gada dati liecina par to, ka salīdzinājumā ar 2016. gadu bija mazāk valstu, kurās mājokļu cenu pieaugums pārsniedza rādītāju kopsavilkumā noteikto robežvērtību. 2017. gadā tikai sešās valstīs (Bulgāri</w:t>
      </w:r>
      <w:r>
        <w:rPr>
          <w:rFonts w:ascii="Times New Roman" w:hAnsi="Times New Roman"/>
          <w:noProof/>
          <w:lang w:val="lv-LV" w:eastAsia="lv-LV" w:bidi="lv-LV"/>
        </w:rPr>
        <w:t>jā, Čehijā, Īrijā, Nīderlandē, Portugālē un Slovēnijā) tika konstatētas vērtības, kas pārsniedz robežvērtību, savukārt 2018. gada BMZ šādas vērtības tika konstatētas desmit valstīs, pamatojoties uz 2016. gada datiem. Šīs izmaiņas atspoguļo vidēju līdz mēre</w:t>
      </w:r>
      <w:r>
        <w:rPr>
          <w:rFonts w:ascii="Times New Roman" w:hAnsi="Times New Roman"/>
          <w:noProof/>
          <w:lang w:val="lv-LV" w:eastAsia="lv-LV" w:bidi="lv-LV"/>
        </w:rPr>
        <w:t>nu pieauguma tempa palēninājumu vērtībām, kas ir virs robežvērtības, un paātrinājumu dažās valstīs. Negatīvs mājokļu reālo cenu pieaugums 2017. gadā tika konstatēts tikai Grieķijā un Itālijā. Jaunākie dati liecina, ka pieauguma temps 2018. gada pirmajā pus</w:t>
      </w:r>
      <w:r>
        <w:rPr>
          <w:rFonts w:ascii="Times New Roman" w:hAnsi="Times New Roman"/>
          <w:noProof/>
          <w:lang w:val="lv-LV" w:eastAsia="lv-LV" w:bidi="lv-LV"/>
        </w:rPr>
        <w:t>ē (salīdzinājumā ar laikposmu pirms gada) Ungārijā, Īrijā, Latvijā, Nīderlandē, Portugālē, Slovākijā un Slovēnijā bija virs rādītāju kopsavilkumā noteiktās robežvērtības, proti, 6 %.</w:t>
      </w:r>
    </w:p>
    <w:p w:rsidR="003D03E9" w:rsidRDefault="00F77AE9">
      <w:pPr>
        <w:numPr>
          <w:ilvl w:val="0"/>
          <w:numId w:val="11"/>
        </w:numPr>
        <w:spacing w:before="120" w:after="120"/>
        <w:ind w:left="567" w:hanging="425"/>
        <w:jc w:val="both"/>
        <w:rPr>
          <w:rFonts w:ascii="Times New Roman" w:eastAsia="Times New Roman" w:hAnsi="Times New Roman" w:cs="Times New Roman"/>
          <w:noProof/>
          <w:lang w:val="lv-LV" w:eastAsia="lv-LV" w:bidi="lv-LV"/>
        </w:rPr>
      </w:pPr>
      <w:r>
        <w:rPr>
          <w:rFonts w:ascii="Times New Roman" w:hAnsi="Times New Roman"/>
          <w:noProof/>
          <w:lang w:val="lv-LV" w:eastAsia="lv-LV" w:bidi="lv-LV"/>
        </w:rPr>
        <w:t xml:space="preserve">Ieilgušā un noturīgā mājokļu reālo cenu pieauguma tempa rezultātā </w:t>
      </w:r>
      <w:r>
        <w:rPr>
          <w:rFonts w:ascii="Times New Roman" w:hAnsi="Times New Roman"/>
          <w:b/>
          <w:noProof/>
          <w:lang w:val="lv-LV" w:eastAsia="lv-LV" w:bidi="lv-LV"/>
        </w:rPr>
        <w:t>mājokļu</w:t>
      </w:r>
      <w:r>
        <w:rPr>
          <w:rFonts w:ascii="Times New Roman" w:hAnsi="Times New Roman"/>
          <w:b/>
          <w:noProof/>
          <w:lang w:val="lv-LV" w:eastAsia="lv-LV" w:bidi="lv-LV"/>
        </w:rPr>
        <w:t xml:space="preserve"> cenas</w:t>
      </w:r>
      <w:r>
        <w:rPr>
          <w:rFonts w:ascii="Times New Roman" w:hAnsi="Times New Roman"/>
          <w:noProof/>
          <w:lang w:val="lv-LV" w:eastAsia="lv-LV" w:bidi="lv-LV"/>
        </w:rPr>
        <w:t xml:space="preserve"> vairākās valstīs, proti, Austrijā, Beļģijā, Čehijā, Vācijā, Luksemburgā, Maltā un Zviedrijā, </w:t>
      </w:r>
      <w:r>
        <w:rPr>
          <w:rFonts w:ascii="Times New Roman" w:hAnsi="Times New Roman"/>
          <w:b/>
          <w:noProof/>
          <w:lang w:val="lv-LV" w:eastAsia="lv-LV" w:bidi="lv-LV"/>
        </w:rPr>
        <w:t>ir sasniegušas vai pārsniegušas pirmskrīzes maksimālo līmeni</w:t>
      </w:r>
      <w:r>
        <w:rPr>
          <w:rFonts w:ascii="Times New Roman" w:hAnsi="Times New Roman"/>
          <w:noProof/>
          <w:lang w:val="lv-LV" w:eastAsia="lv-LV" w:bidi="lv-LV"/>
        </w:rPr>
        <w:t>. Mājokļu reālo cenu pieauguma temps, kas pārsniedz ienākumu un citu attiecīgo to mainīgo lielum</w:t>
      </w:r>
      <w:r>
        <w:rPr>
          <w:rFonts w:ascii="Times New Roman" w:hAnsi="Times New Roman"/>
          <w:noProof/>
          <w:lang w:val="lv-LV" w:eastAsia="lv-LV" w:bidi="lv-LV"/>
        </w:rPr>
        <w:t xml:space="preserve">u pieauguma tempu, kuri parasti nosaka mājokļu cenas, </w:t>
      </w:r>
      <w:r>
        <w:rPr>
          <w:rFonts w:ascii="Times New Roman" w:hAnsi="Times New Roman"/>
          <w:b/>
          <w:noProof/>
          <w:lang w:val="lv-LV" w:eastAsia="lv-LV" w:bidi="lv-LV"/>
        </w:rPr>
        <w:t>arvien vairākās valstīs</w:t>
      </w:r>
      <w:r>
        <w:rPr>
          <w:rFonts w:ascii="Times New Roman" w:hAnsi="Times New Roman"/>
          <w:noProof/>
          <w:lang w:val="lv-LV" w:eastAsia="lv-LV" w:bidi="lv-LV"/>
        </w:rPr>
        <w:t xml:space="preserve"> liek mājokļu cenām sasniegt tādu līmeni, kurā mājokļi, </w:t>
      </w:r>
      <w:r>
        <w:rPr>
          <w:rFonts w:ascii="Times New Roman" w:hAnsi="Times New Roman"/>
          <w:b/>
          <w:noProof/>
          <w:lang w:val="lv-LV" w:eastAsia="lv-LV" w:bidi="lv-LV"/>
        </w:rPr>
        <w:t>iespējams, tiek novērtēti pārāk augstu</w:t>
      </w:r>
      <w:r>
        <w:rPr>
          <w:rFonts w:ascii="Times New Roman" w:hAnsi="Times New Roman"/>
          <w:noProof/>
          <w:lang w:val="lv-LV" w:eastAsia="lv-LV" w:bidi="lv-LV"/>
        </w:rPr>
        <w:t xml:space="preserve"> (17. grafiks)</w:t>
      </w:r>
      <w:r>
        <w:rPr>
          <w:rFonts w:ascii="Times New Roman" w:hAnsi="Times New Roman"/>
          <w:noProof/>
          <w:vertAlign w:val="superscript"/>
          <w:lang w:val="lv-LV" w:eastAsia="lv-LV" w:bidi="lv-LV"/>
        </w:rPr>
        <w:footnoteReference w:id="34"/>
      </w:r>
      <w:r>
        <w:rPr>
          <w:rFonts w:ascii="Times New Roman" w:hAnsi="Times New Roman"/>
          <w:noProof/>
          <w:lang w:val="lv-LV" w:eastAsia="lv-LV" w:bidi="lv-LV"/>
        </w:rPr>
        <w:t xml:space="preserve">. </w:t>
      </w:r>
    </w:p>
    <w:p w:rsidR="003D03E9" w:rsidRDefault="00F77AE9">
      <w:pPr>
        <w:numPr>
          <w:ilvl w:val="0"/>
          <w:numId w:val="11"/>
        </w:numPr>
        <w:spacing w:before="120" w:after="120"/>
        <w:ind w:left="567" w:hanging="425"/>
        <w:jc w:val="both"/>
        <w:rPr>
          <w:rFonts w:ascii="Times New Roman" w:eastAsia="Times New Roman" w:hAnsi="Times New Roman" w:cs="Times New Roman"/>
          <w:noProof/>
          <w:lang w:val="lv-LV" w:eastAsia="lv-LV" w:bidi="lv-LV"/>
        </w:rPr>
      </w:pPr>
      <w:r>
        <w:rPr>
          <w:rFonts w:ascii="Times New Roman" w:hAnsi="Times New Roman"/>
          <w:noProof/>
          <w:lang w:val="lv-LV" w:eastAsia="lv-LV" w:bidi="lv-LV"/>
        </w:rPr>
        <w:t xml:space="preserve">Mājokļu reālo cenu pieauguma </w:t>
      </w:r>
      <w:r>
        <w:rPr>
          <w:rFonts w:ascii="Times New Roman" w:hAnsi="Times New Roman"/>
          <w:b/>
          <w:noProof/>
          <w:lang w:val="lv-LV" w:eastAsia="lv-LV" w:bidi="lv-LV"/>
        </w:rPr>
        <w:t>paātrinājums</w:t>
      </w:r>
      <w:r>
        <w:rPr>
          <w:rFonts w:ascii="Times New Roman" w:hAnsi="Times New Roman"/>
          <w:noProof/>
          <w:lang w:val="lv-LV" w:eastAsia="lv-LV" w:bidi="lv-LV"/>
        </w:rPr>
        <w:t xml:space="preserve"> 2017. gadā bija jo īpaši </w:t>
      </w:r>
      <w:r>
        <w:rPr>
          <w:rFonts w:ascii="Times New Roman" w:hAnsi="Times New Roman"/>
          <w:b/>
          <w:noProof/>
          <w:lang w:val="lv-LV" w:eastAsia="lv-LV" w:bidi="lv-LV"/>
        </w:rPr>
        <w:t>valstīs, kurās ir negatīvas vai nedaudz pozitīvas vērtības starpības</w:t>
      </w:r>
      <w:r>
        <w:rPr>
          <w:rFonts w:ascii="Times New Roman" w:hAnsi="Times New Roman"/>
          <w:noProof/>
          <w:lang w:val="lv-LV" w:eastAsia="lv-LV" w:bidi="lv-LV"/>
        </w:rPr>
        <w:t xml:space="preserve"> (18. grafiks).</w:t>
      </w:r>
      <w:r>
        <w:rPr>
          <w:noProof/>
          <w:lang w:val="lv-LV" w:eastAsia="lv-LV" w:bidi="lv-LV"/>
        </w:rPr>
        <w:t xml:space="preserve"> </w:t>
      </w:r>
      <w:r>
        <w:rPr>
          <w:rFonts w:ascii="Times New Roman" w:hAnsi="Times New Roman"/>
          <w:noProof/>
          <w:lang w:val="lv-LV" w:eastAsia="lv-LV" w:bidi="lv-LV"/>
        </w:rPr>
        <w:t xml:space="preserve">Turpretī cenu pieauguma </w:t>
      </w:r>
      <w:r>
        <w:rPr>
          <w:rFonts w:ascii="Times New Roman" w:hAnsi="Times New Roman"/>
          <w:b/>
          <w:noProof/>
          <w:lang w:val="lv-LV" w:eastAsia="lv-LV" w:bidi="lv-LV"/>
        </w:rPr>
        <w:t>palēninājums</w:t>
      </w:r>
      <w:r>
        <w:rPr>
          <w:rFonts w:ascii="Times New Roman" w:hAnsi="Times New Roman"/>
          <w:noProof/>
          <w:lang w:val="lv-LV" w:eastAsia="lv-LV" w:bidi="lv-LV"/>
        </w:rPr>
        <w:t xml:space="preserve"> tika novērots </w:t>
      </w:r>
      <w:r>
        <w:rPr>
          <w:rFonts w:ascii="Times New Roman" w:hAnsi="Times New Roman"/>
          <w:b/>
          <w:noProof/>
          <w:lang w:val="lv-LV" w:eastAsia="lv-LV" w:bidi="lv-LV"/>
        </w:rPr>
        <w:t>valstīs, kurās bija spēcīgākas pārāk augsta novērtējuma pazīmes</w:t>
      </w:r>
      <w:r>
        <w:rPr>
          <w:rFonts w:ascii="Times New Roman" w:hAnsi="Times New Roman"/>
          <w:noProof/>
          <w:lang w:val="lv-LV" w:eastAsia="lv-LV" w:bidi="lv-LV"/>
        </w:rPr>
        <w:t>,</w:t>
      </w:r>
      <w:r>
        <w:rPr>
          <w:noProof/>
          <w:lang w:val="lv-LV" w:eastAsia="lv-LV" w:bidi="lv-LV"/>
        </w:rPr>
        <w:t xml:space="preserve"> tostarp ņemot vērā pieejamības cenas ziņā ierobežojumus,</w:t>
      </w:r>
      <w:r>
        <w:rPr>
          <w:noProof/>
          <w:lang w:val="lv-LV" w:eastAsia="lv-LV" w:bidi="lv-LV"/>
        </w:rPr>
        <w:t xml:space="preserve"> makroprudenciālas politikas īstenošanu un mehānisko ietekmi uz mājokļu reālo cenu pieaugumu saistībā ar </w:t>
      </w:r>
      <w:r>
        <w:rPr>
          <w:rFonts w:ascii="Times New Roman" w:hAnsi="Times New Roman"/>
          <w:noProof/>
          <w:lang w:val="lv-LV" w:eastAsia="lv-LV" w:bidi="lv-LV"/>
        </w:rPr>
        <w:t>inflācijas līmeņa paaugstināšanos (piemēram, Austrijā, Luksemburgā un Apvienotajā Karalistē). Pašlaik lielākais mājokļu cenu pieauguma temps ir reģistr</w:t>
      </w:r>
      <w:r>
        <w:rPr>
          <w:rFonts w:ascii="Times New Roman" w:hAnsi="Times New Roman"/>
          <w:noProof/>
          <w:lang w:val="lv-LV" w:eastAsia="lv-LV" w:bidi="lv-LV"/>
        </w:rPr>
        <w:t xml:space="preserve">ēts valstīs, kurās pārāk augstais novērtējums ir mērens vai tā nav vispār. Ceturkšņa dati, arī attiecībā uz 2018. gada sākumu, liecina par paātrinājumiem Igaunijā, Horvātijā, Ungārijā, Polijā, Portugālē, Slovēnijā un Slovākijā. Palēninājumi ir vērojami jo </w:t>
      </w:r>
      <w:r>
        <w:rPr>
          <w:rFonts w:ascii="Times New Roman" w:hAnsi="Times New Roman"/>
          <w:noProof/>
          <w:lang w:val="lv-LV" w:eastAsia="lv-LV" w:bidi="lv-LV"/>
        </w:rPr>
        <w:t>īpaši Bulgārijā, Čehijā, Rumānijā un Zviedrijā, kur mājokļu cenu pieaugums 2018. gada pirmajā pusē bija negatīvs salīdzinājumā ar iepriekšējo gadu</w:t>
      </w:r>
      <w:r>
        <w:rPr>
          <w:rFonts w:ascii="Times New Roman" w:hAnsi="Times New Roman"/>
          <w:noProof/>
          <w:vertAlign w:val="superscript"/>
          <w:lang w:val="lv-LV" w:eastAsia="lv-LV" w:bidi="lv-LV"/>
        </w:rPr>
        <w:footnoteReference w:id="35"/>
      </w:r>
      <w:r>
        <w:rPr>
          <w:rFonts w:ascii="Times New Roman" w:hAnsi="Times New Roman"/>
          <w:noProof/>
          <w:lang w:val="lv-LV" w:eastAsia="lv-LV" w:bidi="lv-LV"/>
        </w:rPr>
        <w:t>. Īrijā, Portugālē un Slovēnijā 2018. gada pirmajā pusē reģistrētais pieauguma temps salīdzinājumā ar laikpos</w:t>
      </w:r>
      <w:r>
        <w:rPr>
          <w:rFonts w:ascii="Times New Roman" w:hAnsi="Times New Roman"/>
          <w:noProof/>
          <w:lang w:val="lv-LV" w:eastAsia="lv-LV" w:bidi="lv-LV"/>
        </w:rPr>
        <w:t>mu pirms gada bija izsakāms ar divciparu skaitli.</w:t>
      </w:r>
    </w:p>
    <w:p w:rsidR="003D03E9" w:rsidRDefault="00F77AE9">
      <w:pPr>
        <w:numPr>
          <w:ilvl w:val="0"/>
          <w:numId w:val="11"/>
        </w:numPr>
        <w:spacing w:before="120" w:after="120"/>
        <w:ind w:left="567" w:hanging="425"/>
        <w:jc w:val="both"/>
        <w:rPr>
          <w:rFonts w:ascii="Times New Roman" w:eastAsia="Times New Roman" w:hAnsi="Times New Roman" w:cs="Times New Roman"/>
          <w:noProof/>
          <w:lang w:val="lv-LV" w:eastAsia="lv-LV" w:bidi="lv-LV"/>
        </w:rPr>
      </w:pPr>
      <w:r>
        <w:rPr>
          <w:noProof/>
          <w:lang w:val="lv-LV" w:eastAsia="lv-LV" w:bidi="lv-LV"/>
        </w:rPr>
        <w:t xml:space="preserve">Vairākās valstīs, tostarp Dānijā, Luksemburgā, Zviedrijā un Apvienotajā Karalistē, </w:t>
      </w:r>
      <w:r>
        <w:rPr>
          <w:b/>
          <w:noProof/>
          <w:lang w:val="lv-LV" w:eastAsia="lv-LV" w:bidi="lv-LV"/>
        </w:rPr>
        <w:t>vienlaikus ir gan pārāk augstu novērtētas mājokļu cenas, gan liels mājsaimniecību parāda līmenis</w:t>
      </w:r>
      <w:r>
        <w:rPr>
          <w:noProof/>
          <w:lang w:val="lv-LV" w:eastAsia="lv-LV" w:bidi="lv-LV"/>
        </w:rPr>
        <w:t xml:space="preserve">. Nīderlandē ir ļoti liels </w:t>
      </w:r>
      <w:r>
        <w:rPr>
          <w:noProof/>
          <w:lang w:val="lv-LV" w:eastAsia="lv-LV" w:bidi="lv-LV"/>
        </w:rPr>
        <w:t>mājsaimniecību parāds. Hipotekāro kredītu apjoma pieaugums Austrijā, Beļģijā, Bulgārijā, Čehijā, Igaunijā, Francijā, Lietuvā, Luksemburgā, Maltā, Polijā, Rumānijā un Slovākijā 2017. gadā bija īpaši straujš (vairāk nekā 5 % salīdzinājumā ar iepriekšējo gadu</w:t>
      </w:r>
      <w:r>
        <w:rPr>
          <w:noProof/>
          <w:lang w:val="lv-LV" w:eastAsia="lv-LV" w:bidi="lv-LV"/>
        </w:rPr>
        <w:t xml:space="preserve">). </w:t>
      </w:r>
    </w:p>
    <w:p w:rsidR="003D03E9" w:rsidRDefault="003D03E9">
      <w:pPr>
        <w:spacing w:before="120" w:after="120"/>
        <w:jc w:val="both"/>
        <w:rPr>
          <w:rFonts w:ascii="Times New Roman" w:eastAsia="Times New Roman" w:hAnsi="Times New Roman" w:cs="Times New Roman"/>
          <w:noProof/>
          <w:lang w:val="lv-LV" w:eastAsia="lv-LV" w:bidi="lv-LV"/>
        </w:rPr>
      </w:pPr>
    </w:p>
    <w:tbl>
      <w:tblPr>
        <w:tblW w:w="0" w:type="auto"/>
        <w:tblLook w:val="04A0" w:firstRow="1" w:lastRow="0" w:firstColumn="1" w:lastColumn="0" w:noHBand="0" w:noVBand="1"/>
      </w:tblPr>
      <w:tblGrid>
        <w:gridCol w:w="4696"/>
        <w:gridCol w:w="4592"/>
      </w:tblGrid>
      <w:tr w:rsidR="003D03E9" w:rsidRPr="00F77AE9">
        <w:tc>
          <w:tcPr>
            <w:tcW w:w="4644" w:type="dxa"/>
          </w:tcPr>
          <w:p w:rsidR="003D03E9" w:rsidRDefault="00F77AE9">
            <w:pPr>
              <w:keepNext/>
              <w:spacing w:before="120" w:after="120"/>
              <w:jc w:val="both"/>
              <w:rPr>
                <w:rFonts w:ascii="Times New Roman" w:eastAsia="MS Mincho" w:hAnsi="Times New Roman" w:cs="Times New Roman"/>
                <w:b/>
                <w:bCs/>
                <w:noProof/>
                <w:lang w:val="lv-LV" w:eastAsia="lv-LV" w:bidi="lv-LV"/>
              </w:rPr>
            </w:pPr>
            <w:r>
              <w:rPr>
                <w:rFonts w:ascii="Times New Roman" w:hAnsi="Times New Roman"/>
                <w:b/>
                <w:noProof/>
                <w:lang w:val="lv-LV" w:eastAsia="lv-LV" w:bidi="lv-LV"/>
              </w:rPr>
              <w:t>17. grafiks. Mājokļu cenu izmaiņas un vērtības starpības 2017. gadā</w:t>
            </w:r>
          </w:p>
        </w:tc>
        <w:tc>
          <w:tcPr>
            <w:tcW w:w="4644" w:type="dxa"/>
          </w:tcPr>
          <w:p w:rsidR="003D03E9" w:rsidRDefault="00F77AE9">
            <w:pPr>
              <w:keepNext/>
              <w:spacing w:before="120" w:after="120"/>
              <w:jc w:val="both"/>
              <w:rPr>
                <w:rFonts w:ascii="Times New Roman" w:eastAsia="MS Mincho" w:hAnsi="Times New Roman" w:cs="Times New Roman"/>
                <w:b/>
                <w:bCs/>
                <w:noProof/>
                <w:lang w:val="lv-LV" w:eastAsia="lv-LV" w:bidi="lv-LV"/>
              </w:rPr>
            </w:pPr>
            <w:r>
              <w:rPr>
                <w:rFonts w:ascii="Times New Roman" w:hAnsi="Times New Roman"/>
                <w:b/>
                <w:noProof/>
                <w:lang w:val="lv-LV" w:eastAsia="lv-LV" w:bidi="lv-LV"/>
              </w:rPr>
              <w:t>18. grafiks. Vērtības starpības un cenu pieauguma izmaiņas no 2016. līdz 2017. gadam</w:t>
            </w:r>
          </w:p>
        </w:tc>
      </w:tr>
      <w:tr w:rsidR="003D03E9">
        <w:tc>
          <w:tcPr>
            <w:tcW w:w="4644" w:type="dxa"/>
          </w:tcPr>
          <w:p w:rsidR="003D03E9" w:rsidRDefault="00F77AE9">
            <w:pPr>
              <w:keepNext/>
              <w:spacing w:before="120" w:after="120"/>
              <w:jc w:val="center"/>
              <w:rPr>
                <w:rFonts w:ascii="Times New Roman" w:eastAsia="MS Mincho" w:hAnsi="Times New Roman" w:cs="Times New Roman"/>
                <w:b/>
                <w:bCs/>
                <w:noProof/>
                <w:lang w:val="lv-LV" w:eastAsia="lv-LV" w:bidi="lv-LV"/>
              </w:rPr>
            </w:pPr>
            <w:r>
              <w:rPr>
                <w:rFonts w:ascii="Times New Roman" w:eastAsia="MS Mincho" w:hAnsi="Times New Roman" w:cs="Times New Roman"/>
                <w:b/>
                <w:bCs/>
                <w:noProof/>
                <w:lang w:eastAsia="en-GB"/>
              </w:rPr>
              <w:drawing>
                <wp:inline distT="0" distB="0" distL="0" distR="0">
                  <wp:extent cx="2883535" cy="300545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83535" cy="3005455"/>
                          </a:xfrm>
                          <a:prstGeom prst="rect">
                            <a:avLst/>
                          </a:prstGeom>
                          <a:noFill/>
                        </pic:spPr>
                      </pic:pic>
                    </a:graphicData>
                  </a:graphic>
                </wp:inline>
              </w:drawing>
            </w:r>
          </w:p>
        </w:tc>
        <w:tc>
          <w:tcPr>
            <w:tcW w:w="4644" w:type="dxa"/>
          </w:tcPr>
          <w:p w:rsidR="003D03E9" w:rsidRDefault="00F77AE9">
            <w:pPr>
              <w:keepNext/>
              <w:spacing w:before="120" w:after="120"/>
              <w:jc w:val="center"/>
              <w:rPr>
                <w:rFonts w:ascii="Times New Roman" w:eastAsia="MS Mincho" w:hAnsi="Times New Roman" w:cs="Times New Roman"/>
                <w:b/>
                <w:bCs/>
                <w:noProof/>
                <w:lang w:val="lv-LV" w:eastAsia="lv-LV" w:bidi="lv-LV"/>
              </w:rPr>
            </w:pPr>
            <w:r>
              <w:rPr>
                <w:rFonts w:ascii="Times New Roman" w:eastAsia="MS Mincho" w:hAnsi="Times New Roman" w:cs="Times New Roman"/>
                <w:b/>
                <w:bCs/>
                <w:noProof/>
                <w:lang w:eastAsia="en-GB"/>
              </w:rPr>
              <w:drawing>
                <wp:inline distT="0" distB="0" distL="0" distR="0">
                  <wp:extent cx="2816860" cy="299339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16860" cy="2993390"/>
                          </a:xfrm>
                          <a:prstGeom prst="rect">
                            <a:avLst/>
                          </a:prstGeom>
                          <a:noFill/>
                        </pic:spPr>
                      </pic:pic>
                    </a:graphicData>
                  </a:graphic>
                </wp:inline>
              </w:drawing>
            </w:r>
          </w:p>
        </w:tc>
      </w:tr>
    </w:tbl>
    <w:p w:rsidR="003D03E9" w:rsidRDefault="00F77AE9">
      <w:pPr>
        <w:spacing w:after="0"/>
        <w:jc w:val="both"/>
        <w:rPr>
          <w:rFonts w:ascii="Times New Roman" w:eastAsia="Times New Roman" w:hAnsi="Times New Roman" w:cs="Times New Roman"/>
          <w:noProof/>
          <w:sz w:val="20"/>
          <w:szCs w:val="24"/>
          <w:lang w:val="lv-LV" w:eastAsia="lv-LV" w:bidi="lv-LV"/>
        </w:rPr>
      </w:pPr>
      <w:r>
        <w:rPr>
          <w:rFonts w:ascii="Times New Roman" w:hAnsi="Times New Roman"/>
          <w:i/>
          <w:noProof/>
          <w:sz w:val="20"/>
          <w:lang w:val="lv-LV" w:eastAsia="lv-LV" w:bidi="lv-LV"/>
        </w:rPr>
        <w:t>Avots</w:t>
      </w:r>
      <w:r>
        <w:rPr>
          <w:noProof/>
          <w:lang w:val="lv-LV" w:eastAsia="lv-LV" w:bidi="lv-LV"/>
        </w:rPr>
        <w:t>:</w:t>
      </w:r>
      <w:r>
        <w:rPr>
          <w:rFonts w:ascii="Times New Roman" w:hAnsi="Times New Roman"/>
          <w:noProof/>
          <w:sz w:val="20"/>
          <w:lang w:val="lv-LV" w:eastAsia="lv-LV" w:bidi="lv-LV"/>
        </w:rPr>
        <w:t xml:space="preserve"> </w:t>
      </w:r>
      <w:r>
        <w:rPr>
          <w:rFonts w:ascii="Times New Roman" w:hAnsi="Times New Roman"/>
          <w:i/>
          <w:noProof/>
          <w:sz w:val="20"/>
          <w:lang w:val="lv-LV" w:eastAsia="lv-LV" w:bidi="lv-LV"/>
        </w:rPr>
        <w:t>Eurostat</w:t>
      </w:r>
      <w:r>
        <w:rPr>
          <w:rFonts w:ascii="Times New Roman" w:hAnsi="Times New Roman"/>
          <w:noProof/>
          <w:sz w:val="20"/>
          <w:lang w:val="lv-LV" w:eastAsia="lv-LV" w:bidi="lv-LV"/>
        </w:rPr>
        <w:t xml:space="preserve"> un Komisijas dienestu aprēķini.</w:t>
      </w:r>
    </w:p>
    <w:p w:rsidR="003D03E9" w:rsidRDefault="00F77AE9">
      <w:pPr>
        <w:spacing w:after="0"/>
        <w:jc w:val="both"/>
        <w:rPr>
          <w:rFonts w:ascii="Times New Roman" w:eastAsia="Times New Roman" w:hAnsi="Times New Roman" w:cs="Times New Roman"/>
          <w:b/>
          <w:noProof/>
          <w:sz w:val="20"/>
          <w:szCs w:val="24"/>
          <w:lang w:val="lv-LV" w:eastAsia="lv-LV" w:bidi="lv-LV"/>
        </w:rPr>
      </w:pPr>
      <w:r>
        <w:rPr>
          <w:rFonts w:ascii="Times New Roman" w:hAnsi="Times New Roman"/>
          <w:i/>
          <w:noProof/>
          <w:sz w:val="20"/>
          <w:lang w:val="lv-LV" w:eastAsia="lv-LV" w:bidi="lv-LV"/>
        </w:rPr>
        <w:t>Piezīme</w:t>
      </w:r>
      <w:r>
        <w:rPr>
          <w:noProof/>
          <w:lang w:val="lv-LV" w:eastAsia="lv-LV" w:bidi="lv-LV"/>
        </w:rPr>
        <w:t>:</w:t>
      </w:r>
      <w:r>
        <w:rPr>
          <w:rFonts w:ascii="Times New Roman" w:hAnsi="Times New Roman"/>
          <w:noProof/>
          <w:sz w:val="20"/>
          <w:lang w:val="lv-LV" w:eastAsia="lv-LV" w:bidi="lv-LV"/>
        </w:rPr>
        <w:t xml:space="preserve"> vērtības starpība aprēķināta kā vidējais lielums, ko veido trīs rādītāji: cenas attiecības pret ienākumiem un cenas attiecības pret īres maksu novirzes no attiecīgajiem ilgtermiņa vidējiem lielumiem un saskaņā ar pamatfaktoru modeli iegūtā vērtības starpī</w:t>
      </w:r>
      <w:r>
        <w:rPr>
          <w:rFonts w:ascii="Times New Roman" w:hAnsi="Times New Roman"/>
          <w:noProof/>
          <w:sz w:val="20"/>
          <w:lang w:val="lv-LV" w:eastAsia="lv-LV" w:bidi="lv-LV"/>
        </w:rPr>
        <w:t xml:space="preserve">ba. skatīt </w:t>
      </w:r>
      <w:r>
        <w:rPr>
          <w:rFonts w:ascii="Times New Roman" w:eastAsia="Times New Roman" w:hAnsi="Times New Roman" w:cs="Times New Roman"/>
          <w:noProof/>
          <w:sz w:val="20"/>
          <w:szCs w:val="24"/>
          <w:lang w:val="lv-LV" w:eastAsia="lv-LV" w:bidi="lv-LV"/>
        </w:rPr>
        <w:fldChar w:fldCharType="begin" w:fldLock="1"/>
      </w:r>
      <w:r>
        <w:rPr>
          <w:rFonts w:ascii="Times New Roman" w:eastAsia="Times New Roman" w:hAnsi="Times New Roman" w:cs="Times New Roman"/>
          <w:noProof/>
          <w:sz w:val="20"/>
          <w:szCs w:val="24"/>
          <w:lang w:val="lv-LV" w:eastAsia="lv-LV" w:bidi="lv-LV"/>
        </w:rPr>
        <w:instrText xml:space="preserve"> NOTEREF _Ref526526185 \h  \* MERGEFORMAT </w:instrText>
      </w:r>
      <w:r>
        <w:rPr>
          <w:rFonts w:ascii="Times New Roman" w:eastAsia="Times New Roman" w:hAnsi="Times New Roman" w:cs="Times New Roman"/>
          <w:noProof/>
          <w:sz w:val="20"/>
          <w:szCs w:val="24"/>
          <w:lang w:val="lv-LV" w:eastAsia="lv-LV" w:bidi="lv-LV"/>
        </w:rPr>
      </w:r>
      <w:r>
        <w:rPr>
          <w:rFonts w:ascii="Times New Roman" w:eastAsia="Times New Roman" w:hAnsi="Times New Roman" w:cs="Times New Roman"/>
          <w:noProof/>
          <w:sz w:val="20"/>
          <w:szCs w:val="24"/>
          <w:lang w:val="lv-LV" w:eastAsia="lv-LV" w:bidi="lv-LV"/>
        </w:rPr>
        <w:fldChar w:fldCharType="separate"/>
      </w:r>
      <w:r>
        <w:rPr>
          <w:rFonts w:ascii="Times New Roman" w:eastAsia="Times New Roman" w:hAnsi="Times New Roman" w:cs="Times New Roman"/>
          <w:noProof/>
          <w:sz w:val="20"/>
          <w:szCs w:val="24"/>
          <w:lang w:val="lv-LV" w:eastAsia="lv-LV" w:bidi="lv-LV"/>
        </w:rPr>
        <w:t>34</w:t>
      </w:r>
      <w:r>
        <w:rPr>
          <w:rFonts w:ascii="Times New Roman" w:eastAsia="Times New Roman" w:hAnsi="Times New Roman" w:cs="Times New Roman"/>
          <w:noProof/>
          <w:sz w:val="20"/>
          <w:szCs w:val="24"/>
          <w:lang w:val="lv-LV" w:eastAsia="lv-LV" w:bidi="lv-LV"/>
        </w:rPr>
        <w:fldChar w:fldCharType="end"/>
      </w:r>
      <w:r>
        <w:rPr>
          <w:rFonts w:ascii="Times New Roman" w:hAnsi="Times New Roman"/>
          <w:noProof/>
          <w:sz w:val="20"/>
          <w:lang w:val="lv-LV" w:eastAsia="lv-LV" w:bidi="lv-LV"/>
        </w:rPr>
        <w:t>. zemsvītras piezīmi.</w:t>
      </w:r>
    </w:p>
    <w:p w:rsidR="003D03E9" w:rsidRDefault="003D03E9">
      <w:pPr>
        <w:spacing w:before="120" w:after="120"/>
        <w:jc w:val="both"/>
        <w:rPr>
          <w:rFonts w:ascii="Times New Roman" w:eastAsia="Times New Roman" w:hAnsi="Times New Roman" w:cs="Times New Roman"/>
          <w:b/>
          <w:noProof/>
          <w:lang w:val="lv-LV" w:eastAsia="lv-LV" w:bidi="lv-LV"/>
        </w:rPr>
      </w:pPr>
    </w:p>
    <w:p w:rsidR="003D03E9" w:rsidRDefault="00F77AE9">
      <w:pPr>
        <w:spacing w:before="120" w:after="120"/>
        <w:jc w:val="both"/>
        <w:rPr>
          <w:rFonts w:ascii="Times New Roman" w:eastAsia="Times New Roman" w:hAnsi="Times New Roman" w:cs="Times New Roman"/>
          <w:noProof/>
          <w:lang w:val="lv-LV" w:eastAsia="lv-LV" w:bidi="lv-LV"/>
        </w:rPr>
      </w:pPr>
      <w:r>
        <w:rPr>
          <w:rFonts w:ascii="Times New Roman" w:hAnsi="Times New Roman"/>
          <w:b/>
          <w:noProof/>
          <w:lang w:val="lv-LV" w:eastAsia="lv-LV" w:bidi="lv-LV"/>
        </w:rPr>
        <w:t xml:space="preserve">Valdības parāda attiecība visā ES pārstāja pieaugt, bet daudzās valstīs parāda līmenis joprojām ir augsts. </w:t>
      </w:r>
      <w:r>
        <w:rPr>
          <w:rFonts w:ascii="Times New Roman" w:hAnsi="Times New Roman"/>
          <w:noProof/>
          <w:lang w:val="lv-LV" w:eastAsia="lv-LV" w:bidi="lv-LV"/>
        </w:rPr>
        <w:t>Rādī</w:t>
      </w:r>
      <w:r>
        <w:rPr>
          <w:rFonts w:ascii="Times New Roman" w:hAnsi="Times New Roman"/>
          <w:noProof/>
          <w:lang w:val="lv-LV" w:eastAsia="lv-LV" w:bidi="lv-LV"/>
        </w:rPr>
        <w:t>tāju kopsavilkuma vērtības 2017. gadā pārsniedza robežvērtību 15 dalībvalstīs. Beļģijā, Grieķijā, Itālijā un Portugālē parāda līmenis pārsniedz 100 % no IKP, un Itālijā 2018. gadā ir ievērojams finansējuma izmaksu pieaugums. Astoņās valstīs (Beļģijā, Kiprā</w:t>
      </w:r>
      <w:r>
        <w:rPr>
          <w:rFonts w:ascii="Times New Roman" w:hAnsi="Times New Roman"/>
          <w:noProof/>
          <w:lang w:val="lv-LV" w:eastAsia="lv-LV" w:bidi="lv-LV"/>
        </w:rPr>
        <w:t>, Somijā, Francijā, Īrijā, Portugālē, Spānijā un Apvienotajā Karalistē) valsts parāds pārsniedz 60 % no IKP, un privātā sektora parādsaistības pārsniedz attiecīgo robežvērtību. Valdības parāda attiecībai pret IKP pārsvarā ir tendence samazināties (19. graf</w:t>
      </w:r>
      <w:r>
        <w:rPr>
          <w:rFonts w:ascii="Times New Roman" w:hAnsi="Times New Roman"/>
          <w:noProof/>
          <w:lang w:val="lv-LV" w:eastAsia="lv-LV" w:bidi="lv-LV"/>
        </w:rPr>
        <w:t>iks). Valstīs, kurās ir augsts publiskā sektora parāda līmenis, aizņemto līdzekļu īpatsvara samazināšanās ir sākusies tikai nesen un notiek gausi. Paredzams, ka no visām ES valstīm parāda attiecība 2019. gadā pieaugs tikai Lietuvā un Rumānijā. Kopumā valdī</w:t>
      </w:r>
      <w:r>
        <w:rPr>
          <w:rFonts w:ascii="Times New Roman" w:hAnsi="Times New Roman"/>
          <w:noProof/>
          <w:lang w:val="lv-LV" w:eastAsia="lv-LV" w:bidi="lv-LV"/>
        </w:rPr>
        <w:t>bas sektora aizņemto līdzekļu īpatsvara samazināšanos sekmē budžeta stāvokļa pakāpeniskā uzlabošanās pēdējo gadu laikā, nepārtraukts nominālā IKP pieaugums un samazināti procentu maksājumi. Tomēr paredzams, ka aizvien lielāks skaits valstu varētu pieturēti</w:t>
      </w:r>
      <w:r>
        <w:rPr>
          <w:rFonts w:ascii="Times New Roman" w:hAnsi="Times New Roman"/>
          <w:noProof/>
          <w:lang w:val="lv-LV" w:eastAsia="lv-LV" w:bidi="lv-LV"/>
        </w:rPr>
        <w:t xml:space="preserve">es pie procikliskas brīvākas budžeta politikas, kas varētu notikt uz tā rēķina, ka tiks izmantotas nākotnē pieejamās iespējas mīkstināt negatīvus izlaides satricinājumus. </w:t>
      </w:r>
    </w:p>
    <w:p w:rsidR="003D03E9" w:rsidRDefault="003D03E9">
      <w:pPr>
        <w:spacing w:before="120" w:after="120"/>
        <w:rPr>
          <w:rFonts w:ascii="Times New Roman" w:eastAsia="Times New Roman" w:hAnsi="Times New Roman" w:cs="Times New Roman"/>
          <w:b/>
          <w:noProof/>
          <w:lang w:val="lv-LV" w:eastAsia="lv-LV" w:bidi="lv-LV"/>
        </w:rPr>
      </w:pPr>
    </w:p>
    <w:p w:rsidR="003D03E9" w:rsidRDefault="00F77AE9">
      <w:pPr>
        <w:spacing w:before="120" w:after="120"/>
        <w:jc w:val="center"/>
        <w:rPr>
          <w:rFonts w:ascii="Times New Roman" w:eastAsia="Times New Roman" w:hAnsi="Times New Roman" w:cs="Times New Roman"/>
          <w:b/>
          <w:noProof/>
          <w:lang w:val="lv-LV" w:eastAsia="lv-LV" w:bidi="lv-LV"/>
        </w:rPr>
      </w:pPr>
      <w:r>
        <w:rPr>
          <w:rFonts w:ascii="Times New Roman" w:hAnsi="Times New Roman"/>
          <w:b/>
          <w:noProof/>
          <w:lang w:val="lv-LV" w:eastAsia="lv-LV" w:bidi="lv-LV"/>
        </w:rPr>
        <w:t>19. grafiks. Valdības parāds</w:t>
      </w:r>
    </w:p>
    <w:p w:rsidR="003D03E9" w:rsidRDefault="00F77AE9">
      <w:pPr>
        <w:spacing w:before="120" w:after="120"/>
        <w:jc w:val="center"/>
        <w:rPr>
          <w:rFonts w:ascii="Times New Roman" w:eastAsia="Times New Roman" w:hAnsi="Times New Roman" w:cs="Times New Roman"/>
          <w:noProof/>
          <w:sz w:val="24"/>
          <w:szCs w:val="24"/>
          <w:lang w:val="lv-LV" w:eastAsia="lv-LV" w:bidi="lv-LV"/>
        </w:rPr>
      </w:pPr>
      <w:r>
        <w:rPr>
          <w:rFonts w:ascii="Times New Roman" w:eastAsia="Times New Roman" w:hAnsi="Times New Roman" w:cs="Times New Roman"/>
          <w:noProof/>
          <w:sz w:val="24"/>
          <w:szCs w:val="24"/>
          <w:lang w:eastAsia="en-GB"/>
        </w:rPr>
        <w:drawing>
          <wp:inline distT="0" distB="0" distL="0" distR="0">
            <wp:extent cx="5072380" cy="322516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72380" cy="3225165"/>
                    </a:xfrm>
                    <a:prstGeom prst="rect">
                      <a:avLst/>
                    </a:prstGeom>
                    <a:noFill/>
                  </pic:spPr>
                </pic:pic>
              </a:graphicData>
            </a:graphic>
          </wp:inline>
        </w:drawing>
      </w:r>
    </w:p>
    <w:p w:rsidR="003D03E9" w:rsidRDefault="00F77AE9">
      <w:pPr>
        <w:spacing w:before="120" w:after="120"/>
        <w:rPr>
          <w:rFonts w:ascii="Times New Roman" w:eastAsia="Times New Roman" w:hAnsi="Times New Roman" w:cs="Times New Roman"/>
          <w:noProof/>
          <w:sz w:val="20"/>
          <w:szCs w:val="24"/>
          <w:lang w:val="lv-LV" w:eastAsia="lv-LV" w:bidi="lv-LV"/>
        </w:rPr>
      </w:pPr>
      <w:r>
        <w:rPr>
          <w:rFonts w:ascii="Times New Roman" w:hAnsi="Times New Roman"/>
          <w:i/>
          <w:noProof/>
          <w:sz w:val="20"/>
          <w:lang w:val="lv-LV" w:eastAsia="lv-LV" w:bidi="lv-LV"/>
        </w:rPr>
        <w:t>Avots:</w:t>
      </w:r>
      <w:r>
        <w:rPr>
          <w:rFonts w:ascii="Times New Roman" w:hAnsi="Times New Roman"/>
          <w:noProof/>
          <w:sz w:val="20"/>
          <w:lang w:val="lv-LV" w:eastAsia="lv-LV" w:bidi="lv-LV"/>
        </w:rPr>
        <w:t xml:space="preserve"> Eurostat.</w:t>
      </w:r>
    </w:p>
    <w:p w:rsidR="003D03E9" w:rsidRDefault="003D03E9">
      <w:pPr>
        <w:spacing w:before="120" w:after="120"/>
        <w:rPr>
          <w:rFonts w:ascii="Times New Roman" w:eastAsia="Times New Roman" w:hAnsi="Times New Roman" w:cs="Times New Roman"/>
          <w:noProof/>
          <w:sz w:val="20"/>
          <w:szCs w:val="24"/>
          <w:lang w:val="lv-LV" w:eastAsia="lv-LV" w:bidi="lv-LV"/>
        </w:rPr>
      </w:pPr>
    </w:p>
    <w:p w:rsidR="003D03E9" w:rsidRDefault="003D03E9">
      <w:pPr>
        <w:rPr>
          <w:rFonts w:ascii="Times New Roman" w:eastAsia="Times New Roman" w:hAnsi="Times New Roman" w:cs="Times New Roman"/>
          <w:i/>
          <w:noProof/>
          <w:sz w:val="20"/>
          <w:szCs w:val="20"/>
          <w:lang w:val="lv-LV" w:eastAsia="lv-LV" w:bidi="lv-LV"/>
        </w:rPr>
      </w:pPr>
    </w:p>
    <w:p w:rsidR="003D03E9" w:rsidRDefault="003D03E9">
      <w:pPr>
        <w:spacing w:before="120" w:after="120"/>
        <w:jc w:val="center"/>
        <w:rPr>
          <w:rFonts w:ascii="Times New Roman" w:eastAsia="Times New Roman" w:hAnsi="Times New Roman" w:cs="Times New Roman"/>
          <w:i/>
          <w:noProof/>
          <w:sz w:val="20"/>
          <w:szCs w:val="20"/>
          <w:lang w:val="lv-LV" w:eastAsia="lv-LV" w:bidi="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3D03E9" w:rsidRPr="00F77AE9">
        <w:tc>
          <w:tcPr>
            <w:tcW w:w="9288" w:type="dxa"/>
            <w:tcBorders>
              <w:top w:val="single" w:sz="4" w:space="0" w:color="auto"/>
              <w:left w:val="single" w:sz="4" w:space="0" w:color="auto"/>
              <w:bottom w:val="single" w:sz="4" w:space="0" w:color="auto"/>
              <w:right w:val="single" w:sz="4" w:space="0" w:color="auto"/>
            </w:tcBorders>
            <w:shd w:val="clear" w:color="auto" w:fill="BFBFBF"/>
          </w:tcPr>
          <w:p w:rsidR="003D03E9" w:rsidRDefault="00F77AE9">
            <w:pPr>
              <w:spacing w:before="120" w:after="120" w:line="240" w:lineRule="auto"/>
              <w:jc w:val="center"/>
              <w:rPr>
                <w:rFonts w:ascii="Times New Roman" w:eastAsia="Times New Roman" w:hAnsi="Times New Roman" w:cs="Times New Roman"/>
                <w:b/>
                <w:i/>
                <w:noProof/>
                <w:lang w:val="lv-LV" w:eastAsia="lv-LV" w:bidi="lv-LV"/>
              </w:rPr>
            </w:pPr>
            <w:r>
              <w:rPr>
                <w:rFonts w:ascii="Times New Roman" w:hAnsi="Times New Roman"/>
                <w:b/>
                <w:i/>
                <w:noProof/>
                <w:lang w:val="lv-LV" w:eastAsia="lv-LV" w:bidi="lv-LV"/>
              </w:rPr>
              <w:t xml:space="preserve">3. izcēlums. </w:t>
            </w:r>
            <w:r>
              <w:rPr>
                <w:rFonts w:ascii="Times New Roman" w:hAnsi="Times New Roman"/>
                <w:b/>
                <w:noProof/>
                <w:lang w:val="lv-LV" w:eastAsia="lv-LV" w:bidi="lv-LV"/>
              </w:rPr>
              <w:t xml:space="preserve">Norises </w:t>
            </w:r>
            <w:r>
              <w:rPr>
                <w:rFonts w:ascii="Times New Roman" w:hAnsi="Times New Roman"/>
                <w:b/>
                <w:noProof/>
                <w:lang w:val="lv-LV" w:eastAsia="lv-LV" w:bidi="lv-LV"/>
              </w:rPr>
              <w:t>nodarbinātības un sociālajā jomā</w:t>
            </w:r>
          </w:p>
          <w:p w:rsidR="003D03E9" w:rsidRDefault="00F77AE9">
            <w:pPr>
              <w:autoSpaceDE w:val="0"/>
              <w:autoSpaceDN w:val="0"/>
              <w:adjustRightInd w:val="0"/>
              <w:spacing w:after="0" w:line="240" w:lineRule="auto"/>
              <w:jc w:val="both"/>
              <w:rPr>
                <w:rFonts w:ascii="Times New Roman" w:hAnsi="Times New Roman" w:cs="Times New Roman"/>
                <w:noProof/>
                <w:lang w:val="lv-LV" w:eastAsia="lv-LV" w:bidi="lv-LV"/>
              </w:rPr>
            </w:pPr>
            <w:r>
              <w:rPr>
                <w:rFonts w:ascii="Times New Roman" w:hAnsi="Times New Roman"/>
                <w:b/>
                <w:noProof/>
                <w:lang w:val="lv-LV" w:eastAsia="lv-LV" w:bidi="lv-LV"/>
              </w:rPr>
              <w:t>Situācija ES darba tirgos 2017. gadā un 2018. gada pirmajā pusē turpināja uzlaboties — lielās ES līmenī vērojamās atšķirības kļūst mazākas.</w:t>
            </w:r>
            <w:r>
              <w:rPr>
                <w:rFonts w:ascii="Times New Roman" w:hAnsi="Times New Roman"/>
                <w:noProof/>
                <w:lang w:val="lv-LV" w:eastAsia="lv-LV" w:bidi="lv-LV"/>
              </w:rPr>
              <w:t xml:space="preserve"> Nodarbinātības līmenis ir vēl vairāk palielinājies, un nodarbināto personu skaits v</w:t>
            </w:r>
            <w:r>
              <w:rPr>
                <w:rFonts w:ascii="Times New Roman" w:hAnsi="Times New Roman"/>
                <w:noProof/>
                <w:lang w:val="lv-LV" w:eastAsia="lv-LV" w:bidi="lv-LV"/>
              </w:rPr>
              <w:t xml:space="preserve">isā ES ir sasniedzis rekordaugstu līmeni. Bezdarba līmenis visās ES valstīs ir samazinājies, kaut gan vairākās no tām bezdarbnieku skaits joprojām ir liels. Atveseļošanās ir sekmējusi dažu nabadzības rādītāju samazināšanos, taču sociālā situācija joprojām </w:t>
            </w:r>
            <w:r>
              <w:rPr>
                <w:rFonts w:ascii="Times New Roman" w:hAnsi="Times New Roman"/>
                <w:noProof/>
                <w:lang w:val="lv-LV" w:eastAsia="lv-LV" w:bidi="lv-LV"/>
              </w:rPr>
              <w:t>rada bažas dažās dalībvalstīs. Kopš 2008. gada relatīvais nabadzības risks ES ir palielinājies, bet smaga materiāla nenodrošinātība ir samazinājusies, jo īpaši Austrumeiropas dalībvalstīs, kurās sākotnējais līmenis bija augsts.</w:t>
            </w:r>
          </w:p>
          <w:p w:rsidR="003D03E9" w:rsidRDefault="003D03E9">
            <w:pPr>
              <w:autoSpaceDE w:val="0"/>
              <w:autoSpaceDN w:val="0"/>
              <w:adjustRightInd w:val="0"/>
              <w:spacing w:after="0" w:line="240" w:lineRule="auto"/>
              <w:rPr>
                <w:rFonts w:ascii="Times New Roman" w:hAnsi="Times New Roman" w:cs="Times New Roman"/>
                <w:noProof/>
                <w:lang w:val="lv-LV" w:eastAsia="lv-LV" w:bidi="lv-LV"/>
              </w:rPr>
            </w:pPr>
          </w:p>
          <w:p w:rsidR="003D03E9" w:rsidRDefault="00F77AE9">
            <w:pPr>
              <w:autoSpaceDE w:val="0"/>
              <w:autoSpaceDN w:val="0"/>
              <w:adjustRightInd w:val="0"/>
              <w:spacing w:after="0" w:line="240" w:lineRule="auto"/>
              <w:jc w:val="both"/>
              <w:rPr>
                <w:rFonts w:ascii="Times New Roman" w:hAnsi="Times New Roman" w:cs="Times New Roman"/>
                <w:noProof/>
                <w:lang w:val="lv-LV" w:eastAsia="lv-LV" w:bidi="lv-LV"/>
              </w:rPr>
            </w:pPr>
            <w:r>
              <w:rPr>
                <w:rFonts w:ascii="Times New Roman" w:hAnsi="Times New Roman"/>
                <w:b/>
                <w:i/>
                <w:noProof/>
                <w:lang w:val="lv-LV" w:eastAsia="lv-LV" w:bidi="lv-LV"/>
              </w:rPr>
              <w:t>Bezdarba līmenis</w:t>
            </w:r>
            <w:r>
              <w:rPr>
                <w:rFonts w:ascii="Times New Roman" w:hAnsi="Times New Roman"/>
                <w:b/>
                <w:noProof/>
                <w:lang w:val="lv-LV" w:eastAsia="lv-LV" w:bidi="lv-LV"/>
              </w:rPr>
              <w:t xml:space="preserve"> 2017. gadā</w:t>
            </w:r>
            <w:r>
              <w:rPr>
                <w:rFonts w:ascii="Times New Roman" w:hAnsi="Times New Roman"/>
                <w:b/>
                <w:noProof/>
                <w:lang w:val="lv-LV" w:eastAsia="lv-LV" w:bidi="lv-LV"/>
              </w:rPr>
              <w:t xml:space="preserve"> visās dalībvalstīs samazinājās.</w:t>
            </w:r>
            <w:r>
              <w:rPr>
                <w:rFonts w:ascii="Times New Roman" w:hAnsi="Times New Roman"/>
                <w:noProof/>
                <w:lang w:val="lv-LV" w:eastAsia="lv-LV" w:bidi="lv-LV"/>
              </w:rPr>
              <w:t xml:space="preserve"> Vislielākais uzlabojums bija valstīs, kurās bezdarba līmenis bija viens no augstākajiem (Horvātijā, Grieķijā, Portugālē un Spānijā samazinājums bija 2 procentpunkti vai lielāks). Tomēr MNNP rādītāju kopsavilkumā noteikto ro</w:t>
            </w:r>
            <w:r>
              <w:rPr>
                <w:rFonts w:ascii="Times New Roman" w:hAnsi="Times New Roman"/>
                <w:noProof/>
                <w:lang w:val="lv-LV" w:eastAsia="lv-LV" w:bidi="lv-LV"/>
              </w:rPr>
              <w:t xml:space="preserve">bežvērtību, kas ir vidēji 10 % iepriekšējo trīs gadu laikā, pārsniedz septiņas dalībvalstis (Grieķija, Spānija, Horvātija, Kipra, Itālija, Portugāle un Francija). Aptuveni divās trešdaļās dalībvalstu bezdarba līmenis 2017. gadā joprojām bija augstāks nekā </w:t>
            </w:r>
            <w:r>
              <w:rPr>
                <w:rFonts w:ascii="Times New Roman" w:hAnsi="Times New Roman"/>
                <w:noProof/>
                <w:lang w:val="lv-LV" w:eastAsia="lv-LV" w:bidi="lv-LV"/>
              </w:rPr>
              <w:t>2008. gadā. Visā ES un eurozonā bezdarba līmenis bija par aptuveni 3 procentpunktiem zemāks nekā maksimālais līmenis 2013. gadā, taču tik un tā par ½ procentpunktu un 1½ procentpunktu augstāks nekā 2008. gadā. 2018. gada pirmajā pusē bezdarba līmenis turpi</w:t>
            </w:r>
            <w:r>
              <w:rPr>
                <w:rFonts w:ascii="Times New Roman" w:hAnsi="Times New Roman"/>
                <w:noProof/>
                <w:lang w:val="lv-LV" w:eastAsia="lv-LV" w:bidi="lv-LV"/>
              </w:rPr>
              <w:t xml:space="preserve">nāja stabili samazināties, līdz 2018. gada 2. ceturksnī tas sasniedza 6,9 % ES un 8,3 % eurozonā. </w:t>
            </w:r>
          </w:p>
          <w:p w:rsidR="003D03E9" w:rsidRDefault="003D03E9">
            <w:pPr>
              <w:autoSpaceDE w:val="0"/>
              <w:autoSpaceDN w:val="0"/>
              <w:adjustRightInd w:val="0"/>
              <w:spacing w:after="0" w:line="240" w:lineRule="auto"/>
              <w:jc w:val="both"/>
              <w:rPr>
                <w:rFonts w:ascii="Times New Roman" w:hAnsi="Times New Roman" w:cs="Times New Roman"/>
                <w:noProof/>
                <w:lang w:val="lv-LV" w:eastAsia="lv-LV" w:bidi="lv-LV"/>
              </w:rPr>
            </w:pPr>
          </w:p>
          <w:p w:rsidR="003D03E9" w:rsidRDefault="00F77AE9">
            <w:pPr>
              <w:autoSpaceDE w:val="0"/>
              <w:autoSpaceDN w:val="0"/>
              <w:adjustRightInd w:val="0"/>
              <w:spacing w:after="0" w:line="240" w:lineRule="auto"/>
              <w:jc w:val="both"/>
              <w:rPr>
                <w:rFonts w:ascii="Times New Roman" w:hAnsi="Times New Roman" w:cs="Times New Roman"/>
                <w:noProof/>
                <w:lang w:val="lv-LV" w:eastAsia="lv-LV" w:bidi="lv-LV"/>
              </w:rPr>
            </w:pPr>
            <w:r>
              <w:rPr>
                <w:rFonts w:ascii="Times New Roman" w:hAnsi="Times New Roman"/>
                <w:b/>
                <w:i/>
                <w:noProof/>
                <w:lang w:val="lv-LV" w:eastAsia="lv-LV" w:bidi="lv-LV"/>
              </w:rPr>
              <w:t>Nodarbinātības līmenis</w:t>
            </w:r>
            <w:r>
              <w:rPr>
                <w:b/>
                <w:noProof/>
                <w:lang w:val="lv-LV" w:eastAsia="lv-LV" w:bidi="lv-LV"/>
              </w:rPr>
              <w:t xml:space="preserve"> gandrīz visās dalībvalstīs pieauga, tādējādi turpinājās iepriekšējo gadu pozitīvā tendence</w:t>
            </w:r>
            <w:r>
              <w:rPr>
                <w:noProof/>
                <w:lang w:val="lv-LV" w:eastAsia="lv-LV" w:bidi="lv-LV"/>
              </w:rPr>
              <w:t>.</w:t>
            </w:r>
            <w:r>
              <w:rPr>
                <w:rFonts w:ascii="Times New Roman" w:hAnsi="Times New Roman"/>
                <w:noProof/>
                <w:lang w:val="lv-LV" w:eastAsia="lv-LV" w:bidi="lv-LV"/>
              </w:rPr>
              <w:t xml:space="preserve"> Nodarbinātības līmenis (20–64 gadu vecuma</w:t>
            </w:r>
            <w:r>
              <w:rPr>
                <w:rFonts w:ascii="Times New Roman" w:hAnsi="Times New Roman"/>
                <w:noProof/>
                <w:lang w:val="lv-LV" w:eastAsia="lv-LV" w:bidi="lv-LV"/>
              </w:rPr>
              <w:t xml:space="preserve"> grupā) ES kopumā sasniedza 72,1 %, krietni pārsniedzot pirmskrīzes maksimumu (70,3 %), kas fiksēts 2008. gadā. 2018. gada otrajā ceturksnī nodarbinātības līmenis turpināja augt, sasniedzot rekordlielo rādītāju 73,2 %. </w:t>
            </w:r>
          </w:p>
          <w:p w:rsidR="003D03E9" w:rsidRDefault="003D03E9">
            <w:pPr>
              <w:autoSpaceDE w:val="0"/>
              <w:autoSpaceDN w:val="0"/>
              <w:adjustRightInd w:val="0"/>
              <w:spacing w:after="0" w:line="240" w:lineRule="auto"/>
              <w:rPr>
                <w:rFonts w:ascii="Times New Roman" w:hAnsi="Times New Roman" w:cs="Times New Roman"/>
                <w:noProof/>
                <w:lang w:val="lv-LV" w:eastAsia="lv-LV" w:bidi="lv-LV"/>
              </w:rPr>
            </w:pPr>
          </w:p>
          <w:p w:rsidR="003D03E9" w:rsidRDefault="00F77AE9">
            <w:pPr>
              <w:autoSpaceDE w:val="0"/>
              <w:autoSpaceDN w:val="0"/>
              <w:adjustRightInd w:val="0"/>
              <w:spacing w:after="0" w:line="240" w:lineRule="auto"/>
              <w:jc w:val="both"/>
              <w:rPr>
                <w:rFonts w:ascii="Times New Roman" w:hAnsi="Times New Roman" w:cs="Times New Roman"/>
                <w:noProof/>
                <w:lang w:val="lv-LV" w:eastAsia="lv-LV" w:bidi="lv-LV"/>
              </w:rPr>
            </w:pPr>
            <w:r>
              <w:rPr>
                <w:rFonts w:ascii="Times New Roman" w:hAnsi="Times New Roman"/>
                <w:b/>
                <w:i/>
                <w:noProof/>
                <w:lang w:val="lv-LV" w:eastAsia="lv-LV" w:bidi="lv-LV"/>
              </w:rPr>
              <w:t>Ekonomiski aktīvā darbaspēka līmeni</w:t>
            </w:r>
            <w:r>
              <w:rPr>
                <w:rFonts w:ascii="Times New Roman" w:hAnsi="Times New Roman"/>
                <w:b/>
                <w:i/>
                <w:noProof/>
                <w:lang w:val="lv-LV" w:eastAsia="lv-LV" w:bidi="lv-LV"/>
              </w:rPr>
              <w:t>s</w:t>
            </w:r>
            <w:r>
              <w:rPr>
                <w:b/>
                <w:noProof/>
                <w:lang w:val="lv-LV" w:eastAsia="lv-LV" w:bidi="lv-LV"/>
              </w:rPr>
              <w:t xml:space="preserve"> turpināja pieaugt gandrīz visā ES.</w:t>
            </w:r>
            <w:r>
              <w:rPr>
                <w:rFonts w:ascii="Times New Roman" w:hAnsi="Times New Roman"/>
                <w:noProof/>
                <w:lang w:val="lv-LV" w:eastAsia="lv-LV" w:bidi="lv-LV"/>
              </w:rPr>
              <w:t xml:space="preserve"> Pēdējo trīs gadu laikā ekonomiski aktīvā darbaspēka līmenis ir mazinājies tikai trijās valstīs: Spānijā (-0,3 procentpunkti), Kiprā (-0,4) un Luksemburgā (-0,6). Visos trīs gadījumos samazinājums pārsniedz rādītāju kops</w:t>
            </w:r>
            <w:r>
              <w:rPr>
                <w:rFonts w:ascii="Times New Roman" w:hAnsi="Times New Roman"/>
                <w:noProof/>
                <w:lang w:val="lv-LV" w:eastAsia="lv-LV" w:bidi="lv-LV"/>
              </w:rPr>
              <w:t xml:space="preserve">avilkumā noteikto robežvērtību (-0,2 procentpunkti). Kopumā ekonomiski aktīvā darbaspēka līmenis ES un eurozonā 2017. gadā bija attiecīgi 73,3 % un 73,1 %, t. i., par attiecīgi 2½ un 2 procentpunktiem virs 2008. gada līmeņa. Šo augošo tendenci galvenokārt </w:t>
            </w:r>
            <w:r>
              <w:rPr>
                <w:rFonts w:ascii="Times New Roman" w:hAnsi="Times New Roman"/>
                <w:noProof/>
                <w:lang w:val="lv-LV" w:eastAsia="lv-LV" w:bidi="lv-LV"/>
              </w:rPr>
              <w:t xml:space="preserve">noteica tas, ka darba tirgū arvien vairāk piedalās vecāka gadagājuma darba ņēmēji un sievietes. </w:t>
            </w:r>
          </w:p>
          <w:p w:rsidR="003D03E9" w:rsidRDefault="003D03E9">
            <w:pPr>
              <w:autoSpaceDE w:val="0"/>
              <w:autoSpaceDN w:val="0"/>
              <w:adjustRightInd w:val="0"/>
              <w:spacing w:after="0" w:line="240" w:lineRule="auto"/>
              <w:rPr>
                <w:rFonts w:ascii="Times New Roman" w:hAnsi="Times New Roman" w:cs="Times New Roman"/>
                <w:noProof/>
                <w:lang w:val="lv-LV" w:eastAsia="lv-LV" w:bidi="lv-LV"/>
              </w:rPr>
            </w:pPr>
          </w:p>
          <w:p w:rsidR="003D03E9" w:rsidRDefault="00F77AE9">
            <w:pPr>
              <w:autoSpaceDE w:val="0"/>
              <w:autoSpaceDN w:val="0"/>
              <w:adjustRightInd w:val="0"/>
              <w:spacing w:after="0" w:line="240" w:lineRule="auto"/>
              <w:jc w:val="both"/>
              <w:rPr>
                <w:rFonts w:ascii="Times New Roman" w:hAnsi="Times New Roman" w:cs="Times New Roman"/>
                <w:noProof/>
                <w:lang w:val="lv-LV" w:eastAsia="lv-LV" w:bidi="lv-LV"/>
              </w:rPr>
            </w:pPr>
            <w:r>
              <w:rPr>
                <w:rFonts w:ascii="Times New Roman" w:hAnsi="Times New Roman"/>
                <w:b/>
                <w:noProof/>
                <w:lang w:val="lv-LV" w:eastAsia="lv-LV" w:bidi="lv-LV"/>
              </w:rPr>
              <w:t>Ilgstošais un jauniešu bezdarbs joprojām ir augsts dažādās ES valstīs, bet situācija ir vairāk uzlabojusies nekā pārējās darba tirgus daļās.</w:t>
            </w:r>
            <w:r>
              <w:rPr>
                <w:rFonts w:ascii="Times New Roman" w:hAnsi="Times New Roman"/>
                <w:i/>
                <w:noProof/>
                <w:lang w:val="lv-LV" w:eastAsia="lv-LV" w:bidi="lv-LV"/>
              </w:rPr>
              <w:t xml:space="preserve"> Ilgstošais bezdar</w:t>
            </w:r>
            <w:r>
              <w:rPr>
                <w:rFonts w:ascii="Times New Roman" w:hAnsi="Times New Roman"/>
                <w:i/>
                <w:noProof/>
                <w:lang w:val="lv-LV" w:eastAsia="lv-LV" w:bidi="lv-LV"/>
              </w:rPr>
              <w:t>bs</w:t>
            </w:r>
            <w:r>
              <w:rPr>
                <w:noProof/>
                <w:lang w:val="lv-LV" w:eastAsia="lv-LV" w:bidi="lv-LV"/>
              </w:rPr>
              <w:t xml:space="preserve"> 2017. gadā samazinājās visās dalībvalstīs.</w:t>
            </w:r>
            <w:r>
              <w:rPr>
                <w:rFonts w:ascii="Times New Roman" w:hAnsi="Times New Roman"/>
                <w:noProof/>
                <w:lang w:val="lv-LV" w:eastAsia="lv-LV" w:bidi="lv-LV"/>
              </w:rPr>
              <w:t xml:space="preserve"> Tikai divās valstīs tiks fiksēts līmenis, kas ir augstāks nekā pirms trim gadiem: Austrijā ilgstošā bezdarba līmenis bija 1,8 % (par 0,3 procentpunktiem augstāks nekā 2014. gadā), savukārt Somijā tas bija 2,1 %</w:t>
            </w:r>
            <w:r>
              <w:rPr>
                <w:rFonts w:ascii="Times New Roman" w:hAnsi="Times New Roman"/>
                <w:noProof/>
                <w:lang w:val="lv-LV" w:eastAsia="lv-LV" w:bidi="lv-LV"/>
              </w:rPr>
              <w:t xml:space="preserve"> (pieaugums par 0,2 procentpunktiem kopš 2014. gada). Neviens no šiem pieaugumiem nepārsniedz rādītāju kopsavilkumā noteikto robežvērtību (0,5 procentpunkti). Augstākais ilgstošā bezdarba līmenis bija Grieķijā (15,6 %), Spānijā (7,7 %), Itālijā (6,5 %) un </w:t>
            </w:r>
            <w:r>
              <w:rPr>
                <w:rFonts w:ascii="Times New Roman" w:hAnsi="Times New Roman"/>
                <w:noProof/>
                <w:lang w:val="lv-LV" w:eastAsia="lv-LV" w:bidi="lv-LV"/>
              </w:rPr>
              <w:t xml:space="preserve">Slovākijā (5,1 %). Trīs gados līdz 2017. gadam </w:t>
            </w:r>
            <w:r>
              <w:rPr>
                <w:rFonts w:ascii="Times New Roman" w:hAnsi="Times New Roman"/>
                <w:i/>
                <w:noProof/>
                <w:lang w:val="lv-LV" w:eastAsia="lv-LV" w:bidi="lv-LV"/>
              </w:rPr>
              <w:t>jauniešu bezdarba</w:t>
            </w:r>
            <w:r>
              <w:rPr>
                <w:rFonts w:ascii="Times New Roman" w:hAnsi="Times New Roman"/>
                <w:noProof/>
                <w:lang w:val="lv-LV" w:eastAsia="lv-LV" w:bidi="lv-LV"/>
              </w:rPr>
              <w:t xml:space="preserve"> </w:t>
            </w:r>
            <w:r>
              <w:rPr>
                <w:rFonts w:ascii="Times New Roman" w:hAnsi="Times New Roman"/>
                <w:i/>
                <w:noProof/>
                <w:lang w:val="lv-LV" w:eastAsia="lv-LV" w:bidi="lv-LV"/>
              </w:rPr>
              <w:t>līmenis</w:t>
            </w:r>
            <w:r>
              <w:rPr>
                <w:rFonts w:ascii="Times New Roman" w:hAnsi="Times New Roman"/>
                <w:noProof/>
                <w:lang w:val="lv-LV" w:eastAsia="lv-LV" w:bidi="lv-LV"/>
              </w:rPr>
              <w:t xml:space="preserve"> samazinājās visās ES valstīs. Samazinājums par 10 procentpunktiem vai vairāk šajā pašā laikposmā tika fiksēts Bulgārijā, Horvātijā, Kiprā, Portugālē, Slovākijā un Spānijā. Jauniešu be</w:t>
            </w:r>
            <w:r>
              <w:rPr>
                <w:rFonts w:ascii="Times New Roman" w:hAnsi="Times New Roman"/>
                <w:noProof/>
                <w:lang w:val="lv-LV" w:eastAsia="lv-LV" w:bidi="lv-LV"/>
              </w:rPr>
              <w:t>zdarba līmenis joprojām pārsniedz 30 % Grieķijā, Itālijā un Spānijā, savukārt to jauniešu, kas nestrādā, nemācās un neapgūst arodu, īpatsvars joprojām pārsniedz 15 % Bulgārijā, Grieķijā, Horvātijā, Itālijā, Kiprā un Rumānijā.</w:t>
            </w:r>
          </w:p>
          <w:p w:rsidR="003D03E9" w:rsidRDefault="003D03E9">
            <w:pPr>
              <w:autoSpaceDE w:val="0"/>
              <w:autoSpaceDN w:val="0"/>
              <w:adjustRightInd w:val="0"/>
              <w:spacing w:after="0" w:line="240" w:lineRule="auto"/>
              <w:rPr>
                <w:rFonts w:ascii="Times New Roman" w:hAnsi="Times New Roman" w:cs="Times New Roman"/>
                <w:i/>
                <w:iCs/>
                <w:noProof/>
                <w:lang w:val="lv-LV" w:eastAsia="lv-LV" w:bidi="lv-LV"/>
              </w:rPr>
            </w:pPr>
          </w:p>
          <w:p w:rsidR="003D03E9" w:rsidRDefault="00F77AE9">
            <w:pPr>
              <w:autoSpaceDE w:val="0"/>
              <w:autoSpaceDN w:val="0"/>
              <w:adjustRightInd w:val="0"/>
              <w:spacing w:before="120" w:after="0" w:line="240" w:lineRule="auto"/>
              <w:jc w:val="both"/>
              <w:rPr>
                <w:rFonts w:ascii="Times New Roman" w:eastAsia="Times New Roman" w:hAnsi="Times New Roman" w:cs="Times New Roman"/>
                <w:noProof/>
                <w:sz w:val="24"/>
                <w:szCs w:val="24"/>
                <w:lang w:val="lv-LV" w:eastAsia="lv-LV" w:bidi="lv-LV"/>
              </w:rPr>
            </w:pPr>
            <w:r>
              <w:rPr>
                <w:rFonts w:ascii="Times New Roman" w:hAnsi="Times New Roman"/>
                <w:b/>
                <w:noProof/>
                <w:lang w:val="lv-LV" w:eastAsia="lv-LV" w:bidi="lv-LV"/>
              </w:rPr>
              <w:t xml:space="preserve">Lai gan sociālā situācija </w:t>
            </w:r>
            <w:r>
              <w:rPr>
                <w:rFonts w:ascii="Times New Roman" w:hAnsi="Times New Roman"/>
                <w:b/>
                <w:noProof/>
                <w:lang w:val="lv-LV" w:eastAsia="lv-LV" w:bidi="lv-LV"/>
              </w:rPr>
              <w:t>uzlabojas, tā joprojām rada bažas vairākās ES valstīs, par ko liecina standarta pasākumi nabadzības un nenodrošinātības jomā.</w:t>
            </w:r>
            <w:r>
              <w:rPr>
                <w:rFonts w:ascii="Times New Roman" w:hAnsi="Times New Roman"/>
                <w:noProof/>
                <w:lang w:val="lv-LV" w:eastAsia="lv-LV" w:bidi="lv-LV"/>
              </w:rPr>
              <w:t xml:space="preserve"> Nabadzības vai sociālās atstumtības riskam pakļauto (</w:t>
            </w:r>
            <w:r>
              <w:rPr>
                <w:rFonts w:ascii="Times New Roman" w:hAnsi="Times New Roman"/>
                <w:i/>
                <w:noProof/>
                <w:lang w:val="lv-LV" w:eastAsia="lv-LV" w:bidi="lv-LV"/>
              </w:rPr>
              <w:t>AROPE</w:t>
            </w:r>
            <w:r>
              <w:rPr>
                <w:rFonts w:ascii="Times New Roman" w:hAnsi="Times New Roman"/>
                <w:noProof/>
                <w:lang w:val="lv-LV" w:eastAsia="lv-LV" w:bidi="lv-LV"/>
              </w:rPr>
              <w:t>) personu īpatsvars ES no 2016. līdz 2017. gadam samazinājās par vienu p</w:t>
            </w:r>
            <w:r>
              <w:rPr>
                <w:rFonts w:ascii="Times New Roman" w:hAnsi="Times New Roman"/>
                <w:noProof/>
                <w:lang w:val="lv-LV" w:eastAsia="lv-LV" w:bidi="lv-LV"/>
              </w:rPr>
              <w:t>rocentpunktu un sasniedza 22,5 %</w:t>
            </w:r>
            <w:r>
              <w:rPr>
                <w:rFonts w:ascii="Times New Roman" w:hAnsi="Times New Roman"/>
                <w:noProof/>
                <w:vertAlign w:val="superscript"/>
                <w:lang w:val="lv-LV" w:eastAsia="lv-LV" w:bidi="lv-LV"/>
              </w:rPr>
              <w:footnoteReference w:id="36"/>
            </w:r>
            <w:r>
              <w:rPr>
                <w:rFonts w:ascii="Times New Roman" w:hAnsi="Times New Roman"/>
                <w:noProof/>
                <w:lang w:val="lv-LV" w:eastAsia="lv-LV" w:bidi="lv-LV"/>
              </w:rPr>
              <w:t>. Tas ir aptuveni par vienu procentpunktu mazāks par krīzes sākumā novēroto rādītāju un par aptuveni diviem procentpunktiem mazāks par maksimumu 2013. gadā. Vairumā valstu 2017. gadā bija vērojams samazinājums. Pieaugums ti</w:t>
            </w:r>
            <w:r>
              <w:rPr>
                <w:rFonts w:ascii="Times New Roman" w:hAnsi="Times New Roman"/>
                <w:noProof/>
                <w:lang w:val="lv-LV" w:eastAsia="lv-LV" w:bidi="lv-LV"/>
              </w:rPr>
              <w:t xml:space="preserve">ka reģistrēts Austrijā, Dānijā, Luksemburgā un Nīderlandē, lai gan no salīdzinoši zema līmeņa. </w:t>
            </w:r>
            <w:r>
              <w:rPr>
                <w:rFonts w:ascii="Times New Roman" w:hAnsi="Times New Roman"/>
                <w:i/>
                <w:noProof/>
                <w:lang w:val="lv-LV" w:eastAsia="lv-LV" w:bidi="lv-LV"/>
              </w:rPr>
              <w:t>AROPE</w:t>
            </w:r>
            <w:r>
              <w:rPr>
                <w:rFonts w:ascii="Times New Roman" w:hAnsi="Times New Roman"/>
                <w:noProof/>
                <w:lang w:val="lv-LV" w:eastAsia="lv-LV" w:bidi="lv-LV"/>
              </w:rPr>
              <w:t xml:space="preserve"> īpatsvars bija ievērojami atšķirīgs — no 38,9 % Bulgārijā, kam sekoja Rumānija, Grieķija un Lietuva, līdz aptuveni 12 % Čehijā, kam sekoja Somija, Slovākij</w:t>
            </w:r>
            <w:r>
              <w:rPr>
                <w:rFonts w:ascii="Times New Roman" w:hAnsi="Times New Roman"/>
                <w:noProof/>
                <w:lang w:val="lv-LV" w:eastAsia="lv-LV" w:bidi="lv-LV"/>
              </w:rPr>
              <w:t>a un Nīderlande. Šīs kopējās izmaiņas nabadzības un sociālās atstumtības jomā sastāv no tās komponentu atšķirīgajām izmaiņām.</w:t>
            </w:r>
            <w:r>
              <w:rPr>
                <w:rFonts w:ascii="Times New Roman" w:hAnsi="Times New Roman"/>
                <w:b/>
                <w:noProof/>
                <w:lang w:val="lv-LV" w:eastAsia="lv-LV" w:bidi="lv-LV"/>
              </w:rPr>
              <w:t xml:space="preserve"> </w:t>
            </w:r>
            <w:r>
              <w:rPr>
                <w:rFonts w:ascii="Times New Roman" w:hAnsi="Times New Roman"/>
                <w:noProof/>
                <w:lang w:val="lv-LV" w:eastAsia="lv-LV" w:bidi="lv-LV"/>
              </w:rPr>
              <w:t>Dažās dalībvalstīs ir palielinājies nabadzības riskam pakļauto personu (</w:t>
            </w:r>
            <w:r>
              <w:rPr>
                <w:rFonts w:ascii="Times New Roman" w:hAnsi="Times New Roman"/>
                <w:i/>
                <w:noProof/>
                <w:lang w:val="lv-LV" w:eastAsia="lv-LV" w:bidi="lv-LV"/>
              </w:rPr>
              <w:t>AROP</w:t>
            </w:r>
            <w:r>
              <w:rPr>
                <w:rFonts w:ascii="Times New Roman" w:hAnsi="Times New Roman"/>
                <w:noProof/>
                <w:lang w:val="lv-LV" w:eastAsia="lv-LV" w:bidi="lv-LV"/>
              </w:rPr>
              <w:t xml:space="preserve">) īpatsvars, savukārt citās pēdējos gados tas ir </w:t>
            </w:r>
            <w:r>
              <w:rPr>
                <w:rFonts w:ascii="Times New Roman" w:hAnsi="Times New Roman"/>
                <w:noProof/>
                <w:lang w:val="lv-LV" w:eastAsia="lv-LV" w:bidi="lv-LV"/>
              </w:rPr>
              <w:t>samazinājies: lielākais pieaugums trīs gadu laikposmā tika reģistrēts Lietuvā (3,8 procentpunkti) un Luksemburgā (2,3), savukārt ievērojams samazinājums tika reģistrēts Grieķijā (1,9) un Polijā (2,0). Turpretī smagas materiālās nenodrošinātības (</w:t>
            </w:r>
            <w:r>
              <w:rPr>
                <w:rFonts w:ascii="Times New Roman" w:hAnsi="Times New Roman"/>
                <w:i/>
                <w:noProof/>
                <w:lang w:val="lv-LV" w:eastAsia="lv-LV" w:bidi="lv-LV"/>
              </w:rPr>
              <w:t>SMD</w:t>
            </w:r>
            <w:r>
              <w:rPr>
                <w:rFonts w:ascii="Times New Roman" w:hAnsi="Times New Roman"/>
                <w:noProof/>
                <w:lang w:val="lv-LV" w:eastAsia="lv-LV" w:bidi="lv-LV"/>
              </w:rPr>
              <w:t>) rādīt</w:t>
            </w:r>
            <w:r>
              <w:rPr>
                <w:rFonts w:ascii="Times New Roman" w:hAnsi="Times New Roman"/>
                <w:noProof/>
                <w:lang w:val="lv-LV" w:eastAsia="lv-LV" w:bidi="lv-LV"/>
              </w:rPr>
              <w:t>ājs vairākumā ES dalībvalstīs trīs gadu laikā (un arī 2017. gadā) samazinājās, turklāt Ungārijā, Latvijā, Maltā un Rumānijā tas triju gadu periodā samazinājās vairāk nekā par 5 procentpunktiem. Visbeidzot, lai gan atveseļošanās rezultātā lielākajā daļā val</w:t>
            </w:r>
            <w:r>
              <w:rPr>
                <w:rFonts w:ascii="Times New Roman" w:hAnsi="Times New Roman"/>
                <w:noProof/>
                <w:lang w:val="lv-LV" w:eastAsia="lv-LV" w:bidi="lv-LV"/>
              </w:rPr>
              <w:t>stu ir samazinājies to cilvēku īpatsvars (jaunāki par 60 gadiem), kuri dzīvo mājsaimniecībās ar ļoti zemu darba intensitāti, šis īpatsvars trīs gadu laikposmā līdz 2017. gadam Somijā un Lietuvā ir palielinājies; turklāt nodarbināto personu nabadzība visā E</w:t>
            </w:r>
            <w:r>
              <w:rPr>
                <w:rFonts w:ascii="Times New Roman" w:hAnsi="Times New Roman"/>
                <w:noProof/>
                <w:lang w:val="lv-LV" w:eastAsia="lv-LV" w:bidi="lv-LV"/>
              </w:rPr>
              <w:t>S pēdējos divos gados ir stabilizējusies augstākajā līmenī, proti, 9,6 %.</w:t>
            </w:r>
          </w:p>
        </w:tc>
      </w:tr>
    </w:tbl>
    <w:p w:rsidR="003D03E9" w:rsidRDefault="00F77AE9">
      <w:pPr>
        <w:rPr>
          <w:rFonts w:ascii="Times New Roman" w:eastAsia="Times New Roman" w:hAnsi="Times New Roman" w:cs="Times New Roman"/>
          <w:b/>
          <w:noProof/>
          <w:sz w:val="24"/>
          <w:szCs w:val="24"/>
          <w:lang w:val="lv-LV" w:eastAsia="lv-LV" w:bidi="lv-LV"/>
        </w:rPr>
      </w:pPr>
      <w:r>
        <w:rPr>
          <w:noProof/>
          <w:lang w:val="lv-LV" w:eastAsia="lv-LV" w:bidi="lv-LV"/>
        </w:rPr>
        <w:br w:type="page"/>
      </w:r>
    </w:p>
    <w:p w:rsidR="003D03E9" w:rsidRDefault="00F77AE9">
      <w:pPr>
        <w:rPr>
          <w:rFonts w:ascii="Times New Roman Bold" w:eastAsia="MS Gothic" w:hAnsi="Times New Roman Bold" w:cs="Times New Roman" w:hint="eastAsia"/>
          <w:b/>
          <w:bCs/>
          <w:smallCaps/>
          <w:noProof/>
          <w:lang w:val="lv-LV" w:eastAsia="lv-LV" w:bidi="lv-LV"/>
        </w:rPr>
      </w:pPr>
      <w:r>
        <w:rPr>
          <w:rFonts w:ascii="Times New Roman Bold" w:hAnsi="Times New Roman Bold"/>
          <w:b/>
          <w:smallCaps/>
          <w:noProof/>
          <w:lang w:val="lv-LV" w:eastAsia="lv-LV" w:bidi="lv-LV"/>
        </w:rPr>
        <w:t>3.</w:t>
      </w:r>
      <w:r>
        <w:rPr>
          <w:noProof/>
          <w:lang w:val="lv-LV" w:eastAsia="lv-LV" w:bidi="lv-LV"/>
        </w:rPr>
        <w:tab/>
      </w:r>
      <w:r>
        <w:rPr>
          <w:rFonts w:ascii="Times New Roman Bold" w:hAnsi="Times New Roman Bold"/>
          <w:b/>
          <w:smallCaps/>
          <w:noProof/>
          <w:lang w:val="lv-LV" w:eastAsia="lv-LV" w:bidi="lv-LV"/>
        </w:rPr>
        <w:t>Kopsavilkums par galvenajām problēmām dalībvalstīs un uzraudzības ietekmi</w:t>
      </w:r>
    </w:p>
    <w:p w:rsidR="003D03E9" w:rsidRDefault="00F77AE9">
      <w:pPr>
        <w:spacing w:before="120" w:after="120"/>
        <w:jc w:val="both"/>
        <w:rPr>
          <w:rFonts w:ascii="Times New Roman" w:eastAsia="Times New Roman" w:hAnsi="Times New Roman" w:cs="Times New Roman"/>
          <w:noProof/>
          <w:lang w:val="lv-LV" w:eastAsia="lv-LV" w:bidi="lv-LV"/>
        </w:rPr>
      </w:pPr>
      <w:r>
        <w:rPr>
          <w:rFonts w:ascii="Times New Roman" w:hAnsi="Times New Roman"/>
          <w:b/>
          <w:noProof/>
          <w:lang w:val="lv-LV" w:eastAsia="lv-LV" w:bidi="lv-LV"/>
        </w:rPr>
        <w:t>Kopumā saglabājas riski vairākās dalībvalstīs un dažādās kombinācijās.</w:t>
      </w:r>
      <w:r>
        <w:rPr>
          <w:rFonts w:ascii="Times New Roman" w:hAnsi="Times New Roman"/>
          <w:noProof/>
          <w:lang w:val="lv-LV" w:eastAsia="lv-LV" w:bidi="lv-LV"/>
        </w:rPr>
        <w:t xml:space="preserve"> Makroekonomikas stabilitātes pr</w:t>
      </w:r>
      <w:r>
        <w:rPr>
          <w:rFonts w:ascii="Times New Roman" w:hAnsi="Times New Roman"/>
          <w:noProof/>
          <w:lang w:val="lv-LV" w:eastAsia="lv-LV" w:bidi="lv-LV"/>
        </w:rPr>
        <w:t xml:space="preserve">oblēmu smaguma pakāpe dalībvalstīs ievērojami atšķiras atkarībā no neaizsargātības faktoru veida un apjoma un neilgtspējīgām tendencēm, kā arī veida, kādā tās mijiedarbojas un apvienojas. Galvenie risku avoti apvienojas atbilstoši virknei tipoloģiju, kuru </w:t>
      </w:r>
      <w:r>
        <w:rPr>
          <w:rFonts w:ascii="Times New Roman" w:hAnsi="Times New Roman"/>
          <w:noProof/>
          <w:lang w:val="lv-LV" w:eastAsia="lv-LV" w:bidi="lv-LV"/>
        </w:rPr>
        <w:t>kopsavilkums ir šāds.</w:t>
      </w:r>
    </w:p>
    <w:p w:rsidR="003D03E9" w:rsidRDefault="00F77AE9">
      <w:pPr>
        <w:numPr>
          <w:ilvl w:val="0"/>
          <w:numId w:val="2"/>
        </w:numPr>
        <w:spacing w:before="120" w:after="120"/>
        <w:ind w:left="567" w:hanging="425"/>
        <w:jc w:val="both"/>
        <w:rPr>
          <w:rFonts w:ascii="Times New Roman" w:eastAsia="Times New Roman" w:hAnsi="Times New Roman" w:cs="Times New Roman"/>
          <w:noProof/>
          <w:lang w:val="lv-LV" w:eastAsia="lv-LV" w:bidi="lv-LV"/>
        </w:rPr>
      </w:pPr>
      <w:r>
        <w:rPr>
          <w:rFonts w:ascii="Times New Roman" w:hAnsi="Times New Roman"/>
          <w:noProof/>
          <w:lang w:val="lv-LV" w:eastAsia="lv-LV" w:bidi="lv-LV"/>
        </w:rPr>
        <w:t xml:space="preserve">Vairākās dalībvalstīs galvenokārt ir vērojami </w:t>
      </w:r>
      <w:r>
        <w:rPr>
          <w:rFonts w:ascii="Times New Roman" w:hAnsi="Times New Roman"/>
          <w:i/>
          <w:noProof/>
          <w:lang w:val="lv-LV" w:eastAsia="lv-LV" w:bidi="lv-LV"/>
        </w:rPr>
        <w:t>daudzi un savstarpēji saistīti neaizsargātības faktori saistībā ar uzkrājumiem</w:t>
      </w:r>
      <w:r>
        <w:rPr>
          <w:rFonts w:ascii="Times New Roman" w:hAnsi="Times New Roman"/>
          <w:noProof/>
          <w:lang w:val="lv-LV" w:eastAsia="lv-LV" w:bidi="lv-LV"/>
        </w:rPr>
        <w:t>. Tā tas parasti ir valstīs, kuras skāra kredītcikli ar krasiem kāpumiem un kritumiem apvienojumā ar tekošā ko</w:t>
      </w:r>
      <w:r>
        <w:rPr>
          <w:rFonts w:ascii="Times New Roman" w:hAnsi="Times New Roman"/>
          <w:noProof/>
          <w:lang w:val="lv-LV" w:eastAsia="lv-LV" w:bidi="lv-LV"/>
        </w:rPr>
        <w:t xml:space="preserve">nta pozīciju apvērsēm, kas ietekmēja arī banku nozari un valdības parādu. </w:t>
      </w:r>
    </w:p>
    <w:p w:rsidR="003D03E9" w:rsidRDefault="00F77AE9">
      <w:pPr>
        <w:numPr>
          <w:ilvl w:val="1"/>
          <w:numId w:val="2"/>
        </w:numPr>
        <w:spacing w:before="120" w:after="120"/>
        <w:ind w:left="1134" w:hanging="425"/>
        <w:jc w:val="both"/>
        <w:rPr>
          <w:rFonts w:ascii="Times New Roman" w:eastAsia="Times New Roman" w:hAnsi="Times New Roman" w:cs="Times New Roman"/>
          <w:noProof/>
          <w:lang w:val="lv-LV" w:eastAsia="lv-LV" w:bidi="lv-LV"/>
        </w:rPr>
      </w:pPr>
      <w:r>
        <w:rPr>
          <w:rFonts w:ascii="Times New Roman" w:hAnsi="Times New Roman"/>
          <w:noProof/>
          <w:lang w:val="lv-LV" w:eastAsia="lv-LV" w:bidi="lv-LV"/>
        </w:rPr>
        <w:t>Kiprā un Grieķijā augsts parāda līmenis un lielas negatīvās neto starptautisko ieguldījumu pozīcijas papildina atlikušās problēmas finanšu sektorā. Šajās valstīs joprojām ir aktuāla</w:t>
      </w:r>
      <w:r>
        <w:rPr>
          <w:rFonts w:ascii="Times New Roman" w:hAnsi="Times New Roman"/>
          <w:noProof/>
          <w:lang w:val="lv-LV" w:eastAsia="lv-LV" w:bidi="lv-LV"/>
        </w:rPr>
        <w:t xml:space="preserve"> problēma, kā samazināt ievērojamo aizņemto līdzekļu īpatsvaru situācijā, ko raksturo ierobežotas fiskālās manevrēšanas iespējas, augsts (kaut arī rūkošs) bezdarba līmenis un pieticīga potenciālā izaugsme. </w:t>
      </w:r>
    </w:p>
    <w:p w:rsidR="003D03E9" w:rsidRDefault="00F77AE9">
      <w:pPr>
        <w:numPr>
          <w:ilvl w:val="1"/>
          <w:numId w:val="2"/>
        </w:numPr>
        <w:spacing w:before="120" w:after="120"/>
        <w:ind w:left="1134" w:hanging="425"/>
        <w:jc w:val="both"/>
        <w:rPr>
          <w:rFonts w:ascii="Times New Roman" w:eastAsia="Times New Roman" w:hAnsi="Times New Roman" w:cs="Times New Roman"/>
          <w:noProof/>
          <w:lang w:val="lv-LV" w:eastAsia="lv-LV" w:bidi="lv-LV"/>
        </w:rPr>
      </w:pPr>
      <w:r>
        <w:rPr>
          <w:rFonts w:ascii="Times New Roman" w:hAnsi="Times New Roman"/>
          <w:noProof/>
          <w:lang w:val="lv-LV" w:eastAsia="lv-LV" w:bidi="lv-LV"/>
        </w:rPr>
        <w:t>Horvātijā, Īrijā, Portugālē un Spānijā neaizsargā</w:t>
      </w:r>
      <w:r>
        <w:rPr>
          <w:rFonts w:ascii="Times New Roman" w:hAnsi="Times New Roman"/>
          <w:noProof/>
          <w:lang w:val="lv-LV" w:eastAsia="lv-LV" w:bidi="lv-LV"/>
        </w:rPr>
        <w:t>tības faktori, ko rada iepriekšējās problēmas saistībā ar uzkrājumiem, ir būtiski, daudzējādi un savstarpēji saistīti. Bulgārijā lielas uzņēmumu parādsaistības papildina ieilgušās problēmas finanšu sektorā. Šajās valstīs krājumu nelīdzsvarotība samazinās e</w:t>
      </w:r>
      <w:r>
        <w:rPr>
          <w:rFonts w:ascii="Times New Roman" w:hAnsi="Times New Roman"/>
          <w:noProof/>
          <w:lang w:val="lv-LV" w:eastAsia="lv-LV" w:bidi="lv-LV"/>
        </w:rPr>
        <w:t>konomikas ekspansijas rezultātā, un dažos gadījumos tas ir saistīts ar izmaksu spiediena atkārtošanos, kas izpaužas mājokļu cenu līmenī (jo īpaši Īrijā un arvien vairāk Portugālē), kā arī apstājušos izmaksu konkurētspējas pieaugumu (jo īpaši Bulgārijā ir r</w:t>
      </w:r>
      <w:r>
        <w:rPr>
          <w:rFonts w:ascii="Times New Roman" w:hAnsi="Times New Roman"/>
          <w:noProof/>
          <w:lang w:val="lv-LV" w:eastAsia="lv-LV" w:bidi="lv-LV"/>
        </w:rPr>
        <w:t>eģistrēts liels vienības darbaspēka izmaksu pieaugums).</w:t>
      </w:r>
    </w:p>
    <w:p w:rsidR="003D03E9" w:rsidRDefault="00F77AE9">
      <w:pPr>
        <w:numPr>
          <w:ilvl w:val="0"/>
          <w:numId w:val="2"/>
        </w:numPr>
        <w:spacing w:before="120" w:after="120"/>
        <w:ind w:left="567" w:hanging="425"/>
        <w:jc w:val="both"/>
        <w:rPr>
          <w:rFonts w:ascii="Times New Roman" w:eastAsia="Times New Roman" w:hAnsi="Times New Roman" w:cs="Times New Roman"/>
          <w:noProof/>
          <w:lang w:val="lv-LV" w:eastAsia="lv-LV" w:bidi="lv-LV"/>
        </w:rPr>
      </w:pPr>
      <w:r>
        <w:rPr>
          <w:rFonts w:ascii="Times New Roman" w:hAnsi="Times New Roman"/>
          <w:noProof/>
          <w:lang w:val="lv-LV" w:eastAsia="lv-LV" w:bidi="lv-LV"/>
        </w:rPr>
        <w:t xml:space="preserve">Dažās dalībvalstīs neaizsargātības faktori ir saistīti galvenokārt ar </w:t>
      </w:r>
      <w:r>
        <w:rPr>
          <w:rFonts w:ascii="Times New Roman" w:hAnsi="Times New Roman"/>
          <w:i/>
          <w:noProof/>
          <w:lang w:val="lv-LV" w:eastAsia="lv-LV" w:bidi="lv-LV"/>
        </w:rPr>
        <w:t>lielu uzkrāto vispārējās valdības parādu</w:t>
      </w:r>
      <w:r>
        <w:rPr>
          <w:rFonts w:ascii="Times New Roman" w:hAnsi="Times New Roman"/>
          <w:noProof/>
          <w:lang w:val="lv-LV" w:eastAsia="lv-LV" w:bidi="lv-LV"/>
        </w:rPr>
        <w:t xml:space="preserve"> un apvienojumā ar bažām par </w:t>
      </w:r>
      <w:r>
        <w:rPr>
          <w:rFonts w:ascii="Times New Roman" w:hAnsi="Times New Roman"/>
          <w:i/>
          <w:noProof/>
          <w:lang w:val="lv-LV" w:eastAsia="lv-LV" w:bidi="lv-LV"/>
        </w:rPr>
        <w:t>potenciālās izlaides pieaugumu</w:t>
      </w:r>
      <w:r>
        <w:rPr>
          <w:rFonts w:ascii="Times New Roman" w:hAnsi="Times New Roman"/>
          <w:noProof/>
          <w:lang w:val="lv-LV" w:eastAsia="lv-LV" w:bidi="lv-LV"/>
        </w:rPr>
        <w:t xml:space="preserve"> un </w:t>
      </w:r>
      <w:r>
        <w:rPr>
          <w:rFonts w:ascii="Times New Roman" w:hAnsi="Times New Roman"/>
          <w:i/>
          <w:noProof/>
          <w:lang w:val="lv-LV" w:eastAsia="lv-LV" w:bidi="lv-LV"/>
        </w:rPr>
        <w:t>konkurētspēju</w:t>
      </w:r>
      <w:r>
        <w:rPr>
          <w:rFonts w:ascii="Times New Roman" w:hAnsi="Times New Roman"/>
          <w:noProof/>
          <w:lang w:val="lv-LV" w:eastAsia="lv-LV" w:bidi="lv-LV"/>
        </w:rPr>
        <w:t>. Tas jo īpaši</w:t>
      </w:r>
      <w:r>
        <w:rPr>
          <w:rFonts w:ascii="Times New Roman" w:hAnsi="Times New Roman"/>
          <w:noProof/>
          <w:lang w:val="lv-LV" w:eastAsia="lv-LV" w:bidi="lv-LV"/>
        </w:rPr>
        <w:t xml:space="preserve"> attiecas uz Itāliju, kur neaizsargātības faktori ir saistīti arī ar banku sektoru un INA apjomu, kas ir liels, taču nesen sācis strauji samazināties. Beļģijā un Francijā arī ir liels vispārējās valdības parāds un potenciālās izaugsmes problēmas, tostarp k</w:t>
      </w:r>
      <w:r>
        <w:rPr>
          <w:rFonts w:ascii="Times New Roman" w:hAnsi="Times New Roman"/>
          <w:noProof/>
          <w:lang w:val="lv-LV" w:eastAsia="lv-LV" w:bidi="lv-LV"/>
        </w:rPr>
        <w:t>onkurētspējas sarukums, bet tajās nav līdzīgu potenciālo risku, kas saistīti ar valdības parādu vai kas izriet no neaizsargātām bankām. Francijā palielinās salīdzinoši liela uzņēmumu parāda krājumi. Beļģijā samērā lieli mājsaimniecību parāda krājumi ir sai</w:t>
      </w:r>
      <w:r>
        <w:rPr>
          <w:rFonts w:ascii="Times New Roman" w:hAnsi="Times New Roman"/>
          <w:noProof/>
          <w:lang w:val="lv-LV" w:eastAsia="lv-LV" w:bidi="lv-LV"/>
        </w:rPr>
        <w:t>stīti ar, iespējams, pārāk augstu novērtētām mājokļu cenām.</w:t>
      </w:r>
    </w:p>
    <w:p w:rsidR="003D03E9" w:rsidRDefault="00F77AE9">
      <w:pPr>
        <w:numPr>
          <w:ilvl w:val="0"/>
          <w:numId w:val="2"/>
        </w:numPr>
        <w:spacing w:before="120" w:after="120"/>
        <w:ind w:left="567" w:hanging="425"/>
        <w:jc w:val="both"/>
        <w:rPr>
          <w:rFonts w:ascii="Times New Roman" w:eastAsia="Times New Roman" w:hAnsi="Times New Roman" w:cs="Times New Roman"/>
          <w:noProof/>
          <w:lang w:val="lv-LV" w:eastAsia="lv-LV" w:bidi="lv-LV"/>
        </w:rPr>
      </w:pPr>
      <w:r>
        <w:rPr>
          <w:rFonts w:ascii="Times New Roman" w:hAnsi="Times New Roman"/>
          <w:noProof/>
          <w:lang w:val="lv-LV" w:eastAsia="lv-LV" w:bidi="lv-LV"/>
        </w:rPr>
        <w:t xml:space="preserve">Dažām dalībvalstīm ir raksturīgs </w:t>
      </w:r>
      <w:r>
        <w:rPr>
          <w:rFonts w:ascii="Times New Roman" w:hAnsi="Times New Roman"/>
          <w:i/>
          <w:noProof/>
          <w:lang w:val="lv-LV" w:eastAsia="lv-LV" w:bidi="lv-LV"/>
        </w:rPr>
        <w:t>liels un noturīgs tekošā konta pārpalikums</w:t>
      </w:r>
      <w:r>
        <w:rPr>
          <w:rFonts w:ascii="Times New Roman" w:hAnsi="Times New Roman"/>
          <w:noProof/>
          <w:lang w:val="lv-LV" w:eastAsia="lv-LV" w:bidi="lv-LV"/>
        </w:rPr>
        <w:t>, kas dažādā mērā atspoguļo arī pieticīgu privāto patēriņu un ieguldījumus, kas pārsniedz to līmeni, kas būtu pamatots ar</w:t>
      </w:r>
      <w:r>
        <w:rPr>
          <w:rFonts w:ascii="Times New Roman" w:hAnsi="Times New Roman"/>
          <w:noProof/>
          <w:lang w:val="lv-LV" w:eastAsia="lv-LV" w:bidi="lv-LV"/>
        </w:rPr>
        <w:t xml:space="preserve"> ekonomikas pamatprincipiem. Tas jo īpaši attiecas uz Vāciju un Nīderlandi. Turklāt Vācijā tas ir apvienojumā ar aizņemto līdzekļu īpatsvara samazināšanu visās ekonomikas nozarēs, lai arī parāda līmenis nav salīdzinoši augsts. Nīderlandē lielu pārpalikumu </w:t>
      </w:r>
      <w:r>
        <w:rPr>
          <w:rFonts w:ascii="Times New Roman" w:hAnsi="Times New Roman"/>
          <w:noProof/>
          <w:lang w:val="lv-LV" w:eastAsia="lv-LV" w:bidi="lv-LV"/>
        </w:rPr>
        <w:t>papildina lieli mājsaimniecību parāda krājumi un spēcīgs mājokļu cenu pieaugums. Šie apjomīgie un noturīgie pārpalikumi var nozīmēt neizmantotas izaugsmes un iekšzemes ieguldījumu iespējas, kas ietekmē pārējās eurozonas valstis, ņemot vērā to, ka inflācija</w:t>
      </w:r>
      <w:r>
        <w:rPr>
          <w:rFonts w:ascii="Times New Roman" w:hAnsi="Times New Roman"/>
          <w:noProof/>
          <w:lang w:val="lv-LV" w:eastAsia="lv-LV" w:bidi="lv-LV"/>
        </w:rPr>
        <w:t xml:space="preserve"> joprojām ir mazāka par mērķvērtību, un ārējo kontekstu, kas kļūst arvien neskaidrāks un var kļūt mazāk labvēlīgs.</w:t>
      </w:r>
    </w:p>
    <w:p w:rsidR="003D03E9" w:rsidRDefault="00F77AE9">
      <w:pPr>
        <w:numPr>
          <w:ilvl w:val="0"/>
          <w:numId w:val="2"/>
        </w:numPr>
        <w:spacing w:before="120" w:after="120"/>
        <w:ind w:left="567" w:hanging="425"/>
        <w:jc w:val="both"/>
        <w:rPr>
          <w:rFonts w:ascii="Times New Roman" w:eastAsia="Times New Roman" w:hAnsi="Times New Roman" w:cs="Times New Roman"/>
          <w:noProof/>
          <w:lang w:val="lv-LV" w:eastAsia="lv-LV" w:bidi="lv-LV"/>
        </w:rPr>
      </w:pPr>
      <w:r>
        <w:rPr>
          <w:rFonts w:ascii="Times New Roman" w:hAnsi="Times New Roman"/>
          <w:noProof/>
          <w:lang w:val="lv-LV" w:eastAsia="lv-LV" w:bidi="lv-LV"/>
        </w:rPr>
        <w:t xml:space="preserve">Dažās dalībvalstīs </w:t>
      </w:r>
      <w:r>
        <w:rPr>
          <w:rFonts w:ascii="Times New Roman" w:hAnsi="Times New Roman"/>
          <w:i/>
          <w:noProof/>
          <w:lang w:val="lv-LV" w:eastAsia="lv-LV" w:bidi="lv-LV"/>
        </w:rPr>
        <w:t>cenu vai izmaksu mainīgo izmaiņas norāda uz iespējamu pārkaršanu, īpaši attiecībā uz mājokļu tirgu vai darba tirgu</w:t>
      </w:r>
      <w:r>
        <w:rPr>
          <w:rFonts w:ascii="Times New Roman" w:hAnsi="Times New Roman"/>
          <w:noProof/>
          <w:lang w:val="lv-LV" w:eastAsia="lv-LV" w:bidi="lv-LV"/>
        </w:rPr>
        <w:t xml:space="preserve">. </w:t>
      </w:r>
    </w:p>
    <w:p w:rsidR="003D03E9" w:rsidRDefault="00F77AE9">
      <w:pPr>
        <w:numPr>
          <w:ilvl w:val="1"/>
          <w:numId w:val="2"/>
        </w:numPr>
        <w:spacing w:before="120" w:after="120"/>
        <w:ind w:left="1134" w:hanging="425"/>
        <w:jc w:val="both"/>
        <w:rPr>
          <w:rFonts w:ascii="Times New Roman" w:eastAsia="Times New Roman" w:hAnsi="Times New Roman" w:cs="Times New Roman"/>
          <w:noProof/>
          <w:lang w:val="lv-LV" w:eastAsia="lv-LV" w:bidi="lv-LV"/>
        </w:rPr>
      </w:pPr>
      <w:r>
        <w:rPr>
          <w:rFonts w:ascii="Times New Roman" w:hAnsi="Times New Roman"/>
          <w:noProof/>
          <w:lang w:val="lv-LV" w:eastAsia="lv-LV" w:bidi="lv-LV"/>
        </w:rPr>
        <w:t>Zvied</w:t>
      </w:r>
      <w:r>
        <w:rPr>
          <w:rFonts w:ascii="Times New Roman" w:hAnsi="Times New Roman"/>
          <w:noProof/>
          <w:lang w:val="lv-LV" w:eastAsia="lv-LV" w:bidi="lv-LV"/>
        </w:rPr>
        <w:t>rijā un mazākā mērā Austrijā, Dānijā, Luksemburgā, Nīderlandē un Apvienotajā Karalistē ir vērojams noturīgs mājokļu cenu pieaugums saistībā ar iespējamām pārāk augstas vērtības starpībām un ievērojamu mājsaimniecību parāda līmeni, taču jaunākie pierādījumi</w:t>
      </w:r>
      <w:r>
        <w:rPr>
          <w:rFonts w:ascii="Times New Roman" w:hAnsi="Times New Roman"/>
          <w:noProof/>
          <w:lang w:val="lv-LV" w:eastAsia="lv-LV" w:bidi="lv-LV"/>
        </w:rPr>
        <w:t xml:space="preserve"> liecina par mājokļu cenu pieauguma palēninājumu. Vairākās valstīs spēcīgs mājokļu cenu pieaugums ir saistīts ar to, ka ir aizvien mazāk pierādījumu par pārāk augstu novērtējumu un ierobežoti mājsaimniecību parāda krājumi (piemēram, Čehijā, Ungārijā un Lat</w:t>
      </w:r>
      <w:r>
        <w:rPr>
          <w:rFonts w:ascii="Times New Roman" w:hAnsi="Times New Roman"/>
          <w:noProof/>
          <w:lang w:val="lv-LV" w:eastAsia="lv-LV" w:bidi="lv-LV"/>
        </w:rPr>
        <w:t xml:space="preserve">vijā). </w:t>
      </w:r>
    </w:p>
    <w:p w:rsidR="003D03E9" w:rsidRDefault="00F77AE9">
      <w:pPr>
        <w:numPr>
          <w:ilvl w:val="1"/>
          <w:numId w:val="2"/>
        </w:numPr>
        <w:spacing w:before="120" w:after="120"/>
        <w:ind w:left="1134" w:hanging="425"/>
        <w:jc w:val="both"/>
        <w:rPr>
          <w:rFonts w:ascii="Times New Roman" w:eastAsia="Times New Roman" w:hAnsi="Times New Roman" w:cs="Times New Roman"/>
          <w:noProof/>
          <w:lang w:val="lv-LV" w:eastAsia="lv-LV" w:bidi="lv-LV"/>
        </w:rPr>
      </w:pPr>
      <w:r>
        <w:rPr>
          <w:rFonts w:ascii="Times New Roman" w:hAnsi="Times New Roman"/>
          <w:noProof/>
          <w:lang w:val="lv-LV" w:eastAsia="lv-LV" w:bidi="lv-LV"/>
        </w:rPr>
        <w:t xml:space="preserve">Čehijā, Igaunijā, Latvijā, Lietuvā, Rumānijā un Ungārijā vienības darbaspēka izmaksas turpina augt visai strauji, savukārt cenu konkurētspēja mazinās. Rumānijas gadījumā vienības darbaspēka izmaksu paātrināšanās notiek apstākļos, kad pasliktinās </w:t>
      </w:r>
      <w:r>
        <w:rPr>
          <w:rFonts w:ascii="Times New Roman" w:hAnsi="Times New Roman"/>
          <w:noProof/>
          <w:lang w:val="lv-LV" w:eastAsia="lv-LV" w:bidi="lv-LV"/>
        </w:rPr>
        <w:t>tekošā konta saldo deficīts un tiek īstenota procikliska fiskālā politika, kas varētu vēl saasināt iespējamos pārkaršanas riskus.</w:t>
      </w:r>
    </w:p>
    <w:p w:rsidR="003D03E9" w:rsidRDefault="00F77AE9">
      <w:pPr>
        <w:spacing w:before="120" w:after="120"/>
        <w:jc w:val="both"/>
        <w:rPr>
          <w:rFonts w:ascii="Times New Roman" w:eastAsia="Times New Roman" w:hAnsi="Times New Roman" w:cs="Times New Roman"/>
          <w:noProof/>
          <w:lang w:val="lv-LV" w:eastAsia="lv-LV" w:bidi="lv-LV"/>
        </w:rPr>
      </w:pPr>
      <w:r>
        <w:rPr>
          <w:rFonts w:ascii="Times New Roman" w:hAnsi="Times New Roman"/>
          <w:noProof/>
          <w:lang w:val="lv-LV" w:eastAsia="lv-LV" w:bidi="lv-LV"/>
        </w:rPr>
        <w:t>Gaidāmie PP palīdzēs iedziļināties šo problēmu analīzē un novērtēt politikas vajadzības.</w:t>
      </w:r>
    </w:p>
    <w:p w:rsidR="003D03E9" w:rsidRDefault="00F77AE9">
      <w:pPr>
        <w:spacing w:before="120" w:after="120"/>
        <w:jc w:val="both"/>
        <w:rPr>
          <w:rFonts w:ascii="Times New Roman" w:eastAsia="Times New Roman" w:hAnsi="Times New Roman" w:cs="Times New Roman"/>
          <w:noProof/>
          <w:lang w:val="lv-LV" w:eastAsia="lv-LV" w:bidi="lv-LV"/>
        </w:rPr>
      </w:pPr>
      <w:r>
        <w:rPr>
          <w:rFonts w:ascii="Times New Roman" w:hAnsi="Times New Roman"/>
          <w:b/>
          <w:noProof/>
          <w:lang w:val="lv-LV" w:eastAsia="lv-LV" w:bidi="lv-LV"/>
        </w:rPr>
        <w:t>Kopumā PP tiek ieteikts sagatavot par</w:t>
      </w:r>
      <w:r>
        <w:rPr>
          <w:rFonts w:ascii="Times New Roman" w:hAnsi="Times New Roman"/>
          <w:b/>
          <w:noProof/>
          <w:lang w:val="lv-LV" w:eastAsia="lv-LV" w:bidi="lv-LV"/>
        </w:rPr>
        <w:t xml:space="preserve"> 13 dalībvalstīm: Bulgāriju, Franciju, Grieķiju, Horvātiju, Itāliju, Īriju, Kipru, Nīderlandi, Portugāli, Rumāniju, Spāniju, Vāciju un Zviedriju.</w:t>
      </w:r>
      <w:r>
        <w:rPr>
          <w:rFonts w:ascii="Times New Roman" w:hAnsi="Times New Roman"/>
          <w:noProof/>
          <w:lang w:val="lv-LV" w:eastAsia="lv-LV" w:bidi="lv-LV"/>
        </w:rPr>
        <w:t xml:space="preserve"> Par vienpadsmit no šīm dalībvalstīm tika veikts PP iepriekšējā gada MNNP īstenošanas ciklā. Atbilstoši iedibin</w:t>
      </w:r>
      <w:r>
        <w:rPr>
          <w:rFonts w:ascii="Times New Roman" w:hAnsi="Times New Roman"/>
          <w:noProof/>
          <w:lang w:val="lv-LV" w:eastAsia="lv-LV" w:bidi="lv-LV"/>
        </w:rPr>
        <w:t>ātajai praksei, lai novērtētu, vai konstatētā nelīdzsvarotība palielinās vai tiek koriģēta, un atjauninātu esošo novērtējumu, tiks sagatavots jauns PP. Šīs dalībvalstis ir Bulgārija, Francija, Horvātija, Itālija, Īrija, Kipra, Nīderlande, Portugāle, Spānij</w:t>
      </w:r>
      <w:r>
        <w:rPr>
          <w:rFonts w:ascii="Times New Roman" w:hAnsi="Times New Roman"/>
          <w:noProof/>
          <w:lang w:val="lv-LV" w:eastAsia="lv-LV" w:bidi="lv-LV"/>
        </w:rPr>
        <w:t>a, Vācija un Zviedrija. PP tiks sagatavots arī par Grieķiju, lai novērtētu iespējamo nelīdzsvarotību, kas izriet no vairākiem avotiem, jo īpaši neaizsargātības faktoriem saistībā ar uzkrājumiem. Grieķijai iepriekš tika izslēgta no MNNP uzraudzības, jo līdz</w:t>
      </w:r>
      <w:r>
        <w:rPr>
          <w:rFonts w:ascii="Times New Roman" w:hAnsi="Times New Roman"/>
          <w:noProof/>
          <w:lang w:val="lv-LV" w:eastAsia="lv-LV" w:bidi="lv-LV"/>
        </w:rPr>
        <w:t xml:space="preserve"> 2018. gada augustam finansiālās palīdzības kontekstā uz to attiecās makroekonomikas korekciju programma. BMZ novērtējums neliecina par būtiskiem papildu riskiem salīdzinājumā ar tiem, kas pēdējos pieejamajos PP konstatēti vairākām dalībvalstīm, kurām pēdē</w:t>
      </w:r>
      <w:r>
        <w:rPr>
          <w:rFonts w:ascii="Times New Roman" w:hAnsi="Times New Roman"/>
          <w:noProof/>
          <w:lang w:val="lv-LV" w:eastAsia="lv-LV" w:bidi="lv-LV"/>
        </w:rPr>
        <w:t>jos gados ir izbeigta MNNP uzraudzība (Slovēnija 2018. gadā, Somija 2017. gadā, Beļģija un Ungārija 2016. gadā) vai par kurām PP netika konstatēta nelīdzsvarotība (Austrija un Igaunija 2016. gadā). Tā vietā šķiet pamatoti sagatavot PP par Rumāniju nolūkā i</w:t>
      </w:r>
      <w:r>
        <w:rPr>
          <w:rFonts w:ascii="Times New Roman" w:hAnsi="Times New Roman"/>
          <w:noProof/>
          <w:lang w:val="lv-LV" w:eastAsia="lv-LV" w:bidi="lv-LV"/>
        </w:rPr>
        <w:t xml:space="preserve">zvērtēt jau iepriekšējos PP konstatēto riskanto tendenču attīstību un iespējamo atkārtošanos, jo īpaši saistībā ar konkurētspēju un ārējo bilanci. </w:t>
      </w:r>
    </w:p>
    <w:p w:rsidR="003D03E9" w:rsidRDefault="003D03E9">
      <w:pPr>
        <w:rPr>
          <w:rFonts w:ascii="Times New Roman" w:hAnsi="Times New Roman" w:cs="Times New Roman"/>
          <w:noProof/>
          <w:lang w:val="lv-LV" w:eastAsia="lv-LV" w:bidi="lv-LV"/>
        </w:rPr>
      </w:pPr>
    </w:p>
    <w:p w:rsidR="003D03E9" w:rsidRDefault="00F77AE9">
      <w:pPr>
        <w:rPr>
          <w:rFonts w:ascii="Times New Roman" w:hAnsi="Times New Roman" w:cs="Times New Roman"/>
          <w:b/>
          <w:noProof/>
          <w:lang w:val="lv-LV" w:eastAsia="lv-LV" w:bidi="lv-LV"/>
        </w:rPr>
      </w:pPr>
      <w:r>
        <w:rPr>
          <w:noProof/>
          <w:lang w:val="lv-LV" w:eastAsia="lv-LV" w:bidi="lv-LV"/>
        </w:rPr>
        <w:br w:type="page"/>
      </w:r>
    </w:p>
    <w:p w:rsidR="003D03E9" w:rsidRDefault="00F77AE9">
      <w:pPr>
        <w:keepNext/>
        <w:keepLines/>
        <w:spacing w:before="240" w:after="240" w:line="240" w:lineRule="auto"/>
        <w:jc w:val="both"/>
        <w:outlineLvl w:val="0"/>
        <w:rPr>
          <w:rFonts w:ascii="Times New Roman Bold" w:eastAsia="MS Gothic" w:hAnsi="Times New Roman Bold" w:cs="Times New Roman" w:hint="eastAsia"/>
          <w:b/>
          <w:bCs/>
          <w:smallCaps/>
          <w:noProof/>
          <w:sz w:val="24"/>
          <w:szCs w:val="24"/>
          <w:lang w:val="lv-LV" w:eastAsia="lv-LV" w:bidi="lv-LV"/>
        </w:rPr>
      </w:pPr>
      <w:r>
        <w:rPr>
          <w:rFonts w:ascii="Times New Roman Bold" w:eastAsia="MS Gothic" w:hAnsi="Times New Roman Bold" w:cs="Times New Roman"/>
          <w:b/>
          <w:bCs/>
          <w:smallCaps/>
          <w:noProof/>
          <w:sz w:val="24"/>
          <w:szCs w:val="24"/>
          <w:lang w:val="lv-LV" w:eastAsia="lv-LV" w:bidi="lv-LV"/>
        </w:rPr>
        <w:t>4.</w:t>
      </w:r>
      <w:r>
        <w:rPr>
          <w:rFonts w:ascii="Times New Roman Bold" w:eastAsia="MS Gothic" w:hAnsi="Times New Roman Bold" w:cs="Times New Roman"/>
          <w:b/>
          <w:bCs/>
          <w:smallCaps/>
          <w:noProof/>
          <w:sz w:val="24"/>
          <w:szCs w:val="24"/>
          <w:lang w:val="lv-LV" w:eastAsia="lv-LV" w:bidi="lv-LV"/>
        </w:rPr>
        <w:tab/>
        <w:t>Nelīdzsvarotība, riski un korekcijas: komentāri par konkrētām dalībvalstīm</w:t>
      </w:r>
    </w:p>
    <w:p w:rsidR="003D03E9" w:rsidRDefault="003D03E9">
      <w:pPr>
        <w:spacing w:after="160" w:line="259" w:lineRule="auto"/>
        <w:rPr>
          <w:rFonts w:ascii="Times New Roman" w:eastAsia="Calibri" w:hAnsi="Times New Roman" w:cs="Times New Roman"/>
          <w:b/>
          <w:noProof/>
          <w:lang w:val="lv-LV" w:eastAsia="lv-LV" w:bidi="lv-LV"/>
        </w:rPr>
      </w:pPr>
    </w:p>
    <w:p w:rsidR="003D03E9" w:rsidRDefault="00F77AE9">
      <w:pPr>
        <w:spacing w:after="160" w:line="259" w:lineRule="auto"/>
        <w:jc w:val="both"/>
        <w:rPr>
          <w:rFonts w:ascii="Times New Roman" w:eastAsia="Calibri" w:hAnsi="Times New Roman" w:cs="Times New Roman"/>
          <w:noProof/>
          <w:lang w:val="lv-LV" w:eastAsia="lv-LV" w:bidi="lv-LV"/>
        </w:rPr>
      </w:pPr>
      <w:r>
        <w:rPr>
          <w:rFonts w:ascii="Times New Roman" w:hAnsi="Times New Roman"/>
          <w:b/>
          <w:noProof/>
          <w:lang w:val="lv-LV" w:eastAsia="lv-LV" w:bidi="lv-LV"/>
        </w:rPr>
        <w:t>Beļģija.</w:t>
      </w:r>
      <w:r>
        <w:rPr>
          <w:rFonts w:ascii="Times New Roman" w:hAnsi="Times New Roman"/>
          <w:noProof/>
          <w:lang w:val="lv-LV" w:eastAsia="lv-LV" w:bidi="lv-LV"/>
        </w:rPr>
        <w:t xml:space="preserve"> Iepriekšējā MNNP </w:t>
      </w:r>
      <w:r>
        <w:rPr>
          <w:rFonts w:ascii="Times New Roman" w:hAnsi="Times New Roman"/>
          <w:noProof/>
          <w:lang w:val="lv-LV" w:eastAsia="lv-LV" w:bidi="lv-LV"/>
        </w:rPr>
        <w:t xml:space="preserve">kārtā Beļģijā </w:t>
      </w:r>
      <w:r>
        <w:rPr>
          <w:rFonts w:ascii="Times New Roman" w:hAnsi="Times New Roman"/>
          <w:i/>
          <w:noProof/>
          <w:lang w:val="lv-LV" w:eastAsia="lv-LV" w:bidi="lv-LV"/>
        </w:rPr>
        <w:t>netika konstatēta makroekonomikas nelīdzsvarotība</w:t>
      </w:r>
      <w:r>
        <w:rPr>
          <w:rFonts w:ascii="Times New Roman" w:hAnsi="Times New Roman"/>
          <w:noProof/>
          <w:lang w:val="lv-LV" w:eastAsia="lv-LV" w:bidi="lv-LV"/>
        </w:rPr>
        <w:t xml:space="preserve">. Atjauninātajā rādītāju kopsavilkumā vairāki rādītāji pārsniedz indikatīvo robežvērtību, proti, privātā sektora parāds un valdības parāds. </w:t>
      </w:r>
    </w:p>
    <w:p w:rsidR="003D03E9" w:rsidRDefault="00F77AE9">
      <w:pPr>
        <w:spacing w:after="120" w:line="300" w:lineRule="atLeast"/>
        <w:jc w:val="both"/>
        <w:rPr>
          <w:rFonts w:ascii="Times New Roman" w:eastAsia="Calibri" w:hAnsi="Times New Roman" w:cs="Times New Roman"/>
          <w:noProof/>
          <w:lang w:val="lv-LV" w:eastAsia="lv-LV" w:bidi="lv-LV"/>
        </w:rPr>
      </w:pPr>
      <w:r>
        <w:rPr>
          <w:rFonts w:ascii="Times New Roman" w:hAnsi="Times New Roman"/>
          <w:b/>
          <w:noProof/>
          <w:lang w:eastAsia="en-GB"/>
        </w:rPr>
        <w:drawing>
          <wp:anchor distT="0" distB="0" distL="114300" distR="114300" simplePos="0" relativeHeight="251628032" behindDoc="0" locked="0" layoutInCell="1" allowOverlap="1">
            <wp:simplePos x="0" y="0"/>
            <wp:positionH relativeFrom="column">
              <wp:posOffset>3291205</wp:posOffset>
            </wp:positionH>
            <wp:positionV relativeFrom="paragraph">
              <wp:posOffset>-1905</wp:posOffset>
            </wp:positionV>
            <wp:extent cx="2524125" cy="2962910"/>
            <wp:effectExtent l="0" t="0" r="9525"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24125" cy="29629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lang w:val="lv-LV" w:eastAsia="lv-LV" w:bidi="lv-LV"/>
        </w:rPr>
        <w:t xml:space="preserve">Ārējās ilgtspējas pamatā ir tekošā konta saldo </w:t>
      </w:r>
      <w:r>
        <w:rPr>
          <w:rFonts w:ascii="Times New Roman" w:hAnsi="Times New Roman"/>
          <w:noProof/>
          <w:lang w:val="lv-LV" w:eastAsia="lv-LV" w:bidi="lv-LV"/>
        </w:rPr>
        <w:t>uzlabojums un labvēlīga neto starptautisko ieguldījumu pozīcija. Pēc dažu gadu ilgas darba samaksas pieauguma ierobežošanas vienības darbaspēka izmaksu pieaugums ir palielinājies, bet joprojām ir ierobežots. 2017. gadā tika reģistrēts neliels eksporta tirg</w:t>
      </w:r>
      <w:r>
        <w:rPr>
          <w:rFonts w:ascii="Times New Roman" w:hAnsi="Times New Roman"/>
          <w:noProof/>
          <w:lang w:val="lv-LV" w:eastAsia="lv-LV" w:bidi="lv-LV"/>
        </w:rPr>
        <w:t>us daļas samazinājums. Privātā sektora parāds ir samērā liels, jo īpaši nefinanšu sabiedrībām, lai arī parāda rādītājus palielina plaši izplatītie grupu iekšējie aizdevumi starp valstīm. Ar mājsaimniecību parādu saistītos riskus galvenokārt rada mājokļu ti</w:t>
      </w:r>
      <w:r>
        <w:rPr>
          <w:rFonts w:ascii="Times New Roman" w:hAnsi="Times New Roman"/>
          <w:noProof/>
          <w:lang w:val="lv-LV" w:eastAsia="lv-LV" w:bidi="lv-LV"/>
        </w:rPr>
        <w:t>rgus, kurā pēdējos gados ir bijis mērens mājokļu reālo cenu pieaugums, lai gan nav notikusi korekcija, kas neitralizētu cenu straujo pieaugumu līdz 2008. gadam. Valdības parāds ir stabilizējies un nedaudz samazinājies salīdzinājumā ar maksimumu 2014. gadā.</w:t>
      </w:r>
      <w:r>
        <w:rPr>
          <w:rFonts w:ascii="Times New Roman" w:hAnsi="Times New Roman"/>
          <w:noProof/>
          <w:lang w:val="lv-LV" w:eastAsia="lv-LV" w:bidi="lv-LV"/>
        </w:rPr>
        <w:t xml:space="preserve"> Taču tā augstais līmenis turpina būtiski apdraudēt publisko finanšu ilgtermiņa stabilitāti. Situācija darba tirgū ir uzlabojusies, un bezdarba līmenis, tostarp ilgstošais un jauniešu bezdarba līmenis, turpina samazināties. Salīdzinājumā ar citām ES valstī</w:t>
      </w:r>
      <w:r>
        <w:rPr>
          <w:rFonts w:ascii="Times New Roman" w:hAnsi="Times New Roman"/>
          <w:noProof/>
          <w:lang w:val="lv-LV" w:eastAsia="lv-LV" w:bidi="lv-LV"/>
        </w:rPr>
        <w:t>m aktīvā darbaspēka līmenis joprojām ir zems pretstatā augstajam brīvo darbvietu skaitam, kas arvien pieaug.</w:t>
      </w:r>
    </w:p>
    <w:p w:rsidR="003D03E9" w:rsidRDefault="00F77AE9">
      <w:pPr>
        <w:spacing w:after="120" w:line="300" w:lineRule="atLeast"/>
        <w:jc w:val="both"/>
        <w:rPr>
          <w:rFonts w:ascii="Times New Roman" w:eastAsia="Calibri" w:hAnsi="Times New Roman" w:cs="Times New Roman"/>
          <w:i/>
          <w:noProof/>
          <w:lang w:val="lv-LV" w:eastAsia="lv-LV" w:bidi="lv-LV"/>
        </w:rPr>
      </w:pPr>
      <w:r>
        <w:rPr>
          <w:rFonts w:ascii="Times New Roman" w:hAnsi="Times New Roman"/>
          <w:i/>
          <w:noProof/>
          <w:lang w:val="lv-LV" w:eastAsia="lv-LV" w:bidi="lv-LV"/>
        </w:rPr>
        <w:t>Kopumā rādītāju ekonomiskā interpretācija izgaismo problēmas, kas attiecas galvenokārt uz publiskā, bet arī uz privātā sektora parādsaistībām, taču</w:t>
      </w:r>
      <w:r>
        <w:rPr>
          <w:rFonts w:ascii="Times New Roman" w:hAnsi="Times New Roman"/>
          <w:i/>
          <w:noProof/>
          <w:lang w:val="lv-LV" w:eastAsia="lv-LV" w:bidi="lv-LV"/>
        </w:rPr>
        <w:t xml:space="preserve"> riski, šķiet, ir ierobežoti. Tāpēc Komisija šajā posmā neveiks papildu padziļinātu analīzi saistībā ar MNNP.</w:t>
      </w:r>
    </w:p>
    <w:p w:rsidR="003D03E9" w:rsidRDefault="003D03E9">
      <w:pPr>
        <w:rPr>
          <w:rFonts w:ascii="Times New Roman" w:eastAsia="Calibri" w:hAnsi="Times New Roman" w:cs="Times New Roman"/>
          <w:noProof/>
          <w:lang w:val="lv-LV" w:eastAsia="lv-LV" w:bidi="lv-LV"/>
        </w:rPr>
      </w:pPr>
    </w:p>
    <w:p w:rsidR="003D03E9" w:rsidRDefault="00F77AE9">
      <w:pPr>
        <w:spacing w:after="120" w:line="300" w:lineRule="atLeast"/>
        <w:jc w:val="both"/>
        <w:rPr>
          <w:noProof/>
          <w:lang w:val="lv-LV" w:eastAsia="lv-LV" w:bidi="lv-LV"/>
        </w:rPr>
      </w:pPr>
      <w:r>
        <w:rPr>
          <w:noProof/>
          <w:lang w:eastAsia="en-GB"/>
        </w:rPr>
        <w:drawing>
          <wp:anchor distT="0" distB="0" distL="114300" distR="114300" simplePos="0" relativeHeight="251629056" behindDoc="0" locked="0" layoutInCell="1" allowOverlap="1">
            <wp:simplePos x="0" y="0"/>
            <wp:positionH relativeFrom="column">
              <wp:posOffset>3185795</wp:posOffset>
            </wp:positionH>
            <wp:positionV relativeFrom="paragraph">
              <wp:posOffset>5080</wp:posOffset>
            </wp:positionV>
            <wp:extent cx="2838450" cy="2867660"/>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38450" cy="28676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lang w:val="lv-LV" w:eastAsia="lv-LV" w:bidi="lv-LV"/>
        </w:rPr>
        <w:t>Bulgārija.</w:t>
      </w:r>
      <w:r>
        <w:rPr>
          <w:rFonts w:ascii="Times New Roman" w:hAnsi="Times New Roman"/>
          <w:b/>
          <w:i/>
          <w:noProof/>
          <w:lang w:val="lv-LV" w:eastAsia="lv-LV" w:bidi="lv-LV"/>
        </w:rPr>
        <w:t xml:space="preserve"> </w:t>
      </w:r>
      <w:r>
        <w:rPr>
          <w:rFonts w:ascii="Times New Roman" w:hAnsi="Times New Roman"/>
          <w:noProof/>
          <w:lang w:val="lv-LV" w:eastAsia="lv-LV" w:bidi="lv-LV"/>
        </w:rPr>
        <w:t xml:space="preserve">2018. gada martā tika konstatēts, ka Bulgārijā pastāv </w:t>
      </w:r>
      <w:r>
        <w:rPr>
          <w:rFonts w:ascii="Times New Roman" w:hAnsi="Times New Roman"/>
          <w:i/>
          <w:noProof/>
          <w:lang w:val="lv-LV" w:eastAsia="lv-LV" w:bidi="lv-LV"/>
        </w:rPr>
        <w:t>nelīdzsvarotība</w:t>
      </w:r>
      <w:r>
        <w:rPr>
          <w:rFonts w:ascii="Times New Roman" w:hAnsi="Times New Roman"/>
          <w:noProof/>
          <w:lang w:val="lv-LV" w:eastAsia="lv-LV" w:bidi="lv-LV"/>
        </w:rPr>
        <w:t>, jo īpaši saistībā ar neaizsargātības faktoriem finanšu sektorā</w:t>
      </w:r>
      <w:r>
        <w:rPr>
          <w:rFonts w:ascii="Times New Roman" w:hAnsi="Times New Roman"/>
          <w:noProof/>
          <w:lang w:val="lv-LV" w:eastAsia="lv-LV" w:bidi="lv-LV"/>
        </w:rPr>
        <w:t>, ko papildina augsts parādsaistību līmenis un ieņēmumus nenesoši aizdevumi uzņēmumu sektorā. Atjauninātajā rādītāju kopsavilkumā trīs rādītāji pārsniedz indikatīvās robežvērtības, proti, neto starptautisko ieguldījumu pozīcija, nominālo vienības darbaspēk</w:t>
      </w:r>
      <w:r>
        <w:rPr>
          <w:rFonts w:ascii="Times New Roman" w:hAnsi="Times New Roman"/>
          <w:noProof/>
          <w:lang w:val="lv-LV" w:eastAsia="lv-LV" w:bidi="lv-LV"/>
        </w:rPr>
        <w:t xml:space="preserve">a izmaksu pieaugums un mājokļu reālo cenu pieaugums. </w:t>
      </w:r>
    </w:p>
    <w:p w:rsidR="003D03E9" w:rsidRDefault="00F77AE9">
      <w:pPr>
        <w:spacing w:after="160"/>
        <w:jc w:val="both"/>
        <w:rPr>
          <w:noProof/>
          <w:lang w:val="lv-LV" w:eastAsia="lv-LV" w:bidi="lv-LV"/>
        </w:rPr>
      </w:pPr>
      <w:r>
        <w:rPr>
          <w:rFonts w:ascii="Times New Roman" w:hAnsi="Times New Roman"/>
          <w:noProof/>
          <w:lang w:val="lv-LV" w:eastAsia="lv-LV" w:bidi="lv-LV"/>
        </w:rPr>
        <w:t>Tekošā konta pārpalikums 2017. gadā turpināja palielināties, savukārt negatīvā neto starptautisko ieguldījumu pozīcija galvenokārt atspoguļo to, ka ārvalstu tiešie ieguldījumi ir vēl vairāk palielinājuš</w:t>
      </w:r>
      <w:r>
        <w:rPr>
          <w:rFonts w:ascii="Times New Roman" w:hAnsi="Times New Roman"/>
          <w:noProof/>
          <w:lang w:val="lv-LV" w:eastAsia="lv-LV" w:bidi="lv-LV"/>
        </w:rPr>
        <w:t>ies. Vienības darbaspēka izmaksu pieaugums 2017. gadā ievērojami palielinājās, bet reālais efektīvais valūtas kurss kopumā saglabājās stabils, un nedaudz palielinājās eksporta tirgus daļas. Lielais uzņēmumu parāds joprojām rada bažas, lai gan parāda attiec</w:t>
      </w:r>
      <w:r>
        <w:rPr>
          <w:rFonts w:ascii="Times New Roman" w:hAnsi="Times New Roman"/>
          <w:noProof/>
          <w:lang w:val="lv-LV" w:eastAsia="lv-LV" w:bidi="lv-LV"/>
        </w:rPr>
        <w:t>ība dažu pēdējo gadu laikā pakāpeniski ir samazinājusies, kas daļēji notika stabilā nominālā IKP pieauguma rezultātā. Kredītplūsmas atkal pieaug, kas palēninās aizņemto līdzekļu īpatsvara samazināšanas procesu, bet varētu arī veicināt lielākus privātos ieg</w:t>
      </w:r>
      <w:r>
        <w:rPr>
          <w:rFonts w:ascii="Times New Roman" w:hAnsi="Times New Roman"/>
          <w:noProof/>
          <w:lang w:val="lv-LV" w:eastAsia="lv-LV" w:bidi="lv-LV"/>
        </w:rPr>
        <w:t xml:space="preserve">uldījumus un spēcīgāku potenciālo izaugsmi. Lai gan ieņēmumus nenesošu aizdevumu īpatsvars samazinās, tas joprojām ir augsts, jo īpaši uzņēmumu sektorā. Lai gan pēc aktīvu kvalitātes pārskatīšanas 2016. gadā ir panākts progress finanšu sektora uzraudzības </w:t>
      </w:r>
      <w:r>
        <w:rPr>
          <w:rFonts w:ascii="Times New Roman" w:hAnsi="Times New Roman"/>
          <w:noProof/>
          <w:lang w:val="lv-LV" w:eastAsia="lv-LV" w:bidi="lv-LV"/>
        </w:rPr>
        <w:t>uzlabošanā, joprojām jāpievērš uzmanība dažiem neaizsargātības faktoriem, tostarp saistīto pušu darījumiem un riska darījumiem ar grūti novērtējamiem aktīviem. Reālās mājokļu cenas ir strauji pieaugušas, un arī hipotekāro kredītu apjoms ir palielinājies. Š</w:t>
      </w:r>
      <w:r>
        <w:rPr>
          <w:rFonts w:ascii="Times New Roman" w:hAnsi="Times New Roman"/>
          <w:noProof/>
          <w:lang w:val="lv-LV" w:eastAsia="lv-LV" w:bidi="lv-LV"/>
        </w:rPr>
        <w:t>ajā posmā vēl nav pazīmju, kas liecinātu par pārāk augstu novērtējumu, bet pašreizējai mājokļu tirgus dinamikai ir jāpievērš liela uzmanība. Pozitīvu ciklisku norišu rezultātā bezdarbs, jo īpaši jauniešu un ilgstošais bezdarbs, turpināja samazināties un pi</w:t>
      </w:r>
      <w:r>
        <w:rPr>
          <w:rFonts w:ascii="Times New Roman" w:hAnsi="Times New Roman"/>
          <w:noProof/>
          <w:lang w:val="lv-LV" w:eastAsia="lv-LV" w:bidi="lv-LV"/>
        </w:rPr>
        <w:t>eauga aktīvā darbaspēka līmenis.</w:t>
      </w:r>
    </w:p>
    <w:p w:rsidR="003D03E9" w:rsidRDefault="00F77AE9">
      <w:pPr>
        <w:spacing w:after="160"/>
        <w:jc w:val="both"/>
        <w:rPr>
          <w:rFonts w:ascii="Times New Roman" w:eastAsia="Calibri" w:hAnsi="Times New Roman" w:cs="Times New Roman"/>
          <w:i/>
          <w:noProof/>
          <w:lang w:val="lv-LV" w:eastAsia="lv-LV" w:bidi="lv-LV"/>
        </w:rPr>
      </w:pPr>
      <w:r>
        <w:rPr>
          <w:rFonts w:ascii="Times New Roman" w:hAnsi="Times New Roman"/>
          <w:i/>
          <w:noProof/>
          <w:lang w:val="lv-LV" w:eastAsia="lv-LV" w:bidi="lv-LV"/>
        </w:rPr>
        <w:t>Kopumā rādītāju ekonomiskā interpretācija izgaismo problēmas, kas attiecas uz atlikušo neaizsargātību finanšu sektorā un uzņēmumu parādu. Tāpēc Komisija, ņemot vērā arī 2018. gada martā konstatēto nelīdzsvarotību, atzīst pa</w:t>
      </w:r>
      <w:r>
        <w:rPr>
          <w:rFonts w:ascii="Times New Roman" w:hAnsi="Times New Roman"/>
          <w:i/>
          <w:noProof/>
          <w:lang w:val="lv-LV" w:eastAsia="lv-LV" w:bidi="lv-LV"/>
        </w:rPr>
        <w:t>r lietderīgu turpināt analizēt nelīdzsvarotības saglabāšanos vai tās novēršanu.</w:t>
      </w:r>
    </w:p>
    <w:p w:rsidR="003D03E9" w:rsidRDefault="003D03E9">
      <w:pPr>
        <w:rPr>
          <w:noProof/>
          <w:lang w:val="lv-LV" w:eastAsia="lv-LV" w:bidi="lv-LV"/>
        </w:rPr>
      </w:pPr>
    </w:p>
    <w:p w:rsidR="003D03E9" w:rsidRDefault="00F77AE9">
      <w:pPr>
        <w:spacing w:after="160" w:line="259" w:lineRule="auto"/>
        <w:jc w:val="both"/>
        <w:rPr>
          <w:rFonts w:ascii="Times New Roman" w:eastAsia="Calibri" w:hAnsi="Times New Roman" w:cs="Times New Roman"/>
          <w:noProof/>
          <w:lang w:val="lv-LV" w:eastAsia="lv-LV" w:bidi="lv-LV"/>
        </w:rPr>
      </w:pPr>
      <w:r>
        <w:rPr>
          <w:rFonts w:ascii="Times New Roman" w:hAnsi="Times New Roman"/>
          <w:b/>
          <w:noProof/>
          <w:lang w:val="lv-LV" w:eastAsia="lv-LV" w:bidi="lv-LV"/>
        </w:rPr>
        <w:t>Čehija.</w:t>
      </w:r>
      <w:r>
        <w:rPr>
          <w:rFonts w:ascii="Times New Roman" w:hAnsi="Times New Roman"/>
          <w:noProof/>
          <w:lang w:val="lv-LV" w:eastAsia="lv-LV" w:bidi="lv-LV"/>
        </w:rPr>
        <w:t xml:space="preserve"> Iepriekšējā MNNP kārtā Čehijā </w:t>
      </w:r>
      <w:r>
        <w:rPr>
          <w:rFonts w:ascii="Times New Roman" w:hAnsi="Times New Roman"/>
          <w:i/>
          <w:noProof/>
          <w:lang w:val="lv-LV" w:eastAsia="lv-LV" w:bidi="lv-LV"/>
        </w:rPr>
        <w:t>netika konstatēta makroekonomikas nelīdzsvarotība</w:t>
      </w:r>
      <w:r>
        <w:rPr>
          <w:rFonts w:ascii="Times New Roman" w:hAnsi="Times New Roman"/>
          <w:noProof/>
          <w:lang w:val="lv-LV" w:eastAsia="lv-LV" w:bidi="lv-LV"/>
        </w:rPr>
        <w:t>. Atjauninātajā rezultātu pārskatā vairāki rādītāji pārsniedz indikatīvo robežvērtību, p</w:t>
      </w:r>
      <w:r>
        <w:rPr>
          <w:rFonts w:ascii="Times New Roman" w:hAnsi="Times New Roman"/>
          <w:noProof/>
          <w:lang w:val="lv-LV" w:eastAsia="lv-LV" w:bidi="lv-LV"/>
        </w:rPr>
        <w:t xml:space="preserve">roti, mājokļu reālo cenu pieaugums un kopējās finanšu sektora saistības. </w:t>
      </w:r>
    </w:p>
    <w:p w:rsidR="003D03E9" w:rsidRDefault="00F77AE9">
      <w:pPr>
        <w:spacing w:after="160" w:line="259" w:lineRule="auto"/>
        <w:jc w:val="both"/>
        <w:rPr>
          <w:rFonts w:ascii="Times New Roman" w:eastAsia="Calibri" w:hAnsi="Times New Roman" w:cs="Times New Roman"/>
          <w:noProof/>
          <w:lang w:val="lv-LV" w:eastAsia="lv-LV" w:bidi="lv-LV"/>
        </w:rPr>
      </w:pPr>
      <w:r>
        <w:rPr>
          <w:noProof/>
          <w:lang w:eastAsia="en-GB"/>
        </w:rPr>
        <w:drawing>
          <wp:anchor distT="0" distB="0" distL="114300" distR="114300" simplePos="0" relativeHeight="251630080" behindDoc="0" locked="0" layoutInCell="1" allowOverlap="1">
            <wp:simplePos x="0" y="0"/>
            <wp:positionH relativeFrom="column">
              <wp:posOffset>3451860</wp:posOffset>
            </wp:positionH>
            <wp:positionV relativeFrom="paragraph">
              <wp:posOffset>25400</wp:posOffset>
            </wp:positionV>
            <wp:extent cx="2311400" cy="2911475"/>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11400" cy="2911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lang w:val="lv-LV" w:eastAsia="lv-LV" w:bidi="lv-LV"/>
        </w:rPr>
        <w:t>Tekošā konta saldo tendence liecina par uzlabojumiem, un 2017. gadā ir reģistrēts neliels pārpalikums. Pēc tam, kad 2017. gada aprīlī beidzās maiņas kursa saistības, pieauga reālais</w:t>
      </w:r>
      <w:r>
        <w:rPr>
          <w:rFonts w:ascii="Times New Roman" w:hAnsi="Times New Roman"/>
          <w:noProof/>
          <w:lang w:val="lv-LV" w:eastAsia="lv-LV" w:bidi="lv-LV"/>
        </w:rPr>
        <w:t xml:space="preserve"> efektīvais valūtas kurss, savukārt neto starptautisko ieguldījumu pozīcija turpināja pastiprināties, lai gan lēnākā tempā nekā iepriekšējos gados. Nominālās vienības darbaspēka izmaksas pieauga, ko lielā mērā noteica ievērojamais darba samaksas pieaugums,</w:t>
      </w:r>
      <w:r>
        <w:rPr>
          <w:rFonts w:ascii="Times New Roman" w:hAnsi="Times New Roman"/>
          <w:noProof/>
          <w:lang w:val="lv-LV" w:eastAsia="lv-LV" w:bidi="lv-LV"/>
        </w:rPr>
        <w:t xml:space="preserve"> un tiek prognozēts, ka to pieaugums turpmāk vēl paātrināsies saistībā ar akūto darbaspēka trūkumu. Neraugoties uz reālā efektīvā valūtas kursa pieaugumu, pēdējos gados eksporta tirgus daļas nedaudz palielinājās. Mājokļu cenu pieaugums un hipotekāro kredīt</w:t>
      </w:r>
      <w:r>
        <w:rPr>
          <w:rFonts w:ascii="Times New Roman" w:hAnsi="Times New Roman"/>
          <w:noProof/>
          <w:lang w:val="lv-LV" w:eastAsia="lv-LV" w:bidi="lv-LV"/>
        </w:rPr>
        <w:t>u apjoms ir vēl vairāk paātrinājies, un tas ir cieši jāuzrauga. Tomēr privātā sektora parāds ir mērens, tostarp arī mājsaimniecību parāds, kas ir stabils. Valdības parāda līmenis ir zems, un turpina samazināties, ko sekmē valdības budžeta pārpalikums. Fina</w:t>
      </w:r>
      <w:r>
        <w:rPr>
          <w:rFonts w:ascii="Times New Roman" w:hAnsi="Times New Roman"/>
          <w:noProof/>
          <w:lang w:val="lv-LV" w:eastAsia="lv-LV" w:bidi="lv-LV"/>
        </w:rPr>
        <w:t>nšu sektora saistību pieaugums 2017. gadā ievērojami paātrinājās un pārsniedza indikatīvo robežvērtību. Tas galvenokārt bija saistīts ar to, ka nerezidenti pirms maiņas kursa saistību beigām iegādājās Čehijas kronās denominētus noguldījumus. Bezdarba līmen</w:t>
      </w:r>
      <w:r>
        <w:rPr>
          <w:rFonts w:ascii="Times New Roman" w:hAnsi="Times New Roman"/>
          <w:noProof/>
          <w:lang w:val="lv-LV" w:eastAsia="lv-LV" w:bidi="lv-LV"/>
        </w:rPr>
        <w:t xml:space="preserve">is turpināja samazināties, un darba tirgū ir liels pieprasījums. </w:t>
      </w:r>
    </w:p>
    <w:p w:rsidR="003D03E9" w:rsidRDefault="00F77AE9">
      <w:pPr>
        <w:spacing w:after="160" w:line="259" w:lineRule="auto"/>
        <w:jc w:val="both"/>
        <w:rPr>
          <w:rFonts w:ascii="Times New Roman" w:eastAsia="Calibri" w:hAnsi="Times New Roman" w:cs="Times New Roman"/>
          <w:i/>
          <w:noProof/>
          <w:lang w:val="lv-LV" w:eastAsia="lv-LV" w:bidi="lv-LV"/>
        </w:rPr>
      </w:pPr>
      <w:r>
        <w:rPr>
          <w:rFonts w:ascii="Times New Roman" w:hAnsi="Times New Roman"/>
          <w:i/>
          <w:noProof/>
          <w:lang w:val="lv-LV" w:eastAsia="lv-LV" w:bidi="lv-LV"/>
        </w:rPr>
        <w:t>Kopumā rādītāju ekonomiskā interpretācija izgaismo problēmas, kas attiecas uz konkurētspēju un spiedienu mājokļu tirgū, lai gan šajā posmā riski, šķiet, ir ierobežoti. Tāpēc Komisija šajā po</w:t>
      </w:r>
      <w:r>
        <w:rPr>
          <w:rFonts w:ascii="Times New Roman" w:hAnsi="Times New Roman"/>
          <w:i/>
          <w:noProof/>
          <w:lang w:val="lv-LV" w:eastAsia="lv-LV" w:bidi="lv-LV"/>
        </w:rPr>
        <w:t>smā neuzskata par vajadzīgu veikt papildu padziļinātu analīzi saistībā ar MNNP.</w:t>
      </w:r>
    </w:p>
    <w:p w:rsidR="003D03E9" w:rsidRDefault="003D03E9">
      <w:pPr>
        <w:spacing w:after="160" w:line="259" w:lineRule="auto"/>
        <w:rPr>
          <w:rFonts w:ascii="Times New Roman" w:eastAsia="Calibri" w:hAnsi="Times New Roman" w:cs="Times New Roman"/>
          <w:b/>
          <w:noProof/>
          <w:lang w:val="lv-LV" w:eastAsia="lv-LV" w:bidi="lv-LV"/>
        </w:rPr>
      </w:pPr>
    </w:p>
    <w:p w:rsidR="003D03E9" w:rsidRDefault="00F77AE9">
      <w:pPr>
        <w:spacing w:after="160" w:line="259" w:lineRule="auto"/>
        <w:jc w:val="both"/>
        <w:rPr>
          <w:noProof/>
          <w:lang w:val="lv-LV" w:eastAsia="lv-LV" w:bidi="lv-LV"/>
        </w:rPr>
      </w:pPr>
      <w:r>
        <w:rPr>
          <w:rFonts w:ascii="Times New Roman" w:hAnsi="Times New Roman"/>
          <w:b/>
          <w:noProof/>
          <w:lang w:val="lv-LV" w:eastAsia="lv-LV" w:bidi="lv-LV"/>
        </w:rPr>
        <w:t>Dānija.</w:t>
      </w:r>
      <w:r>
        <w:rPr>
          <w:rFonts w:ascii="Times New Roman" w:hAnsi="Times New Roman"/>
          <w:i/>
          <w:noProof/>
          <w:lang w:val="lv-LV" w:eastAsia="lv-LV" w:bidi="lv-LV"/>
        </w:rPr>
        <w:t xml:space="preserve"> </w:t>
      </w:r>
      <w:r>
        <w:rPr>
          <w:rFonts w:ascii="Times New Roman" w:hAnsi="Times New Roman"/>
          <w:noProof/>
          <w:lang w:val="lv-LV" w:eastAsia="lv-LV" w:bidi="lv-LV"/>
        </w:rPr>
        <w:t xml:space="preserve">Iepriekšējā MNNP kārtā Dānijā </w:t>
      </w:r>
      <w:r>
        <w:rPr>
          <w:rFonts w:ascii="Times New Roman" w:hAnsi="Times New Roman"/>
          <w:i/>
          <w:noProof/>
          <w:lang w:val="lv-LV" w:eastAsia="lv-LV" w:bidi="lv-LV"/>
        </w:rPr>
        <w:t>netika konstatēta makroekonomikas nelīdzsvarotība</w:t>
      </w:r>
      <w:r>
        <w:rPr>
          <w:rFonts w:ascii="Times New Roman" w:hAnsi="Times New Roman"/>
          <w:noProof/>
          <w:lang w:val="lv-LV" w:eastAsia="lv-LV" w:bidi="lv-LV"/>
        </w:rPr>
        <w:t xml:space="preserve">. Atjauninātajā rādītāju kopsavilkumā vairāki rādītāji pārsniedz indikatīvo robežvērtību, proti, tekošā konta saldo un privātā sektora parāds. </w:t>
      </w:r>
    </w:p>
    <w:p w:rsidR="003D03E9" w:rsidRDefault="00F77AE9">
      <w:pPr>
        <w:spacing w:after="160" w:line="259" w:lineRule="auto"/>
        <w:jc w:val="both"/>
        <w:rPr>
          <w:rFonts w:ascii="Times New Roman" w:eastAsia="Calibri" w:hAnsi="Times New Roman" w:cs="Times New Roman"/>
          <w:noProof/>
          <w:lang w:val="lv-LV" w:eastAsia="lv-LV" w:bidi="lv-LV"/>
        </w:rPr>
      </w:pPr>
      <w:r>
        <w:rPr>
          <w:noProof/>
          <w:lang w:eastAsia="en-GB"/>
        </w:rPr>
        <w:drawing>
          <wp:anchor distT="0" distB="0" distL="114300" distR="114300" simplePos="0" relativeHeight="251631104" behindDoc="0" locked="0" layoutInCell="1" allowOverlap="1">
            <wp:simplePos x="0" y="0"/>
            <wp:positionH relativeFrom="column">
              <wp:posOffset>3291205</wp:posOffset>
            </wp:positionH>
            <wp:positionV relativeFrom="paragraph">
              <wp:posOffset>27940</wp:posOffset>
            </wp:positionV>
            <wp:extent cx="3057525" cy="2844165"/>
            <wp:effectExtent l="0" t="0" r="9525"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43">
                      <a:extLst>
                        <a:ext uri="{28A0092B-C50C-407E-A947-70E740481C1C}">
                          <a14:useLocalDpi xmlns:a14="http://schemas.microsoft.com/office/drawing/2010/main" val="0"/>
                        </a:ext>
                      </a:extLst>
                    </a:blip>
                    <a:srcRect l="621" t="836" r="621" b="-13"/>
                    <a:stretch/>
                  </pic:blipFill>
                  <pic:spPr bwMode="auto">
                    <a:xfrm>
                      <a:off x="0" y="0"/>
                      <a:ext cx="3057525" cy="2844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noProof/>
          <w:lang w:val="lv-LV" w:eastAsia="lv-LV" w:bidi="lv-LV"/>
        </w:rPr>
        <w:t xml:space="preserve">Tekošā konta saldo aizvien ir lieli pārpalikumi. Secīgu pārpalikumu rezultātā ir radusies liela pozitīva neto </w:t>
      </w:r>
      <w:r>
        <w:rPr>
          <w:rFonts w:ascii="Times New Roman" w:hAnsi="Times New Roman"/>
          <w:noProof/>
          <w:lang w:val="lv-LV" w:eastAsia="lv-LV" w:bidi="lv-LV"/>
        </w:rPr>
        <w:t>starptautisko ieguldījumu pozīcija, kas savukārt rada pozitīvus neto primāros ienākumus, kuri pastiprina pozitīvo tekošā konta saldo. Vienības darbaspēka izmaksu pieaugums ir ierobežots, kaut gan pieprasījuma pieaugums darba tirgū rada spiedienu uz darba s</w:t>
      </w:r>
      <w:r>
        <w:rPr>
          <w:rFonts w:ascii="Times New Roman" w:hAnsi="Times New Roman"/>
          <w:noProof/>
          <w:lang w:val="lv-LV" w:eastAsia="lv-LV" w:bidi="lv-LV"/>
        </w:rPr>
        <w:t>amaksu un ražīguma dinamika ir vāja. Eksporta tirgus daļas pieaugums kopumā ir nemainīgs. Lai gan mājokļu cenas valsts līmenī samazinājās, lielpilsētu teritorijās tās turpināja pieaugt ātrāk. Šīm attīstības tendencēm ir jāpievērš cieša uzmanība. Mājsaimnie</w:t>
      </w:r>
      <w:r>
        <w:rPr>
          <w:rFonts w:ascii="Times New Roman" w:hAnsi="Times New Roman"/>
          <w:noProof/>
          <w:lang w:val="lv-LV" w:eastAsia="lv-LV" w:bidi="lv-LV"/>
        </w:rPr>
        <w:t xml:space="preserve">cību parāds, kas izteikts procentos no IKP, joprojām ir augstākais ES un tikai lēnām samazinās saistībā ar pieticīgu kredītu pieaugumu. Mājsaimniecības ir turpinājušas palielināt savus ietaupījumus, kas atspoguļo centienus samazināt parādu, un ir ieviesti </w:t>
      </w:r>
      <w:r>
        <w:rPr>
          <w:rFonts w:ascii="Times New Roman" w:hAnsi="Times New Roman"/>
          <w:noProof/>
          <w:lang w:val="lv-LV" w:eastAsia="lv-LV" w:bidi="lv-LV"/>
        </w:rPr>
        <w:t>makroprudenciāli politikas pasākumi, lai ierobežotu riskantu aizdevumu ņemšanu. Savukārt uzņēmumu parādsaistības joprojām ir mērenas. Darba tirgus turpina uzlaboties, nodarbinātības izaugsme ir stabila, un darbaspēka trūkums kļūst aizvien izteiktāks.</w:t>
      </w:r>
    </w:p>
    <w:p w:rsidR="003D03E9" w:rsidRDefault="00F77AE9">
      <w:pPr>
        <w:spacing w:after="160" w:line="259" w:lineRule="auto"/>
        <w:jc w:val="both"/>
        <w:rPr>
          <w:rFonts w:ascii="Times New Roman" w:eastAsia="Calibri" w:hAnsi="Times New Roman" w:cs="Times New Roman"/>
          <w:noProof/>
          <w:lang w:val="lv-LV" w:eastAsia="lv-LV" w:bidi="lv-LV"/>
        </w:rPr>
      </w:pPr>
      <w:r>
        <w:rPr>
          <w:rFonts w:ascii="Times New Roman" w:hAnsi="Times New Roman"/>
          <w:i/>
          <w:noProof/>
          <w:lang w:val="lv-LV" w:eastAsia="lv-LV" w:bidi="lv-LV"/>
        </w:rPr>
        <w:t>Kopum</w:t>
      </w:r>
      <w:r>
        <w:rPr>
          <w:rFonts w:ascii="Times New Roman" w:hAnsi="Times New Roman"/>
          <w:i/>
          <w:noProof/>
          <w:lang w:val="lv-LV" w:eastAsia="lv-LV" w:bidi="lv-LV"/>
        </w:rPr>
        <w:t>ā rādītāju ekonomiskā interpretācija izgaismo problēmas, kas attiecas uz tekošo kontu, privātā sektora parādu un mājokļu sektoru, bet riski, šķiet, ir ierobežoti. Tāpēc Komisija šajā posmā neveiks papildu padziļinātu analīzi saistībā ar MNNP.</w:t>
      </w:r>
    </w:p>
    <w:p w:rsidR="003D03E9" w:rsidRDefault="003D03E9">
      <w:pPr>
        <w:spacing w:after="160" w:line="259" w:lineRule="auto"/>
        <w:jc w:val="both"/>
        <w:rPr>
          <w:rFonts w:ascii="Times New Roman" w:eastAsia="Calibri" w:hAnsi="Times New Roman" w:cs="Times New Roman"/>
          <w:noProof/>
          <w:lang w:val="lv-LV" w:eastAsia="lv-LV" w:bidi="lv-LV"/>
        </w:rPr>
      </w:pPr>
    </w:p>
    <w:p w:rsidR="003D03E9" w:rsidRDefault="00F77AE9">
      <w:pPr>
        <w:spacing w:after="160" w:line="259" w:lineRule="auto"/>
        <w:jc w:val="both"/>
        <w:rPr>
          <w:noProof/>
          <w:lang w:val="lv-LV" w:eastAsia="lv-LV" w:bidi="lv-LV"/>
        </w:rPr>
      </w:pPr>
      <w:r>
        <w:rPr>
          <w:noProof/>
          <w:lang w:eastAsia="en-GB"/>
        </w:rPr>
        <w:drawing>
          <wp:anchor distT="0" distB="0" distL="114300" distR="114300" simplePos="0" relativeHeight="251632128" behindDoc="0" locked="0" layoutInCell="1" allowOverlap="1">
            <wp:simplePos x="0" y="0"/>
            <wp:positionH relativeFrom="column">
              <wp:posOffset>3041015</wp:posOffset>
            </wp:positionH>
            <wp:positionV relativeFrom="paragraph">
              <wp:posOffset>57785</wp:posOffset>
            </wp:positionV>
            <wp:extent cx="2735580" cy="2911475"/>
            <wp:effectExtent l="0" t="0" r="0"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35580" cy="2911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lang w:val="lv-LV" w:eastAsia="lv-LV" w:bidi="lv-LV"/>
        </w:rPr>
        <w:t>Vācija.</w:t>
      </w:r>
      <w:r>
        <w:rPr>
          <w:rFonts w:ascii="Times New Roman" w:hAnsi="Times New Roman"/>
          <w:noProof/>
          <w:lang w:val="lv-LV" w:eastAsia="lv-LV" w:bidi="lv-LV"/>
        </w:rPr>
        <w:t xml:space="preserve"> Kom</w:t>
      </w:r>
      <w:r>
        <w:rPr>
          <w:rFonts w:ascii="Times New Roman" w:hAnsi="Times New Roman"/>
          <w:noProof/>
          <w:lang w:val="lv-LV" w:eastAsia="lv-LV" w:bidi="lv-LV"/>
        </w:rPr>
        <w:t xml:space="preserve">isija 2018. gada martā secināja, ka Vācijā ir </w:t>
      </w:r>
      <w:r>
        <w:rPr>
          <w:rFonts w:ascii="Times New Roman" w:hAnsi="Times New Roman"/>
          <w:i/>
          <w:noProof/>
          <w:lang w:val="lv-LV" w:eastAsia="lv-LV" w:bidi="lv-LV"/>
        </w:rPr>
        <w:t>makroekonomikas nelīdzsvarotība</w:t>
      </w:r>
      <w:r>
        <w:rPr>
          <w:rFonts w:ascii="Times New Roman" w:hAnsi="Times New Roman"/>
          <w:noProof/>
          <w:lang w:val="lv-LV" w:eastAsia="lv-LV" w:bidi="lv-LV"/>
        </w:rPr>
        <w:t>, jo īpaši saistībā ar tās lielo tekošā konta pārpalikumu, kas atspoguļo vājus ieguldījumus salīdzinājumā ar ietaupījumiem gan privātajā, gan publiskajā sektorā. Atjauninātajā rād</w:t>
      </w:r>
      <w:r>
        <w:rPr>
          <w:rFonts w:ascii="Times New Roman" w:hAnsi="Times New Roman"/>
          <w:noProof/>
          <w:lang w:val="lv-LV" w:eastAsia="lv-LV" w:bidi="lv-LV"/>
        </w:rPr>
        <w:t xml:space="preserve">ītāju kopsavilkumā vairāki rādītāji joprojām pārsniedz indikatīvo robežvērtību, proti, tekošā konta saldo un valdības parāds. </w:t>
      </w:r>
    </w:p>
    <w:p w:rsidR="003D03E9" w:rsidRDefault="00F77AE9">
      <w:pPr>
        <w:spacing w:after="160" w:line="259" w:lineRule="auto"/>
        <w:jc w:val="both"/>
        <w:rPr>
          <w:rFonts w:ascii="Times New Roman" w:eastAsia="Calibri" w:hAnsi="Times New Roman" w:cs="Times New Roman"/>
          <w:noProof/>
          <w:lang w:val="lv-LV" w:eastAsia="lv-LV" w:bidi="lv-LV"/>
        </w:rPr>
      </w:pPr>
      <w:r>
        <w:rPr>
          <w:rFonts w:ascii="Times New Roman" w:hAnsi="Times New Roman"/>
          <w:noProof/>
          <w:lang w:val="lv-LV" w:eastAsia="lv-LV" w:bidi="lv-LV"/>
        </w:rPr>
        <w:t>Tekošajā kontā joprojām ir lieli pārpalikumi, lai gan 2017. gadā tie gada griezumā nedaudz samazinājās. Pateicoties stabilam iekš</w:t>
      </w:r>
      <w:r>
        <w:rPr>
          <w:rFonts w:ascii="Times New Roman" w:hAnsi="Times New Roman"/>
          <w:noProof/>
          <w:lang w:val="lv-LV" w:eastAsia="lv-LV" w:bidi="lv-LV"/>
        </w:rPr>
        <w:t>zemes pieprasījuma pieaugumam, paredzams, ka tekošā konta pārpalikums turpinās samazināties, bet saglabāsies augstā līmenī un vēl vairāk palielinās neto starptautisko ieguldījumu pozīciju. Vienības darbaspēka izmaksu pieaugums joprojām ir pieticīgs. Ekspor</w:t>
      </w:r>
      <w:r>
        <w:rPr>
          <w:rFonts w:ascii="Times New Roman" w:hAnsi="Times New Roman"/>
          <w:noProof/>
          <w:lang w:val="lv-LV" w:eastAsia="lv-LV" w:bidi="lv-LV"/>
        </w:rPr>
        <w:t>ta pieaugums 2017. gadā nostiprinājās, bet eksporta tirgus daļas nedaudz samazinājās. Privātā sektora aizņemto līdzekļu īpatsvara samazināšana turpinās, neraugoties uz zemu privātā sektora parāda līmeni. Tajā pašā laikā uzņēmumu ieguldījumi palielinās salī</w:t>
      </w:r>
      <w:r>
        <w:rPr>
          <w:rFonts w:ascii="Times New Roman" w:hAnsi="Times New Roman"/>
          <w:noProof/>
          <w:lang w:val="lv-LV" w:eastAsia="lv-LV" w:bidi="lv-LV"/>
        </w:rPr>
        <w:t xml:space="preserve">dzinājumā ar IKP. Ieguldījumi mājokļu jomā arī turpina pieaugt, taču joprojām atpaliek no vajadzībām pēc mājokļiem lielpilsētu teritorijās. Mājokļu reālo cenu pieaugums un būvniecības izmaksas ir palielinājušās, un tam ir jāpievērš uzmanība, arī attiecībā </w:t>
      </w:r>
      <w:r>
        <w:rPr>
          <w:rFonts w:ascii="Times New Roman" w:hAnsi="Times New Roman"/>
          <w:noProof/>
          <w:lang w:val="lv-LV" w:eastAsia="lv-LV" w:bidi="lv-LV"/>
        </w:rPr>
        <w:t>uz mājokļu cenu un pieejamības reģionālajām atšķirībām. Kredītu pieaugums pakāpeniski nostiprinās. Mājsaimniecību ietaupījumu rādītājs joprojām ir augsts, neraugoties uz mērenu darba samaksas pieaugumu un spēcīgu privāto patēriņu, kas atspoguļo sadalīto uz</w:t>
      </w:r>
      <w:r>
        <w:rPr>
          <w:rFonts w:ascii="Times New Roman" w:hAnsi="Times New Roman"/>
          <w:noProof/>
          <w:lang w:val="lv-LV" w:eastAsia="lv-LV" w:bidi="lv-LV"/>
        </w:rPr>
        <w:t>ņēmumu ienākumu plūsmu pieaugumu. Valdības parāds turpināja samazināties, un paredzams, ka līdz 2019. gadam tas nokritīsies zem robežvērtības (60 % no IKP), bet saglabājas publiskā sektora ieguldījumu aiztures problēma. Kopējais bezdarbs, kā arī jauniešu u</w:t>
      </w:r>
      <w:r>
        <w:rPr>
          <w:rFonts w:ascii="Times New Roman" w:hAnsi="Times New Roman"/>
          <w:noProof/>
          <w:lang w:val="lv-LV" w:eastAsia="lv-LV" w:bidi="lv-LV"/>
        </w:rPr>
        <w:t xml:space="preserve">n ilgstošais bezdarbs vēl vairāk samazinājās un joprojām ir ļoti zems. </w:t>
      </w:r>
    </w:p>
    <w:p w:rsidR="003D03E9" w:rsidRDefault="00F77AE9">
      <w:pPr>
        <w:spacing w:after="160" w:line="259" w:lineRule="auto"/>
        <w:jc w:val="both"/>
        <w:rPr>
          <w:rFonts w:ascii="Times New Roman" w:eastAsia="Calibri" w:hAnsi="Times New Roman" w:cs="Times New Roman"/>
          <w:i/>
          <w:noProof/>
          <w:lang w:val="lv-LV" w:eastAsia="lv-LV" w:bidi="lv-LV"/>
        </w:rPr>
      </w:pPr>
      <w:r>
        <w:rPr>
          <w:rFonts w:ascii="Times New Roman" w:hAnsi="Times New Roman"/>
          <w:i/>
          <w:noProof/>
          <w:lang w:val="lv-LV" w:eastAsia="lv-LV" w:bidi="lv-LV"/>
        </w:rPr>
        <w:t>Kopumā rādītāju ekonomiskā interpretācija izgaismo problēmas, kas attiecas uz noturīgo ietaupījumu pārpalikumu uz ieguldījumu rēķina, kas atspoguļojas augstajā un tikai pakāpeniski sar</w:t>
      </w:r>
      <w:r>
        <w:rPr>
          <w:rFonts w:ascii="Times New Roman" w:hAnsi="Times New Roman"/>
          <w:i/>
          <w:noProof/>
          <w:lang w:val="lv-LV" w:eastAsia="lv-LV" w:bidi="lv-LV"/>
        </w:rPr>
        <w:t xml:space="preserve">ūkošajā tekošā konta pārpalikumā un uzsver nepieciešamību turpināt līdzsvarošanu. Tāpēc Komisija, ņemot vērā arī 2018. gada martā konstatēto nelīdzsvarotību, atzīst par lietderīgu turpināt analizēt nelīdzsvarotības saglabāšanos vai tās novēršanu. </w:t>
      </w:r>
    </w:p>
    <w:p w:rsidR="003D03E9" w:rsidRDefault="003D03E9">
      <w:pPr>
        <w:spacing w:after="160" w:line="259" w:lineRule="auto"/>
        <w:jc w:val="both"/>
        <w:rPr>
          <w:rFonts w:ascii="Times New Roman" w:eastAsia="Calibri" w:hAnsi="Times New Roman" w:cs="Times New Roman"/>
          <w:i/>
          <w:noProof/>
          <w:lang w:val="lv-LV" w:eastAsia="lv-LV" w:bidi="lv-LV"/>
        </w:rPr>
      </w:pPr>
    </w:p>
    <w:p w:rsidR="003D03E9" w:rsidRDefault="00F77AE9">
      <w:pPr>
        <w:spacing w:after="160" w:line="259" w:lineRule="auto"/>
        <w:jc w:val="both"/>
        <w:rPr>
          <w:noProof/>
          <w:lang w:val="lv-LV" w:eastAsia="lv-LV" w:bidi="lv-LV"/>
        </w:rPr>
      </w:pPr>
      <w:r>
        <w:rPr>
          <w:noProof/>
          <w:lang w:eastAsia="en-GB"/>
        </w:rPr>
        <w:drawing>
          <wp:anchor distT="0" distB="0" distL="114300" distR="114300" simplePos="0" relativeHeight="251633152" behindDoc="0" locked="0" layoutInCell="1" allowOverlap="1">
            <wp:simplePos x="0" y="0"/>
            <wp:positionH relativeFrom="column">
              <wp:posOffset>2976245</wp:posOffset>
            </wp:positionH>
            <wp:positionV relativeFrom="paragraph">
              <wp:posOffset>20955</wp:posOffset>
            </wp:positionV>
            <wp:extent cx="2780030" cy="3306445"/>
            <wp:effectExtent l="0" t="0" r="1270"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80030" cy="33064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lang w:val="lv-LV" w:eastAsia="lv-LV" w:bidi="lv-LV"/>
        </w:rPr>
        <w:t>Igauni</w:t>
      </w:r>
      <w:r>
        <w:rPr>
          <w:rFonts w:ascii="Times New Roman" w:hAnsi="Times New Roman"/>
          <w:b/>
          <w:noProof/>
          <w:lang w:val="lv-LV" w:eastAsia="lv-LV" w:bidi="lv-LV"/>
        </w:rPr>
        <w:t>ja.</w:t>
      </w:r>
      <w:r>
        <w:rPr>
          <w:rFonts w:ascii="Times New Roman" w:hAnsi="Times New Roman"/>
          <w:i/>
          <w:noProof/>
          <w:lang w:val="lv-LV" w:eastAsia="lv-LV" w:bidi="lv-LV"/>
        </w:rPr>
        <w:t xml:space="preserve"> </w:t>
      </w:r>
      <w:r>
        <w:rPr>
          <w:rFonts w:ascii="Times New Roman" w:hAnsi="Times New Roman"/>
          <w:noProof/>
          <w:lang w:val="lv-LV" w:eastAsia="lv-LV" w:bidi="lv-LV"/>
        </w:rPr>
        <w:t xml:space="preserve">Iepriekšējā MNNP kārtā Igaunijā </w:t>
      </w:r>
      <w:r>
        <w:rPr>
          <w:rFonts w:ascii="Times New Roman" w:hAnsi="Times New Roman"/>
          <w:i/>
          <w:noProof/>
          <w:lang w:val="lv-LV" w:eastAsia="lv-LV" w:bidi="lv-LV"/>
        </w:rPr>
        <w:t>netika konstatēta makroekonomikas nelīdzsvarotība</w:t>
      </w:r>
      <w:r>
        <w:rPr>
          <w:rFonts w:ascii="Times New Roman" w:hAnsi="Times New Roman"/>
          <w:noProof/>
          <w:lang w:val="lv-LV" w:eastAsia="lv-LV" w:bidi="lv-LV"/>
        </w:rPr>
        <w:t xml:space="preserve">. Atjauninātajā rādītāju kopsavilkumā nominālo vienības darbaspēka izmaksu pieaugums pārsniedz indikatīvo robežvērtību. </w:t>
      </w:r>
    </w:p>
    <w:p w:rsidR="003D03E9" w:rsidRDefault="00F77AE9">
      <w:pPr>
        <w:spacing w:after="160" w:line="259" w:lineRule="auto"/>
        <w:jc w:val="both"/>
        <w:rPr>
          <w:rFonts w:ascii="Times New Roman" w:eastAsia="Calibri" w:hAnsi="Times New Roman" w:cs="Times New Roman"/>
          <w:noProof/>
          <w:lang w:val="lv-LV" w:eastAsia="lv-LV" w:bidi="lv-LV"/>
        </w:rPr>
      </w:pPr>
      <w:r>
        <w:rPr>
          <w:rFonts w:ascii="Times New Roman" w:hAnsi="Times New Roman"/>
          <w:noProof/>
          <w:lang w:val="lv-LV" w:eastAsia="lv-LV" w:bidi="lv-LV"/>
        </w:rPr>
        <w:t>Tekošā konta pārpalikums 2017. gadā turpināja pali</w:t>
      </w:r>
      <w:r>
        <w:rPr>
          <w:rFonts w:ascii="Times New Roman" w:hAnsi="Times New Roman"/>
          <w:noProof/>
          <w:lang w:val="lv-LV" w:eastAsia="lv-LV" w:bidi="lv-LV"/>
        </w:rPr>
        <w:t>elināties, un neto starptautisko ieguldījumu pozīcija uzlabojās, sasniedzot līmeni, kas nepārsniedz robežvērtību. Nominālās vienības darbaspēka izmaksas turpina strauji pieaugt, kas atspoguļo inflāciju un lielo darba samaksas pieaugumu. Ražīguma dinamika i</w:t>
      </w:r>
      <w:r>
        <w:rPr>
          <w:rFonts w:ascii="Times New Roman" w:hAnsi="Times New Roman"/>
          <w:noProof/>
          <w:lang w:val="lv-LV" w:eastAsia="lv-LV" w:bidi="lv-LV"/>
        </w:rPr>
        <w:t>r bijusi vāja, kas zināmā mērā ietekmē izmaksu konkurētspējas rādītājus. Reālais efektīvais valūtas kurss turpināja pieaugt, bet eksporta tirgus daļas ir bijušas stabilas. Mājokļu reālo cenu pieaugums pēdējos gados ir bijis dinamisks, bet 2017. gadā tas ir</w:t>
      </w:r>
      <w:r>
        <w:rPr>
          <w:rFonts w:ascii="Times New Roman" w:hAnsi="Times New Roman"/>
          <w:noProof/>
          <w:lang w:val="lv-LV" w:eastAsia="lv-LV" w:bidi="lv-LV"/>
        </w:rPr>
        <w:t xml:space="preserve"> palēninājies līdz mērenam līmenim. Privātā sektora parāda īpatsvara samazināšana turpinās, bet publiskā sektora parāda līmenis ir ļoti zems. Pieprasījums darba tirgū pieaug, bet imigrācija nedaudz ir mazinājusi darbaspēka trūkumu. </w:t>
      </w:r>
    </w:p>
    <w:p w:rsidR="003D03E9" w:rsidRDefault="00F77AE9">
      <w:pPr>
        <w:spacing w:after="160" w:line="259" w:lineRule="auto"/>
        <w:jc w:val="both"/>
        <w:rPr>
          <w:rFonts w:ascii="Times New Roman" w:eastAsia="Calibri" w:hAnsi="Times New Roman" w:cs="Times New Roman"/>
          <w:i/>
          <w:noProof/>
          <w:lang w:val="lv-LV" w:eastAsia="lv-LV" w:bidi="lv-LV"/>
        </w:rPr>
      </w:pPr>
      <w:r>
        <w:rPr>
          <w:rFonts w:ascii="Times New Roman" w:hAnsi="Times New Roman"/>
          <w:i/>
          <w:noProof/>
          <w:lang w:val="lv-LV" w:eastAsia="lv-LV" w:bidi="lv-LV"/>
        </w:rPr>
        <w:t>Kopumā rādītāju ekonomi</w:t>
      </w:r>
      <w:r>
        <w:rPr>
          <w:rFonts w:ascii="Times New Roman" w:hAnsi="Times New Roman"/>
          <w:i/>
          <w:noProof/>
          <w:lang w:val="lv-LV" w:eastAsia="lv-LV" w:bidi="lv-LV"/>
        </w:rPr>
        <w:t>skā interpretācija izgaismo problēmas, kas attiecas uz nominālajām vienības darbaspēka izmaksām, taču riski, šķiet, ir ierobežoti. Tāpēc Komisija šajā posmā neveiks papildu padziļinātu analīzi saistībā ar MNNP.</w:t>
      </w:r>
    </w:p>
    <w:p w:rsidR="003D03E9" w:rsidRDefault="00F77AE9">
      <w:pPr>
        <w:autoSpaceDE w:val="0"/>
        <w:autoSpaceDN w:val="0"/>
        <w:adjustRightInd w:val="0"/>
        <w:spacing w:after="240"/>
        <w:jc w:val="both"/>
        <w:rPr>
          <w:noProof/>
          <w:lang w:val="lv-LV" w:eastAsia="lv-LV" w:bidi="lv-LV"/>
        </w:rPr>
      </w:pPr>
      <w:r>
        <w:rPr>
          <w:rFonts w:ascii="Times New Roman" w:hAnsi="Times New Roman"/>
          <w:b/>
          <w:noProof/>
          <w:color w:val="000000"/>
          <w:lang w:val="lv-LV" w:eastAsia="lv-LV" w:bidi="lv-LV"/>
        </w:rPr>
        <w:t>Īrija.</w:t>
      </w:r>
      <w:r>
        <w:rPr>
          <w:rFonts w:ascii="Times New Roman" w:hAnsi="Times New Roman"/>
          <w:noProof/>
          <w:color w:val="000000"/>
          <w:lang w:val="lv-LV" w:eastAsia="lv-LV" w:bidi="lv-LV"/>
        </w:rPr>
        <w:t xml:space="preserve"> Komisija 2018. gada martā secināja, ka</w:t>
      </w:r>
      <w:r>
        <w:rPr>
          <w:rFonts w:ascii="Times New Roman" w:hAnsi="Times New Roman"/>
          <w:noProof/>
          <w:color w:val="000000"/>
          <w:lang w:val="lv-LV" w:eastAsia="lv-LV" w:bidi="lv-LV"/>
        </w:rPr>
        <w:t xml:space="preserve"> Īrijā ir </w:t>
      </w:r>
      <w:r>
        <w:rPr>
          <w:rFonts w:ascii="Times New Roman" w:hAnsi="Times New Roman"/>
          <w:i/>
          <w:noProof/>
          <w:color w:val="000000"/>
          <w:lang w:val="lv-LV" w:eastAsia="lv-LV" w:bidi="lv-LV"/>
        </w:rPr>
        <w:t>makroekonomikas nelīdzsvarotība</w:t>
      </w:r>
      <w:r>
        <w:rPr>
          <w:rFonts w:ascii="Times New Roman" w:hAnsi="Times New Roman"/>
          <w:noProof/>
          <w:color w:val="000000"/>
          <w:lang w:val="lv-LV" w:eastAsia="lv-LV" w:bidi="lv-LV"/>
        </w:rPr>
        <w:t xml:space="preserve">, jo īpaši saistībā ar neaizsargātības faktoriem, ko rada publiskā un privātā sektora parāda un neto ārējo saistību lielie krājumi. Atjauninātajā rādītāju kopsavilkumā vairāki rādītāji pārsniedz indikatīvo </w:t>
      </w:r>
      <w:r>
        <w:rPr>
          <w:rFonts w:ascii="Times New Roman" w:hAnsi="Times New Roman"/>
          <w:noProof/>
          <w:color w:val="000000"/>
          <w:lang w:val="lv-LV" w:eastAsia="lv-LV" w:bidi="lv-LV"/>
        </w:rPr>
        <w:t>robežvērtību, proti, neto starptautisko ieguldījumu pozīcija (</w:t>
      </w:r>
      <w:r>
        <w:rPr>
          <w:rFonts w:ascii="Times New Roman" w:hAnsi="Times New Roman"/>
          <w:i/>
          <w:noProof/>
          <w:color w:val="000000"/>
          <w:lang w:val="lv-LV" w:eastAsia="lv-LV" w:bidi="lv-LV"/>
        </w:rPr>
        <w:t>NIIP</w:t>
      </w:r>
      <w:r>
        <w:rPr>
          <w:rFonts w:ascii="Times New Roman" w:hAnsi="Times New Roman"/>
          <w:noProof/>
          <w:color w:val="000000"/>
          <w:lang w:val="lv-LV" w:eastAsia="lv-LV" w:bidi="lv-LV"/>
        </w:rPr>
        <w:t>), reālais efektīvais valūtas kurss (</w:t>
      </w:r>
      <w:r>
        <w:rPr>
          <w:rFonts w:ascii="Times New Roman" w:hAnsi="Times New Roman"/>
          <w:i/>
          <w:noProof/>
          <w:color w:val="000000"/>
          <w:lang w:val="lv-LV" w:eastAsia="lv-LV" w:bidi="lv-LV"/>
        </w:rPr>
        <w:t>REER</w:t>
      </w:r>
      <w:r>
        <w:rPr>
          <w:rFonts w:ascii="Times New Roman" w:hAnsi="Times New Roman"/>
          <w:noProof/>
          <w:color w:val="000000"/>
          <w:lang w:val="lv-LV" w:eastAsia="lv-LV" w:bidi="lv-LV"/>
        </w:rPr>
        <w:t xml:space="preserve">), privātā sektora parāds, publiskā sektora parāds, kā arī mājokļu reālo cenu ikgadējās izmaiņas. </w:t>
      </w:r>
    </w:p>
    <w:p w:rsidR="003D03E9" w:rsidRDefault="00F77AE9">
      <w:pPr>
        <w:autoSpaceDE w:val="0"/>
        <w:autoSpaceDN w:val="0"/>
        <w:adjustRightInd w:val="0"/>
        <w:spacing w:after="240"/>
        <w:jc w:val="both"/>
        <w:rPr>
          <w:rFonts w:ascii="Times New Roman" w:eastAsia="Times New Roman" w:hAnsi="Times New Roman" w:cs="Times New Roman"/>
          <w:noProof/>
          <w:color w:val="000000"/>
          <w:lang w:val="lv-LV" w:eastAsia="lv-LV" w:bidi="lv-LV"/>
        </w:rPr>
      </w:pPr>
      <w:r>
        <w:rPr>
          <w:noProof/>
          <w:lang w:eastAsia="en-GB"/>
        </w:rPr>
        <w:drawing>
          <wp:anchor distT="0" distB="0" distL="114300" distR="114300" simplePos="0" relativeHeight="251634176" behindDoc="0" locked="0" layoutInCell="1" allowOverlap="1">
            <wp:simplePos x="0" y="0"/>
            <wp:positionH relativeFrom="column">
              <wp:posOffset>2756535</wp:posOffset>
            </wp:positionH>
            <wp:positionV relativeFrom="paragraph">
              <wp:posOffset>73660</wp:posOffset>
            </wp:positionV>
            <wp:extent cx="3072130" cy="2966085"/>
            <wp:effectExtent l="0" t="0" r="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72130" cy="29660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0000"/>
          <w:lang w:val="lv-LV" w:eastAsia="lv-LV" w:bidi="lv-LV"/>
        </w:rPr>
        <w:t>Tekošā konta pozīcija 2017. gadā uzrādīja lielu p</w:t>
      </w:r>
      <w:r>
        <w:rPr>
          <w:rFonts w:ascii="Times New Roman" w:hAnsi="Times New Roman"/>
          <w:noProof/>
          <w:color w:val="000000"/>
          <w:lang w:val="lv-LV" w:eastAsia="lv-LV" w:bidi="lv-LV"/>
        </w:rPr>
        <w:t>ārpalikumu salīdzinājumā ar ievērojamu deficītu 2016. gadā un pārpalikumu iepriekšējos gados. Intelektuālā īpašuma importa un apakšuzņēmēju veiktās ražošanas nepastāvīgums pēdējos gados veicināja šīs svārstības tekošā konta saldo.</w:t>
      </w:r>
      <w:r>
        <w:rPr>
          <w:rFonts w:ascii="Times New Roman" w:hAnsi="Times New Roman"/>
          <w:noProof/>
          <w:color w:val="000000"/>
          <w:vertAlign w:val="superscript"/>
          <w:lang w:val="lv-LV" w:eastAsia="lv-LV" w:bidi="lv-LV"/>
        </w:rPr>
        <w:t xml:space="preserve"> </w:t>
      </w:r>
      <w:r>
        <w:rPr>
          <w:rFonts w:ascii="Times New Roman" w:hAnsi="Times New Roman"/>
          <w:noProof/>
          <w:color w:val="000000"/>
          <w:vertAlign w:val="superscript"/>
          <w:lang w:val="lv-LV" w:eastAsia="lv-LV" w:bidi="lv-LV"/>
        </w:rPr>
        <w:footnoteReference w:id="37"/>
      </w:r>
      <w:r>
        <w:rPr>
          <w:rFonts w:ascii="Times New Roman" w:hAnsi="Times New Roman"/>
          <w:noProof/>
          <w:color w:val="000000"/>
          <w:lang w:val="lv-LV" w:eastAsia="lv-LV" w:bidi="lv-LV"/>
        </w:rPr>
        <w:t xml:space="preserve"> Neto starptautisko iegu</w:t>
      </w:r>
      <w:r>
        <w:rPr>
          <w:rFonts w:ascii="Times New Roman" w:hAnsi="Times New Roman"/>
          <w:noProof/>
          <w:color w:val="000000"/>
          <w:lang w:val="lv-LV" w:eastAsia="lv-LV" w:bidi="lv-LV"/>
        </w:rPr>
        <w:t>ldījumu pozīcija turpināja uzlaboties, taču joprojām ir ļoti negatīva, galvenokārt tādu starptautisku uzņēmumu darbības rezultātā, kuri ir vāji savienoti ar iekšzemes ekonomiku. Spēcīgs ražīguma pieaugums, ko arī palielina starptautisku uzņēmumu darbība, p</w:t>
      </w:r>
      <w:r>
        <w:rPr>
          <w:rFonts w:ascii="Times New Roman" w:hAnsi="Times New Roman"/>
          <w:noProof/>
          <w:color w:val="000000"/>
          <w:lang w:val="lv-LV" w:eastAsia="lv-LV" w:bidi="lv-LV"/>
        </w:rPr>
        <w:t>ēdējos gados ir veicinājis konkurētspējas uzlabošanos. Privātā sektora parāds joprojām ir ļoti liels, lai gan tas turpināja samazināties. Mājsaimniecības turpināja samazināt parādu, un Īrijas bankas ir samazinājušas savus riska darījumus ar iekšzemes uzņēm</w:t>
      </w:r>
      <w:r>
        <w:rPr>
          <w:rFonts w:ascii="Times New Roman" w:hAnsi="Times New Roman"/>
          <w:noProof/>
          <w:color w:val="000000"/>
          <w:lang w:val="lv-LV" w:eastAsia="lv-LV" w:bidi="lv-LV"/>
        </w:rPr>
        <w:t>umiem, kas liecina par turpmāku uzņēmumu aizņemto līdzekļu īpatsvara samazināšanu. Iekšzemes nefinanšu sabiedrību situāciju ir sarežģītāk interpretēt, ņemot vērā to, ka starptautiskie uzņēmumi ietekmē kopējo uzņēmumu parādu. Mājokļu cenu pieaugums kopš 201</w:t>
      </w:r>
      <w:r>
        <w:rPr>
          <w:rFonts w:ascii="Times New Roman" w:hAnsi="Times New Roman"/>
          <w:noProof/>
          <w:color w:val="000000"/>
          <w:lang w:val="lv-LV" w:eastAsia="lv-LV" w:bidi="lv-LV"/>
        </w:rPr>
        <w:t>4. gada ir bijis ļoti dinamisks galvenokārt saistībā ar piedāvājuma trūkumu, un tas ir cieši jāuzrauga. Spēcīgas ekonomikas izaugsmes kontekstā publiskā sektora parāda attiecība pret IKP samazinās, tomēr joprojām ir augsta. Ieņēmumus nenesošu aizdevumu īpa</w:t>
      </w:r>
      <w:r>
        <w:rPr>
          <w:rFonts w:ascii="Times New Roman" w:hAnsi="Times New Roman"/>
          <w:noProof/>
          <w:color w:val="000000"/>
          <w:lang w:val="lv-LV" w:eastAsia="lv-LV" w:bidi="lv-LV"/>
        </w:rPr>
        <w:t>tsvars pēdējos gados samazinās, tomēr joprojām ir augsts. Lai gan bankas ir labi kapitalizētas, uzkrājumu līmenis ir samazinājies. To rentabilitāte pakāpeniski uzlabojas, lai gan tā joprojām ir zema.</w:t>
      </w:r>
      <w:r>
        <w:rPr>
          <w:rFonts w:ascii="Times New Roman" w:hAnsi="Times New Roman"/>
          <w:noProof/>
          <w:lang w:val="lv-LV" w:eastAsia="lv-LV" w:bidi="lv-LV"/>
        </w:rPr>
        <w:t xml:space="preserve"> Bezdarba līmenis 2017. gadā samazinājās zem MNNP robežvē</w:t>
      </w:r>
      <w:r>
        <w:rPr>
          <w:rFonts w:ascii="Times New Roman" w:hAnsi="Times New Roman"/>
          <w:noProof/>
          <w:lang w:val="lv-LV" w:eastAsia="lv-LV" w:bidi="lv-LV"/>
        </w:rPr>
        <w:t>rtības, un ilgstošā un jauniešu bezdarba līmenis turpina samazināties.</w:t>
      </w:r>
    </w:p>
    <w:p w:rsidR="003D03E9" w:rsidRDefault="00F77AE9">
      <w:pPr>
        <w:spacing w:after="240" w:line="259" w:lineRule="auto"/>
        <w:jc w:val="both"/>
        <w:rPr>
          <w:rFonts w:ascii="Times New Roman" w:eastAsia="Calibri" w:hAnsi="Times New Roman" w:cs="Times New Roman"/>
          <w:i/>
          <w:noProof/>
          <w:lang w:val="lv-LV" w:eastAsia="lv-LV" w:bidi="lv-LV"/>
        </w:rPr>
      </w:pPr>
      <w:r>
        <w:rPr>
          <w:rFonts w:ascii="Times New Roman" w:hAnsi="Times New Roman"/>
          <w:i/>
          <w:noProof/>
          <w:lang w:val="lv-LV" w:eastAsia="lv-LV" w:bidi="lv-LV"/>
        </w:rPr>
        <w:t>Kopumā rādītāju ekonomiskā interpretācija izgaismo problēmas, kas attiecas uz ārējās pozīcijas un privātā un publiskā sektora parāda krājumu nepastāvību, kā arī mājokļu cenu straujo pie</w:t>
      </w:r>
      <w:r>
        <w:rPr>
          <w:rFonts w:ascii="Times New Roman" w:hAnsi="Times New Roman"/>
          <w:i/>
          <w:noProof/>
          <w:lang w:val="lv-LV" w:eastAsia="lv-LV" w:bidi="lv-LV"/>
        </w:rPr>
        <w:t>augumu un samērā lielo ieņēmumus nenesošu aizdevumu īpatsvaru. Tāpēc Komisija, ņemot vērā arī 2018. gada martā konstatēto nelīdzsvarotību, atzīst par lietderīgu turpināt analizēt nelīdzsvarotības saglabāšanos vai tās novēršanu.</w:t>
      </w:r>
    </w:p>
    <w:p w:rsidR="003D03E9" w:rsidRDefault="00F77AE9">
      <w:pPr>
        <w:spacing w:after="160" w:line="259" w:lineRule="auto"/>
        <w:jc w:val="both"/>
        <w:rPr>
          <w:rFonts w:ascii="Times New Roman" w:eastAsia="Calibri" w:hAnsi="Times New Roman" w:cs="Times New Roman"/>
          <w:noProof/>
          <w:lang w:val="lv-LV" w:eastAsia="lv-LV" w:bidi="lv-LV"/>
        </w:rPr>
      </w:pPr>
      <w:r>
        <w:rPr>
          <w:rFonts w:ascii="Times New Roman" w:eastAsia="Calibri" w:hAnsi="Times New Roman" w:cs="Times New Roman"/>
          <w:b/>
          <w:noProof/>
          <w:lang w:val="lv-LV" w:eastAsia="lv-LV" w:bidi="lv-LV"/>
        </w:rPr>
        <w:br/>
      </w:r>
      <w:r>
        <w:rPr>
          <w:rFonts w:ascii="Times New Roman" w:hAnsi="Times New Roman"/>
          <w:b/>
          <w:noProof/>
          <w:lang w:val="lv-LV" w:eastAsia="lv-LV" w:bidi="lv-LV"/>
        </w:rPr>
        <w:t>Grieķija.</w:t>
      </w:r>
      <w:r>
        <w:rPr>
          <w:rFonts w:ascii="Times New Roman" w:hAnsi="Times New Roman"/>
          <w:b/>
          <w:i/>
          <w:noProof/>
          <w:lang w:val="lv-LV" w:eastAsia="lv-LV" w:bidi="lv-LV"/>
        </w:rPr>
        <w:t xml:space="preserve"> </w:t>
      </w:r>
      <w:r>
        <w:rPr>
          <w:rFonts w:ascii="Times New Roman" w:hAnsi="Times New Roman"/>
          <w:noProof/>
          <w:lang w:val="lv-LV" w:eastAsia="lv-LV" w:bidi="lv-LV"/>
        </w:rPr>
        <w:t>No 2010. gada līdz nesenam laikam Grieķijā tika īstenotas finansiālās palīdzības programmas. Tāpēc nelīdzsvarotības un korektīvo pasākumu uzraudzība ir veikta saistībā ar šīm programmām, nevis makroekonomikas nelīdzsvarotības novēršanas procedūras ietvaros</w:t>
      </w:r>
      <w:r>
        <w:rPr>
          <w:rFonts w:ascii="Times New Roman" w:hAnsi="Times New Roman"/>
          <w:noProof/>
          <w:lang w:val="lv-LV" w:eastAsia="lv-LV" w:bidi="lv-LV"/>
        </w:rPr>
        <w:t>. Pēdējos gados Grieķija ir veikusi svarīgus pasākumus, lai samazinātu plūsmas nelīdzsvarotību un pārvaldītu saistītos riskus, tomēr paredzams, ka saglabāsies pārmantotā krājumu nelīdzsvarotība. Tas ir atspoguļots atjauninātajā rādītāju kopsavilkumā, kur v</w:t>
      </w:r>
      <w:r>
        <w:rPr>
          <w:rFonts w:ascii="Times New Roman" w:hAnsi="Times New Roman"/>
          <w:noProof/>
          <w:lang w:val="lv-LV" w:eastAsia="lv-LV" w:bidi="lv-LV"/>
        </w:rPr>
        <w:t xml:space="preserve">airāki rādītāji pārsniedz indikatīvo robežvērtību, proti, neto starptautisko ieguldījumu pozīcija, eksporta tirgus daļu samazinājumi, valdības parāds un bezdarba līmenis. </w:t>
      </w:r>
    </w:p>
    <w:p w:rsidR="003D03E9" w:rsidRDefault="00F77AE9">
      <w:pPr>
        <w:spacing w:after="160" w:line="259" w:lineRule="auto"/>
        <w:jc w:val="both"/>
        <w:rPr>
          <w:rFonts w:ascii="Times New Roman" w:eastAsia="Calibri" w:hAnsi="Times New Roman" w:cs="Times New Roman"/>
          <w:noProof/>
          <w:lang w:val="lv-LV" w:eastAsia="lv-LV" w:bidi="lv-LV"/>
        </w:rPr>
      </w:pPr>
      <w:r>
        <w:rPr>
          <w:noProof/>
          <w:lang w:eastAsia="en-GB"/>
        </w:rPr>
        <w:drawing>
          <wp:anchor distT="0" distB="0" distL="114300" distR="114300" simplePos="0" relativeHeight="251635200" behindDoc="0" locked="0" layoutInCell="1" allowOverlap="1">
            <wp:simplePos x="0" y="0"/>
            <wp:positionH relativeFrom="column">
              <wp:posOffset>2625090</wp:posOffset>
            </wp:positionH>
            <wp:positionV relativeFrom="paragraph">
              <wp:posOffset>43815</wp:posOffset>
            </wp:positionV>
            <wp:extent cx="3152775" cy="3240405"/>
            <wp:effectExtent l="0" t="0" r="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52775" cy="32404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lang w:val="lv-LV" w:eastAsia="lv-LV" w:bidi="lv-LV"/>
        </w:rPr>
        <w:t>Lai gan privātajā sektorā ir pozitīva neto starptautisko ieguldījumu pozīcija, publ</w:t>
      </w:r>
      <w:r>
        <w:rPr>
          <w:rFonts w:ascii="Times New Roman" w:hAnsi="Times New Roman"/>
          <w:noProof/>
          <w:lang w:val="lv-LV" w:eastAsia="lv-LV" w:bidi="lv-LV"/>
        </w:rPr>
        <w:t>iskā sektora ārējā parāda lielais īpatsvars rada kopumā ievērojami negatīvu neto starptautisko ieguldījumu pozīciju. Lai gan lielu daļu publiskā sektora ārējā parāda veido aizdevumi ar ļoti izdevīgām likmēm, neto starptautisko ieguldījumu pozīcijas ilgterm</w:t>
      </w:r>
      <w:r>
        <w:rPr>
          <w:rFonts w:ascii="Times New Roman" w:hAnsi="Times New Roman"/>
          <w:noProof/>
          <w:lang w:val="lv-LV" w:eastAsia="lv-LV" w:bidi="lv-LV"/>
        </w:rPr>
        <w:t>iņa ilgtspējas nodrošināšanai būs nepieciešams, lai nesenie uzlabojumi tekošajā kontā tiktu saglabāti situācijā, kad pieaug iekšzemes pieprasījums. Pēdējos piecos gados ir reģistrēti ievērojami eksporta tirgus daļu samazinājumi, taču šķiet, ka tendence 201</w:t>
      </w:r>
      <w:r>
        <w:rPr>
          <w:rFonts w:ascii="Times New Roman" w:hAnsi="Times New Roman"/>
          <w:noProof/>
          <w:lang w:val="lv-LV" w:eastAsia="lv-LV" w:bidi="lv-LV"/>
        </w:rPr>
        <w:t>7. gadā ir mainījusies uz pretējo. Valdības parāda attiecība pret IKP ir ļoti augsta, lai gan paredzams, ka tā samazināsies, un tās ilgtspējas pamatā ir Eurogrupas 2018. gada jūnija nolīgums. Mājokļu cenas 2017. gadā turpināja samazināties reālā izteiksmē,</w:t>
      </w:r>
      <w:r>
        <w:rPr>
          <w:rFonts w:ascii="Times New Roman" w:hAnsi="Times New Roman"/>
          <w:noProof/>
          <w:lang w:val="lv-LV" w:eastAsia="lv-LV" w:bidi="lv-LV"/>
        </w:rPr>
        <w:t xml:space="preserve"> bet 2018. gada sākumā stabilizējās. Kredītu pieaugums joprojām ir negatīvs, jo turpinās privātā sektora parāda īpatsvara samazināšana. Augstais ieņēmumus nenesošu aizdevumu līmenis kavē veselīgu kredītplūsmu atjaunošanos ekonomikā, kas ir nepieciešama, la</w:t>
      </w:r>
      <w:r>
        <w:rPr>
          <w:rFonts w:ascii="Times New Roman" w:hAnsi="Times New Roman"/>
          <w:noProof/>
          <w:lang w:val="lv-LV" w:eastAsia="lv-LV" w:bidi="lv-LV"/>
        </w:rPr>
        <w:t xml:space="preserve">i atbalstītu izaugsmi vidējā termiņā. Bezdarbs samazinās, taču joprojām ir augsts, jo īpaši ilgstošais un jauniešu bezdarbs. </w:t>
      </w:r>
    </w:p>
    <w:p w:rsidR="003D03E9" w:rsidRDefault="00F77AE9">
      <w:pPr>
        <w:spacing w:after="160" w:line="259" w:lineRule="auto"/>
        <w:jc w:val="both"/>
        <w:rPr>
          <w:rFonts w:ascii="Times New Roman" w:eastAsia="Calibri" w:hAnsi="Times New Roman" w:cs="Times New Roman"/>
          <w:i/>
          <w:noProof/>
          <w:lang w:val="lv-LV" w:eastAsia="lv-LV" w:bidi="lv-LV"/>
        </w:rPr>
      </w:pPr>
      <w:r>
        <w:rPr>
          <w:rFonts w:ascii="Times New Roman" w:hAnsi="Times New Roman"/>
          <w:i/>
          <w:noProof/>
          <w:lang w:val="lv-LV" w:eastAsia="lv-LV" w:bidi="lv-LV"/>
        </w:rPr>
        <w:t>Kopumā rādītāju ekonomiskā interpretācija izgaismo problēmas, kas attiecas uz lielo publiskā sektora un ārējo parādu, maziem ietau</w:t>
      </w:r>
      <w:r>
        <w:rPr>
          <w:rFonts w:ascii="Times New Roman" w:hAnsi="Times New Roman"/>
          <w:i/>
          <w:noProof/>
          <w:lang w:val="lv-LV" w:eastAsia="lv-LV" w:bidi="lv-LV"/>
        </w:rPr>
        <w:t>pījumiem un ieņēmumus nenesošu aizdevumu lieliem krājumiem, un tās visas augsta bezdarba līmeņa, zema ražīguma pieauguma un gausas ieguldījumu aktivitātes apstākļos. Tāpēc Komisija uzskata, ka ir lietderīgi turpināt iesaistīto risku pētīšanu, izmantojot pa</w:t>
      </w:r>
      <w:r>
        <w:rPr>
          <w:rFonts w:ascii="Times New Roman" w:hAnsi="Times New Roman"/>
          <w:i/>
          <w:noProof/>
          <w:lang w:val="lv-LV" w:eastAsia="lv-LV" w:bidi="lv-LV"/>
        </w:rPr>
        <w:t>dziļinātu analīzi, nolūkā novērtēt, vai pastāv nelīdzsvarotība.</w:t>
      </w:r>
    </w:p>
    <w:p w:rsidR="003D03E9" w:rsidRDefault="003D03E9">
      <w:pPr>
        <w:rPr>
          <w:rFonts w:ascii="Times New Roman" w:eastAsia="Calibri" w:hAnsi="Times New Roman" w:cs="Times New Roman"/>
          <w:i/>
          <w:noProof/>
          <w:lang w:val="lv-LV" w:eastAsia="lv-LV" w:bidi="lv-LV"/>
        </w:rPr>
      </w:pPr>
    </w:p>
    <w:p w:rsidR="003D03E9" w:rsidRDefault="00F77AE9">
      <w:pPr>
        <w:autoSpaceDE w:val="0"/>
        <w:autoSpaceDN w:val="0"/>
        <w:adjustRightInd w:val="0"/>
        <w:spacing w:after="160" w:line="259" w:lineRule="auto"/>
        <w:jc w:val="both"/>
        <w:rPr>
          <w:rFonts w:ascii="Times New Roman" w:eastAsia="Calibri" w:hAnsi="Times New Roman" w:cs="Times New Roman"/>
          <w:noProof/>
          <w:lang w:val="lv-LV" w:eastAsia="lv-LV" w:bidi="lv-LV"/>
        </w:rPr>
      </w:pPr>
      <w:r>
        <w:rPr>
          <w:noProof/>
          <w:lang w:eastAsia="en-GB"/>
        </w:rPr>
        <w:drawing>
          <wp:anchor distT="0" distB="0" distL="114300" distR="114300" simplePos="0" relativeHeight="251658752" behindDoc="1" locked="0" layoutInCell="1" allowOverlap="1">
            <wp:simplePos x="0" y="0"/>
            <wp:positionH relativeFrom="column">
              <wp:posOffset>3167380</wp:posOffset>
            </wp:positionH>
            <wp:positionV relativeFrom="paragraph">
              <wp:posOffset>12065</wp:posOffset>
            </wp:positionV>
            <wp:extent cx="2581275" cy="3067050"/>
            <wp:effectExtent l="0" t="0" r="9525"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81275" cy="3067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lang w:val="lv-LV" w:eastAsia="lv-LV" w:bidi="lv-LV"/>
        </w:rPr>
        <w:t>Spānija</w:t>
      </w:r>
      <w:r>
        <w:rPr>
          <w:rFonts w:ascii="Times New Roman" w:hAnsi="Times New Roman"/>
          <w:noProof/>
          <w:lang w:val="lv-LV" w:eastAsia="lv-LV" w:bidi="lv-LV"/>
        </w:rPr>
        <w:t xml:space="preserve">. Komisija 2018. gada martā secināja, ka Spānijā ir </w:t>
      </w:r>
      <w:r>
        <w:rPr>
          <w:rFonts w:ascii="Times New Roman" w:hAnsi="Times New Roman"/>
          <w:i/>
          <w:noProof/>
          <w:lang w:val="lv-LV" w:eastAsia="lv-LV" w:bidi="lv-LV"/>
        </w:rPr>
        <w:t>makroekonomikas nelīdzsvarotība</w:t>
      </w:r>
      <w:r>
        <w:rPr>
          <w:rFonts w:ascii="Times New Roman" w:hAnsi="Times New Roman"/>
          <w:noProof/>
          <w:lang w:val="lv-LV" w:eastAsia="lv-LV" w:bidi="lv-LV"/>
        </w:rPr>
        <w:t>, jo īpaši saistībā gan ar publiskā, gan privātā sektora ārējo un iekšējo parādsaistību augsto līmen</w:t>
      </w:r>
      <w:r>
        <w:rPr>
          <w:rFonts w:ascii="Times New Roman" w:hAnsi="Times New Roman"/>
          <w:noProof/>
          <w:lang w:val="lv-LV" w:eastAsia="lv-LV" w:bidi="lv-LV"/>
        </w:rPr>
        <w:t>i augsta bezdarba apstākļos. Atjauninātajā rādītāju kopsavilkumā vairāki rādītāji pārsniedz indikatīvo robežvērtību, proti, neto starptautisko ieguldījumu pozīcija, privātā sektora un valdības parāda attiecība, bezdarba līmenis, kā arī ekonomiski aktīvā da</w:t>
      </w:r>
      <w:r>
        <w:rPr>
          <w:rFonts w:ascii="Times New Roman" w:hAnsi="Times New Roman"/>
          <w:noProof/>
          <w:lang w:val="lv-LV" w:eastAsia="lv-LV" w:bidi="lv-LV"/>
        </w:rPr>
        <w:t xml:space="preserve">rbaspēka līmeņa pieaugums. </w:t>
      </w:r>
    </w:p>
    <w:p w:rsidR="003D03E9" w:rsidRDefault="00F77AE9">
      <w:pPr>
        <w:autoSpaceDE w:val="0"/>
        <w:autoSpaceDN w:val="0"/>
        <w:adjustRightInd w:val="0"/>
        <w:spacing w:after="120" w:line="259" w:lineRule="auto"/>
        <w:jc w:val="both"/>
        <w:rPr>
          <w:rFonts w:ascii="Times New Roman" w:eastAsia="MS Mincho" w:hAnsi="Times New Roman" w:cs="Times New Roman"/>
          <w:noProof/>
          <w:lang w:val="lv-LV" w:eastAsia="lv-LV" w:bidi="lv-LV"/>
        </w:rPr>
      </w:pPr>
      <w:r>
        <w:rPr>
          <w:rFonts w:ascii="Times New Roman" w:hAnsi="Times New Roman"/>
          <w:noProof/>
          <w:lang w:val="lv-LV" w:eastAsia="lv-LV" w:bidi="lv-LV"/>
        </w:rPr>
        <w:t xml:space="preserve">Ārējā līdzsvarošana turpinājās, lai gan salīdzinoši lēnām, un, kaut gan neto starptautisko ieguldījumu pozīcija ir uzlabojusies, tā joprojām ir ļoti augsta. Nominālo vienības darbaspēka izmaksu pieaugums ir bijis stabils, ņemot </w:t>
      </w:r>
      <w:r>
        <w:rPr>
          <w:rFonts w:ascii="Times New Roman" w:hAnsi="Times New Roman"/>
          <w:noProof/>
          <w:lang w:val="lv-LV" w:eastAsia="lv-LV" w:bidi="lv-LV"/>
        </w:rPr>
        <w:t>vērā ierobežoto darba samaksas pieaugumu un nelielu ražīguma pieaugumu. Eksporta tirgus pieaugums gadu no gada ir bijis mērens, neraugoties uz to, ka 2017. gadā reālais efektīvais valūtas kurss nedaudz pieauga. Privātā sektora, jo īpaši uzņēmumu, parāds 20</w:t>
      </w:r>
      <w:r>
        <w:rPr>
          <w:rFonts w:ascii="Times New Roman" w:hAnsi="Times New Roman"/>
          <w:noProof/>
          <w:lang w:val="lv-LV" w:eastAsia="lv-LV" w:bidi="lv-LV"/>
        </w:rPr>
        <w:t>17. gadā turpināja samazināties, taču joprojām ir jāsamazina aizņemto līdzekļu īpatsvars. Turklāt ir atsākusies jauna kredītplūsma, kas veicina ieguldījumu pieaugumu. Mājsaimniecību parāda samazināšanās tempu kavē arī spēcīgs patēriņa kredītu pieaugums. Mā</w:t>
      </w:r>
      <w:r>
        <w:rPr>
          <w:rFonts w:ascii="Times New Roman" w:hAnsi="Times New Roman"/>
          <w:noProof/>
          <w:lang w:val="lv-LV" w:eastAsia="lv-LV" w:bidi="lv-LV"/>
        </w:rPr>
        <w:t xml:space="preserve">jokļu cenas pēdējos gados ir pieaugušas, ņemot vērā, ka iepriekš novērtējums ir bijis pārāk zems. Pēdējos gados spēcīga ekonomikas izaugsme ir bijis galvenais dzinulis vispārējās valdības budžeta deficīta samazināšanai, bet pastāvīgais deficīts nozīmē, ka </w:t>
      </w:r>
      <w:r>
        <w:rPr>
          <w:rFonts w:ascii="Times New Roman" w:hAnsi="Times New Roman"/>
          <w:noProof/>
          <w:lang w:val="lv-LV" w:eastAsia="lv-LV" w:bidi="lv-LV"/>
        </w:rPr>
        <w:t xml:space="preserve">valdības parāda attiecība samazinās tikai lēnām. Bezdarbs strauji samazinās, tomēr joprojām ir ļoti augsts, jo īpaši jauniešu vidū. Tajā pašā laikā zemā ražīguma pieauguma rezultātā konkurētspējas pieaugums ir atkarīgs no izmaksu priekšrocībām. </w:t>
      </w:r>
    </w:p>
    <w:p w:rsidR="003D03E9" w:rsidRDefault="00F77AE9">
      <w:pPr>
        <w:autoSpaceDE w:val="0"/>
        <w:autoSpaceDN w:val="0"/>
        <w:adjustRightInd w:val="0"/>
        <w:spacing w:after="80" w:line="259" w:lineRule="auto"/>
        <w:jc w:val="both"/>
        <w:rPr>
          <w:rFonts w:ascii="Times New Roman" w:eastAsia="Calibri" w:hAnsi="Times New Roman" w:cs="Times New Roman"/>
          <w:i/>
          <w:noProof/>
          <w:lang w:val="lv-LV" w:eastAsia="lv-LV" w:bidi="lv-LV"/>
        </w:rPr>
      </w:pPr>
      <w:r>
        <w:rPr>
          <w:rFonts w:ascii="Times New Roman" w:hAnsi="Times New Roman"/>
          <w:i/>
          <w:noProof/>
          <w:lang w:val="lv-LV" w:eastAsia="lv-LV" w:bidi="lv-LV"/>
        </w:rPr>
        <w:t>Kopumā rād</w:t>
      </w:r>
      <w:r>
        <w:rPr>
          <w:rFonts w:ascii="Times New Roman" w:hAnsi="Times New Roman"/>
          <w:i/>
          <w:noProof/>
          <w:lang w:val="lv-LV" w:eastAsia="lv-LV" w:bidi="lv-LV"/>
        </w:rPr>
        <w:t>ītāju ekonomiskā interpretācija izgaismo problēmas, kas attiecas uz ārējās pozīcijas ilgtspēju, privātā un publiskā sektora parādu un darba tirgus korekciju vāja ražīguma pieauguma apstākļos. Tādēļ Komisija, ņemot vērā arī 2018. gada martā konstatēto nelīd</w:t>
      </w:r>
      <w:r>
        <w:rPr>
          <w:rFonts w:ascii="Times New Roman" w:hAnsi="Times New Roman"/>
          <w:i/>
          <w:noProof/>
          <w:lang w:val="lv-LV" w:eastAsia="lv-LV" w:bidi="lv-LV"/>
        </w:rPr>
        <w:t xml:space="preserve">zsvarotību un tās nozīmi pārrobežu līmenī, atzīst par lietderīgu turpināt analizēt nelīdzsvarotības saglabāšanos vai tās novēršanu. </w:t>
      </w:r>
    </w:p>
    <w:p w:rsidR="003D03E9" w:rsidRDefault="003D03E9">
      <w:pPr>
        <w:rPr>
          <w:rFonts w:ascii="Times New Roman" w:eastAsia="MS Mincho" w:hAnsi="Times New Roman" w:cs="Times New Roman"/>
          <w:i/>
          <w:noProof/>
          <w:lang w:val="lv-LV" w:eastAsia="lv-LV" w:bidi="lv-LV"/>
        </w:rPr>
      </w:pPr>
    </w:p>
    <w:p w:rsidR="003D03E9" w:rsidRDefault="00F77AE9">
      <w:pPr>
        <w:autoSpaceDE w:val="0"/>
        <w:autoSpaceDN w:val="0"/>
        <w:adjustRightInd w:val="0"/>
        <w:spacing w:after="160" w:line="259" w:lineRule="auto"/>
        <w:jc w:val="both"/>
        <w:rPr>
          <w:noProof/>
          <w:lang w:val="lv-LV" w:eastAsia="lv-LV" w:bidi="lv-LV"/>
        </w:rPr>
      </w:pPr>
      <w:r>
        <w:rPr>
          <w:noProof/>
          <w:lang w:eastAsia="en-GB"/>
        </w:rPr>
        <w:drawing>
          <wp:anchor distT="0" distB="0" distL="114300" distR="114300" simplePos="0" relativeHeight="251639296" behindDoc="0" locked="0" layoutInCell="1" allowOverlap="1">
            <wp:simplePos x="0" y="0"/>
            <wp:positionH relativeFrom="column">
              <wp:posOffset>3275330</wp:posOffset>
            </wp:positionH>
            <wp:positionV relativeFrom="paragraph">
              <wp:posOffset>-13970</wp:posOffset>
            </wp:positionV>
            <wp:extent cx="2523490" cy="2911475"/>
            <wp:effectExtent l="0" t="0" r="0"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23490" cy="2911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lang w:val="lv-LV" w:eastAsia="lv-LV" w:bidi="lv-LV"/>
        </w:rPr>
        <w:t>Francija.</w:t>
      </w:r>
      <w:r>
        <w:rPr>
          <w:rFonts w:ascii="Times New Roman" w:hAnsi="Times New Roman"/>
          <w:noProof/>
          <w:lang w:val="lv-LV" w:eastAsia="lv-LV" w:bidi="lv-LV"/>
        </w:rPr>
        <w:t xml:space="preserve"> Komisija 2018. gada martā secināja, ka Francijā ir </w:t>
      </w:r>
      <w:r>
        <w:rPr>
          <w:rFonts w:ascii="Times New Roman" w:hAnsi="Times New Roman"/>
          <w:i/>
          <w:noProof/>
          <w:lang w:val="lv-LV" w:eastAsia="lv-LV" w:bidi="lv-LV"/>
        </w:rPr>
        <w:t>makroekonomikas nelīdzsvarotība</w:t>
      </w:r>
      <w:r>
        <w:rPr>
          <w:rFonts w:ascii="Times New Roman" w:hAnsi="Times New Roman"/>
          <w:noProof/>
          <w:lang w:val="lv-LV" w:eastAsia="lv-LV" w:bidi="lv-LV"/>
        </w:rPr>
        <w:t>, jo īpaši saistībā ar ļoti lielu publiskā sektora parādu un vāju konkurētspēju zema ražīguma pieauguma apstākļos. Atjauninātajā rādītāju kopsavilkumā valdības un privātā sektora parāds un bezdarba līmeņa rādītāji ir uz indikatīvās robežvērtības vai pārsni</w:t>
      </w:r>
      <w:r>
        <w:rPr>
          <w:rFonts w:ascii="Times New Roman" w:hAnsi="Times New Roman"/>
          <w:noProof/>
          <w:lang w:val="lv-LV" w:eastAsia="lv-LV" w:bidi="lv-LV"/>
        </w:rPr>
        <w:t xml:space="preserve">edz to. </w:t>
      </w:r>
    </w:p>
    <w:p w:rsidR="003D03E9" w:rsidRDefault="00F77AE9">
      <w:pPr>
        <w:autoSpaceDE w:val="0"/>
        <w:autoSpaceDN w:val="0"/>
        <w:adjustRightInd w:val="0"/>
        <w:spacing w:after="160" w:line="259" w:lineRule="auto"/>
        <w:jc w:val="both"/>
        <w:rPr>
          <w:rFonts w:ascii="Times New Roman" w:eastAsia="Calibri" w:hAnsi="Times New Roman" w:cs="Times New Roman"/>
          <w:bCs/>
          <w:noProof/>
          <w:lang w:val="lv-LV" w:eastAsia="lv-LV" w:bidi="lv-LV"/>
        </w:rPr>
      </w:pPr>
      <w:r>
        <w:rPr>
          <w:rFonts w:ascii="Times New Roman" w:hAnsi="Times New Roman"/>
          <w:noProof/>
          <w:lang w:val="lv-LV" w:eastAsia="lv-LV" w:bidi="lv-LV"/>
        </w:rPr>
        <w:t>Tekošā konta deficīts 2017. gadā kopumā bija stabils, bet neto starptautisko ieguldījumu pozīcija pasliktinājās. Neraugoties uz eksporta pieauguma tempa kāpināšanos, 2017. gadā eksporta tirgus daļu apjoms nedaudz samazinājās, savukārt reālais efektīvais va</w:t>
      </w:r>
      <w:r>
        <w:rPr>
          <w:rFonts w:ascii="Times New Roman" w:hAnsi="Times New Roman"/>
          <w:noProof/>
          <w:lang w:val="lv-LV" w:eastAsia="lv-LV" w:bidi="lv-LV"/>
        </w:rPr>
        <w:t xml:space="preserve">lūtas kurss nostabilizējās. Mērenāku darba samaksas izmaiņu dēļ vienības darbaspēka izmaksu pieaugums bija ierobežots. Tomēr ražīguma dinamika joprojām bija gausa. Joprojām nopietnas bažas rada neaizsargātības faktori, kas izriet no lielā valdības parāda, </w:t>
      </w:r>
      <w:r>
        <w:rPr>
          <w:rFonts w:ascii="Times New Roman" w:hAnsi="Times New Roman"/>
          <w:noProof/>
          <w:lang w:val="lv-LV" w:eastAsia="lv-LV" w:bidi="lv-LV"/>
        </w:rPr>
        <w:t>kurš aizvien pieaug. Lielais publiskā sektora parāds apvienojumā ar privātā sektora parādu rada papildu neaizsargātību. Privātā sektora, jo īpaši nefinanšu sabiedrību, parāds ir samērā liels, savukārt kredītu pieaugums nedaudz kāpj. Mājokļu reālās cenas ne</w:t>
      </w:r>
      <w:r>
        <w:rPr>
          <w:rFonts w:ascii="Times New Roman" w:hAnsi="Times New Roman"/>
          <w:noProof/>
          <w:lang w:val="lv-LV" w:eastAsia="lv-LV" w:bidi="lv-LV"/>
        </w:rPr>
        <w:t xml:space="preserve">daudz palielinājās. Situācija darba tirgū uzlabojas, un bezdarba rādītājs svārstās robežvērtības ietvaros. </w:t>
      </w:r>
    </w:p>
    <w:p w:rsidR="003D03E9" w:rsidRDefault="00F77AE9">
      <w:pPr>
        <w:autoSpaceDE w:val="0"/>
        <w:autoSpaceDN w:val="0"/>
        <w:adjustRightInd w:val="0"/>
        <w:spacing w:after="160" w:line="259" w:lineRule="auto"/>
        <w:jc w:val="both"/>
        <w:rPr>
          <w:rFonts w:ascii="Times New Roman" w:eastAsia="Calibri" w:hAnsi="Times New Roman" w:cs="Times New Roman"/>
          <w:bCs/>
          <w:i/>
          <w:noProof/>
          <w:lang w:val="lv-LV" w:eastAsia="lv-LV" w:bidi="lv-LV"/>
        </w:rPr>
      </w:pPr>
      <w:r>
        <w:rPr>
          <w:rFonts w:ascii="Times New Roman" w:hAnsi="Times New Roman"/>
          <w:i/>
          <w:noProof/>
          <w:lang w:val="lv-LV" w:eastAsia="lv-LV" w:bidi="lv-LV"/>
        </w:rPr>
        <w:t>Kopumā rādītāju ekonomiskā interpretācija izgaismo problēmas, kas attiecas uz augstu parādsaistību līmeni un vāju konkurētspēju zema ražīguma pieaug</w:t>
      </w:r>
      <w:r>
        <w:rPr>
          <w:rFonts w:ascii="Times New Roman" w:hAnsi="Times New Roman"/>
          <w:i/>
          <w:noProof/>
          <w:lang w:val="lv-LV" w:eastAsia="lv-LV" w:bidi="lv-LV"/>
        </w:rPr>
        <w:t>uma apstākļos. Tāpēc Komisija, ņemot vērā arī 2018. gada martā konstatēto nelīdzsvarotību, atzīst par lietderīgu turpināt analizēt nelīdzsvarotības saglabāšanos vai tās novēršanu.</w:t>
      </w:r>
    </w:p>
    <w:p w:rsidR="003D03E9" w:rsidRDefault="003D03E9">
      <w:pPr>
        <w:autoSpaceDE w:val="0"/>
        <w:autoSpaceDN w:val="0"/>
        <w:adjustRightInd w:val="0"/>
        <w:spacing w:after="160" w:line="259" w:lineRule="auto"/>
        <w:jc w:val="both"/>
        <w:rPr>
          <w:rFonts w:ascii="Times New Roman" w:eastAsia="Calibri" w:hAnsi="Times New Roman" w:cs="Times New Roman"/>
          <w:bCs/>
          <w:i/>
          <w:noProof/>
          <w:lang w:val="lv-LV" w:eastAsia="lv-LV" w:bidi="lv-LV"/>
        </w:rPr>
      </w:pPr>
    </w:p>
    <w:p w:rsidR="003D03E9" w:rsidRDefault="00F77AE9">
      <w:pPr>
        <w:autoSpaceDE w:val="0"/>
        <w:autoSpaceDN w:val="0"/>
        <w:adjustRightInd w:val="0"/>
        <w:spacing w:after="160" w:line="259" w:lineRule="auto"/>
        <w:jc w:val="both"/>
        <w:rPr>
          <w:rFonts w:ascii="Times New Roman" w:eastAsia="Calibri" w:hAnsi="Times New Roman" w:cs="Times New Roman"/>
          <w:noProof/>
          <w:lang w:val="lv-LV" w:eastAsia="lv-LV" w:bidi="lv-LV"/>
        </w:rPr>
      </w:pPr>
      <w:r>
        <w:rPr>
          <w:noProof/>
          <w:lang w:eastAsia="en-GB"/>
        </w:rPr>
        <w:drawing>
          <wp:anchor distT="0" distB="0" distL="114300" distR="114300" simplePos="0" relativeHeight="251640320" behindDoc="0" locked="0" layoutInCell="1" allowOverlap="1">
            <wp:simplePos x="0" y="0"/>
            <wp:positionH relativeFrom="column">
              <wp:posOffset>2845435</wp:posOffset>
            </wp:positionH>
            <wp:positionV relativeFrom="paragraph">
              <wp:posOffset>45085</wp:posOffset>
            </wp:positionV>
            <wp:extent cx="3343275" cy="3321050"/>
            <wp:effectExtent l="0" t="0" r="0"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43275" cy="3321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lang w:val="lv-LV" w:eastAsia="lv-LV" w:bidi="lv-LV"/>
        </w:rPr>
        <w:t>Horvātija.</w:t>
      </w:r>
      <w:r>
        <w:rPr>
          <w:rFonts w:ascii="Times New Roman" w:hAnsi="Times New Roman"/>
          <w:noProof/>
          <w:lang w:val="lv-LV" w:eastAsia="lv-LV" w:bidi="lv-LV"/>
        </w:rPr>
        <w:t xml:space="preserve"> Komisija 2018. gada martā secināja, ka Horvātijā ir </w:t>
      </w:r>
      <w:r>
        <w:rPr>
          <w:rFonts w:ascii="Times New Roman" w:hAnsi="Times New Roman"/>
          <w:i/>
          <w:noProof/>
          <w:lang w:val="lv-LV" w:eastAsia="lv-LV" w:bidi="lv-LV"/>
        </w:rPr>
        <w:t>pārmērīga m</w:t>
      </w:r>
      <w:r>
        <w:rPr>
          <w:rFonts w:ascii="Times New Roman" w:hAnsi="Times New Roman"/>
          <w:i/>
          <w:noProof/>
          <w:lang w:val="lv-LV" w:eastAsia="lv-LV" w:bidi="lv-LV"/>
        </w:rPr>
        <w:t>akroekonomikas nelīdzsvarotība</w:t>
      </w:r>
      <w:r>
        <w:rPr>
          <w:rFonts w:ascii="Times New Roman" w:hAnsi="Times New Roman"/>
          <w:noProof/>
          <w:lang w:val="lv-LV" w:eastAsia="lv-LV" w:bidi="lv-LV"/>
        </w:rPr>
        <w:t xml:space="preserve">, kas saistīta ar augstu publiskā sektora, privātā sektora un ārējā parāda līmeni (visas parādsaistības galvenokārt ir denominētas ārvalstu valūtā) nelielas potenciālās izaugsmes apstākļos. Atjauninātajā rādītāju kopsavilkumā </w:t>
      </w:r>
      <w:r>
        <w:rPr>
          <w:rFonts w:ascii="Times New Roman" w:hAnsi="Times New Roman"/>
          <w:noProof/>
          <w:lang w:val="lv-LV" w:eastAsia="lv-LV" w:bidi="lv-LV"/>
        </w:rPr>
        <w:t>vairāki rādītāji pārsniedz indikatīvo robežvērtību, proti, neto starptautisko ieguldījumu pozīcija, valdības parāds un bezdarba līmenis.</w:t>
      </w:r>
    </w:p>
    <w:p w:rsidR="003D03E9" w:rsidRDefault="00F77AE9">
      <w:pPr>
        <w:autoSpaceDE w:val="0"/>
        <w:autoSpaceDN w:val="0"/>
        <w:adjustRightInd w:val="0"/>
        <w:spacing w:after="160" w:line="259" w:lineRule="auto"/>
        <w:jc w:val="both"/>
        <w:rPr>
          <w:rFonts w:ascii="Times New Roman" w:eastAsia="Calibri" w:hAnsi="Times New Roman" w:cs="Times New Roman"/>
          <w:noProof/>
          <w:lang w:val="lv-LV" w:eastAsia="lv-LV" w:bidi="lv-LV"/>
        </w:rPr>
      </w:pPr>
      <w:r>
        <w:rPr>
          <w:rFonts w:ascii="Times New Roman" w:hAnsi="Times New Roman"/>
          <w:noProof/>
          <w:lang w:val="lv-LV" w:eastAsia="lv-LV" w:bidi="lv-LV"/>
        </w:rPr>
        <w:t>Ņemot vērā tekošā konta pārpalikuma palielināšanos, negatīvā neto starptautisko ieguldījumu pozīcija, kas lielā mērā at</w:t>
      </w:r>
      <w:r>
        <w:rPr>
          <w:rFonts w:ascii="Times New Roman" w:hAnsi="Times New Roman"/>
          <w:noProof/>
          <w:lang w:val="lv-LV" w:eastAsia="lv-LV" w:bidi="lv-LV"/>
        </w:rPr>
        <w:t>spoguļo ārvalstu tiešos ieguldījumus, ir uzlabojusies, lai gan tā pārsniedz robežvērtību un ir pakļauta pastāvīgiem ar valūtu saistītiem riskiem. Negatīvs nominālo vienības darbaspēka izmaksu pieaugums norāda uz turpmāku izmaksu konkurētspējas pieaugumu, l</w:t>
      </w:r>
      <w:r>
        <w:rPr>
          <w:rFonts w:ascii="Times New Roman" w:hAnsi="Times New Roman"/>
          <w:noProof/>
          <w:lang w:val="lv-LV" w:eastAsia="lv-LV" w:bidi="lv-LV"/>
        </w:rPr>
        <w:t>ai gan reālais efektīvais valūtas kurss ir bijis stabils. Tādējādi 2017. gadā Horvātija turpināja palielināt tirgus daļas, bet lēnākā tempā nekā iepriekšējos gados. Neraugoties uz kredītplūsmu atlabšanu 2017. gadā, privātā sektora parāds turpināja samazinā</w:t>
      </w:r>
      <w:r>
        <w:rPr>
          <w:rFonts w:ascii="Times New Roman" w:hAnsi="Times New Roman"/>
          <w:noProof/>
          <w:lang w:val="lv-LV" w:eastAsia="lv-LV" w:bidi="lv-LV"/>
        </w:rPr>
        <w:t>ties. Ieņēmumus nenesošu aizdevumu samazinājums banku nozarē palēninājās, un liela daļa aizdevumu nefinanšu sabiedrībām joprojām ir ieņēmumus nenesoši. Valdības parāda attiecība 2017. gadā turpināja samazināties, tostarp uz vispārējās valdības bilances uzl</w:t>
      </w:r>
      <w:r>
        <w:rPr>
          <w:rFonts w:ascii="Times New Roman" w:hAnsi="Times New Roman"/>
          <w:noProof/>
          <w:lang w:val="lv-LV" w:eastAsia="lv-LV" w:bidi="lv-LV"/>
        </w:rPr>
        <w:t xml:space="preserve">abošanās rēķina. Bezdarba līmenis turpināja samazināties. Tomēr dalība darba tirgū joprojām ir ļoti zema un apvienojumā ar lēnu ražīguma attīstību tā turpina ietekmēt potenciālo izaugsmi. Riski, kas saistīti ar lielāko darba devēju valstī, </w:t>
      </w:r>
      <w:r>
        <w:rPr>
          <w:rFonts w:ascii="Times New Roman" w:hAnsi="Times New Roman"/>
          <w:i/>
          <w:noProof/>
          <w:lang w:val="lv-LV" w:eastAsia="lv-LV" w:bidi="lv-LV"/>
        </w:rPr>
        <w:t>Agrokor</w:t>
      </w:r>
      <w:r>
        <w:rPr>
          <w:rFonts w:ascii="Times New Roman" w:hAnsi="Times New Roman"/>
          <w:noProof/>
          <w:lang w:val="lv-LV" w:eastAsia="lv-LV" w:bidi="lv-LV"/>
        </w:rPr>
        <w:t>, samazin</w:t>
      </w:r>
      <w:r>
        <w:rPr>
          <w:rFonts w:ascii="Times New Roman" w:hAnsi="Times New Roman"/>
          <w:noProof/>
          <w:lang w:val="lv-LV" w:eastAsia="lv-LV" w:bidi="lv-LV"/>
        </w:rPr>
        <w:t xml:space="preserve">ājās pēc tam, kad uzņēmuma kreditori pieņēma parāda pārstrukturēšanas plānu. </w:t>
      </w:r>
    </w:p>
    <w:p w:rsidR="003D03E9" w:rsidRDefault="00F77AE9">
      <w:pPr>
        <w:autoSpaceDE w:val="0"/>
        <w:autoSpaceDN w:val="0"/>
        <w:adjustRightInd w:val="0"/>
        <w:spacing w:after="160" w:line="259" w:lineRule="auto"/>
        <w:jc w:val="both"/>
        <w:rPr>
          <w:rFonts w:ascii="Times New Roman" w:eastAsia="Calibri" w:hAnsi="Times New Roman" w:cs="Times New Roman"/>
          <w:noProof/>
          <w:lang w:val="lv-LV" w:eastAsia="lv-LV" w:bidi="lv-LV"/>
        </w:rPr>
      </w:pPr>
      <w:r>
        <w:rPr>
          <w:rFonts w:ascii="Times New Roman" w:hAnsi="Times New Roman"/>
          <w:i/>
          <w:noProof/>
          <w:lang w:val="lv-LV" w:eastAsia="lv-LV" w:bidi="lv-LV"/>
        </w:rPr>
        <w:t>Kopumā rādītāju ekonomiskā interpretācija izgaismo joprojām augsto, bet sarūkošo parāda līmeni, valūtas riska darījumus visās ekonomikas nozarēs un lielākas potenciālās izaugsmes</w:t>
      </w:r>
      <w:r>
        <w:rPr>
          <w:rFonts w:ascii="Times New Roman" w:hAnsi="Times New Roman"/>
          <w:i/>
          <w:noProof/>
          <w:lang w:val="lv-LV" w:eastAsia="lv-LV" w:bidi="lv-LV"/>
        </w:rPr>
        <w:t xml:space="preserve"> nozīmi ilgstošas korekcijas nolūkā. Tāpēc Komisija, ņemot vērā arī 2018. gada martā konstatēto pārmērīgo nelīdzsvarotību, uzskata par lietderīgu turpināt analizēt makroekonomikas risku saglabāšanos un pārraudzīt progresu pārmērīgās nelīdzsvarotības novērš</w:t>
      </w:r>
      <w:r>
        <w:rPr>
          <w:rFonts w:ascii="Times New Roman" w:hAnsi="Times New Roman"/>
          <w:i/>
          <w:noProof/>
          <w:lang w:val="lv-LV" w:eastAsia="lv-LV" w:bidi="lv-LV"/>
        </w:rPr>
        <w:t>anā.</w:t>
      </w:r>
    </w:p>
    <w:p w:rsidR="003D03E9" w:rsidRDefault="00F77AE9">
      <w:pPr>
        <w:rPr>
          <w:rFonts w:ascii="Times New Roman" w:eastAsia="Times New Roman" w:hAnsi="Times New Roman" w:cs="Times New Roman"/>
          <w:b/>
          <w:bCs/>
          <w:noProof/>
          <w:color w:val="000000"/>
          <w:lang w:val="lv-LV" w:eastAsia="lv-LV" w:bidi="lv-LV"/>
        </w:rPr>
      </w:pPr>
      <w:r>
        <w:rPr>
          <w:noProof/>
          <w:lang w:eastAsia="en-GB"/>
        </w:rPr>
        <w:drawing>
          <wp:anchor distT="0" distB="0" distL="114300" distR="114300" simplePos="0" relativeHeight="251641344" behindDoc="0" locked="0" layoutInCell="1" allowOverlap="1">
            <wp:simplePos x="0" y="0"/>
            <wp:positionH relativeFrom="column">
              <wp:posOffset>2574290</wp:posOffset>
            </wp:positionH>
            <wp:positionV relativeFrom="paragraph">
              <wp:posOffset>313690</wp:posOffset>
            </wp:positionV>
            <wp:extent cx="3189605" cy="2860040"/>
            <wp:effectExtent l="0" t="0" r="0"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89605" cy="2860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03E9" w:rsidRDefault="00F77AE9">
      <w:pPr>
        <w:autoSpaceDE w:val="0"/>
        <w:autoSpaceDN w:val="0"/>
        <w:adjustRightInd w:val="0"/>
        <w:spacing w:after="0" w:line="240" w:lineRule="auto"/>
        <w:jc w:val="both"/>
        <w:rPr>
          <w:rFonts w:ascii="Times New Roman" w:eastAsia="Times New Roman" w:hAnsi="Times New Roman" w:cs="Times New Roman"/>
          <w:noProof/>
          <w:color w:val="000000"/>
          <w:lang w:val="lv-LV" w:eastAsia="lv-LV" w:bidi="lv-LV"/>
        </w:rPr>
      </w:pPr>
      <w:r>
        <w:rPr>
          <w:rFonts w:ascii="Times New Roman" w:hAnsi="Times New Roman"/>
          <w:b/>
          <w:noProof/>
          <w:color w:val="000000"/>
          <w:lang w:val="lv-LV" w:eastAsia="lv-LV" w:bidi="lv-LV"/>
        </w:rPr>
        <w:t>Itālija</w:t>
      </w:r>
      <w:r>
        <w:rPr>
          <w:rFonts w:ascii="Times New Roman" w:hAnsi="Times New Roman"/>
          <w:noProof/>
          <w:color w:val="000000"/>
          <w:lang w:val="lv-LV" w:eastAsia="lv-LV" w:bidi="lv-LV"/>
        </w:rPr>
        <w:t xml:space="preserve">. Komisija 2018. gada martā secināja, ka Itālijā ir </w:t>
      </w:r>
      <w:r>
        <w:rPr>
          <w:rFonts w:ascii="Times New Roman" w:hAnsi="Times New Roman"/>
          <w:i/>
          <w:noProof/>
          <w:color w:val="000000"/>
          <w:lang w:val="lv-LV" w:eastAsia="lv-LV" w:bidi="lv-LV"/>
        </w:rPr>
        <w:t>pārmērīga makroekonomikas nelīdzsvarotība</w:t>
      </w:r>
      <w:r>
        <w:rPr>
          <w:rFonts w:ascii="Times New Roman" w:hAnsi="Times New Roman"/>
          <w:noProof/>
          <w:color w:val="000000"/>
          <w:lang w:val="lv-LV" w:eastAsia="lv-LV" w:bidi="lv-LV"/>
        </w:rPr>
        <w:t>, jo īpaši saistībā ar riskiem, ko rada ļoti liels publiskā sektora parāds un ieilgusi vāja ražīguma dinamika augsta ieņēmumus nenesošu aizdevumu un bezdarba līmeņa apstākļos. Atjauninātajā rādītāju kopsavilkumā divi rādītāji pārsniedz indikatīvo robežvērt</w:t>
      </w:r>
      <w:r>
        <w:rPr>
          <w:rFonts w:ascii="Times New Roman" w:hAnsi="Times New Roman"/>
          <w:noProof/>
          <w:color w:val="000000"/>
          <w:lang w:val="lv-LV" w:eastAsia="lv-LV" w:bidi="lv-LV"/>
        </w:rPr>
        <w:t xml:space="preserve">ību, proti, valdības parāds un bezdarba līmenis. </w:t>
      </w:r>
    </w:p>
    <w:p w:rsidR="003D03E9" w:rsidRDefault="003D03E9">
      <w:pPr>
        <w:autoSpaceDE w:val="0"/>
        <w:autoSpaceDN w:val="0"/>
        <w:adjustRightInd w:val="0"/>
        <w:spacing w:after="0" w:line="240" w:lineRule="auto"/>
        <w:jc w:val="both"/>
        <w:rPr>
          <w:rFonts w:ascii="Times New Roman" w:eastAsia="Times New Roman" w:hAnsi="Times New Roman" w:cs="Times New Roman"/>
          <w:noProof/>
          <w:color w:val="000000"/>
          <w:lang w:val="lv-LV" w:eastAsia="lv-LV" w:bidi="lv-LV"/>
        </w:rPr>
      </w:pPr>
    </w:p>
    <w:p w:rsidR="003D03E9" w:rsidRDefault="00F77AE9">
      <w:pPr>
        <w:autoSpaceDE w:val="0"/>
        <w:autoSpaceDN w:val="0"/>
        <w:adjustRightInd w:val="0"/>
        <w:spacing w:after="0" w:line="240" w:lineRule="auto"/>
        <w:jc w:val="both"/>
        <w:rPr>
          <w:rFonts w:ascii="Times New Roman" w:eastAsia="Times New Roman" w:hAnsi="Times New Roman" w:cs="Times New Roman"/>
          <w:noProof/>
          <w:color w:val="000000"/>
          <w:lang w:val="lv-LV" w:eastAsia="lv-LV" w:bidi="lv-LV"/>
        </w:rPr>
      </w:pPr>
      <w:r>
        <w:rPr>
          <w:rFonts w:ascii="Times New Roman" w:hAnsi="Times New Roman"/>
          <w:noProof/>
          <w:color w:val="000000"/>
          <w:lang w:val="lv-LV" w:eastAsia="lv-LV" w:bidi="lv-LV"/>
        </w:rPr>
        <w:t>Ārējā pozīcija ir samērā spēcīga, ņemot vērā tekošā konta pārpalikumu un neto starptautisko ieguldījumu pozīciju, kas uzlabojas. Valdības parāda attiecība 2017. gadā stabilizējās ļoti augstā līmenī, bet va</w:t>
      </w:r>
      <w:r>
        <w:rPr>
          <w:rFonts w:ascii="Times New Roman" w:hAnsi="Times New Roman"/>
          <w:noProof/>
          <w:color w:val="000000"/>
          <w:lang w:val="lv-LV" w:eastAsia="lv-LV" w:bidi="lv-LV"/>
        </w:rPr>
        <w:t>ldības fiskālie plāni, vājāka, nekā paredzēts, atlabšana un augstākas aizņēmumu izmaksas kavē parāda attiecības pret IKP samazināšanos nākotnē. Tajā pašā laikā vājš ražīguma pieaugums un darbspējas vecuma iedzīvotāju skaita samazināšanās negatīvi ietekmē I</w:t>
      </w:r>
      <w:r>
        <w:rPr>
          <w:rFonts w:ascii="Times New Roman" w:hAnsi="Times New Roman"/>
          <w:noProof/>
          <w:color w:val="000000"/>
          <w:lang w:val="lv-LV" w:eastAsia="lv-LV" w:bidi="lv-LV"/>
        </w:rPr>
        <w:t>tālijas potenciālo izaugsmi. Zems ražīguma pieaugums ir saistīts ar ilgstošām strukturālām nepilnībām, tostarp uzņēmējdarbības vidi, kas ir mazāk labvēlīga nekā citās valstīs, finansējuma ierobežojumiem, augsti kvalificētu cilvēku trūkumu un zemu ieguldīju</w:t>
      </w:r>
      <w:r>
        <w:rPr>
          <w:rFonts w:ascii="Times New Roman" w:hAnsi="Times New Roman"/>
          <w:noProof/>
          <w:color w:val="000000"/>
          <w:lang w:val="lv-LV" w:eastAsia="lv-LV" w:bidi="lv-LV"/>
        </w:rPr>
        <w:t>mu līmeni nemateriālos aktīvos. Banku bilances sakārtošana ir pavirzījusies uz priekšu, un 2017. gadā Itālijas banku nozare atkal kļuva rentabla. Tomēr joprojām pastāv neaizsargātības faktori, jo īpaši vidējām un mazām bankām, kurām joprojām ir lieli pārma</w:t>
      </w:r>
      <w:r>
        <w:rPr>
          <w:rFonts w:ascii="Times New Roman" w:hAnsi="Times New Roman"/>
          <w:noProof/>
          <w:color w:val="000000"/>
          <w:lang w:val="lv-LV" w:eastAsia="lv-LV" w:bidi="lv-LV"/>
        </w:rPr>
        <w:t>ntoti ieņēmumus nenesošu aizdevumu uzkrājumi un kuras ir vairāk pakļautas valsts parāda riskam nekā lielas bankas. Darba tirgus apstākļi pakāpeniski uzlabojas, taču bezdarba līmenis joprojām ir augsts un ievērojami pārsniedz pirmskrīzes līmeni, jo īpaši ja</w:t>
      </w:r>
      <w:r>
        <w:rPr>
          <w:rFonts w:ascii="Times New Roman" w:hAnsi="Times New Roman"/>
          <w:noProof/>
          <w:color w:val="000000"/>
          <w:lang w:val="lv-LV" w:eastAsia="lv-LV" w:bidi="lv-LV"/>
        </w:rPr>
        <w:t>uniešu un ilgstošo bezdarbnieku vidū. Kopējais ekonomiski aktīvā darbaspēka līmenis pieaug, tomēr saglabājas zem eurozonas vidējā rādītāja. Turpinoties ekonomikas atveseļošanās procesam, Itālijas makroekonomikas nelīdzsvarotība vairs nepasliktinās, bet jop</w:t>
      </w:r>
      <w:r>
        <w:rPr>
          <w:rFonts w:ascii="Times New Roman" w:hAnsi="Times New Roman"/>
          <w:noProof/>
          <w:color w:val="000000"/>
          <w:lang w:val="lv-LV" w:eastAsia="lv-LV" w:bidi="lv-LV"/>
        </w:rPr>
        <w:t xml:space="preserve">rojām ir ievērojama un samazinās tikai pakāpeniski. Reālā IKP pieauguma palēnināšanās un atjaunotais saspīlējums valsts obligāciju tirgū varētu mazināt līdz šim panākto progresu. </w:t>
      </w:r>
    </w:p>
    <w:p w:rsidR="003D03E9" w:rsidRDefault="003D03E9">
      <w:pPr>
        <w:autoSpaceDE w:val="0"/>
        <w:autoSpaceDN w:val="0"/>
        <w:adjustRightInd w:val="0"/>
        <w:spacing w:after="0" w:line="240" w:lineRule="auto"/>
        <w:jc w:val="both"/>
        <w:rPr>
          <w:rFonts w:ascii="Times New Roman" w:eastAsia="Times New Roman" w:hAnsi="Times New Roman" w:cs="Times New Roman"/>
          <w:noProof/>
          <w:color w:val="000000"/>
          <w:lang w:val="lv-LV" w:eastAsia="lv-LV" w:bidi="lv-LV"/>
        </w:rPr>
      </w:pPr>
    </w:p>
    <w:p w:rsidR="003D03E9" w:rsidRDefault="00F77AE9">
      <w:pPr>
        <w:spacing w:after="160" w:line="259" w:lineRule="auto"/>
        <w:jc w:val="both"/>
        <w:rPr>
          <w:rFonts w:ascii="Times New Roman" w:eastAsia="Calibri" w:hAnsi="Times New Roman" w:cs="Times New Roman"/>
          <w:i/>
          <w:noProof/>
          <w:lang w:val="lv-LV" w:eastAsia="lv-LV" w:bidi="lv-LV"/>
        </w:rPr>
      </w:pPr>
      <w:r>
        <w:rPr>
          <w:rFonts w:ascii="Times New Roman" w:hAnsi="Times New Roman"/>
          <w:i/>
          <w:noProof/>
          <w:lang w:val="lv-LV" w:eastAsia="lv-LV" w:bidi="lv-LV"/>
        </w:rPr>
        <w:t xml:space="preserve">Kopumā rādītāju ekonomiskā interpretācija izgaismo problēmas, kas attiecas </w:t>
      </w:r>
      <w:r>
        <w:rPr>
          <w:rFonts w:ascii="Times New Roman" w:hAnsi="Times New Roman"/>
          <w:i/>
          <w:noProof/>
          <w:lang w:val="lv-LV" w:eastAsia="lv-LV" w:bidi="lv-LV"/>
        </w:rPr>
        <w:t>uz publiskā sektora parāda augsto līmeni lielākas tirgus nestabilitātes un augsta bezdarba līmeņa apstākļos. Ražīguma dinamika joprojām ir vāja, ņemot vērā atkal radušās bažas par banku un valdību mijiedarbības loku. Tāpēc Komisija, ņemot vērā arī 2018. ga</w:t>
      </w:r>
      <w:r>
        <w:rPr>
          <w:rFonts w:ascii="Times New Roman" w:hAnsi="Times New Roman"/>
          <w:i/>
          <w:noProof/>
          <w:lang w:val="lv-LV" w:eastAsia="lv-LV" w:bidi="lv-LV"/>
        </w:rPr>
        <w:t>da martā konstatēto pārmērīgo nelīdzsvarotību, uzskata par lietderīgu turpināt analizēt makroekonomikas risku saglabāšanos un pārraudzīt progresu pārmērīgās nelīdzsvarotības novēršanā.</w:t>
      </w:r>
    </w:p>
    <w:p w:rsidR="003D03E9" w:rsidRDefault="003D03E9">
      <w:pPr>
        <w:spacing w:after="160" w:line="259" w:lineRule="auto"/>
        <w:jc w:val="both"/>
        <w:rPr>
          <w:rFonts w:ascii="Times New Roman" w:eastAsia="Calibri" w:hAnsi="Times New Roman" w:cs="Times New Roman"/>
          <w:i/>
          <w:noProof/>
          <w:lang w:val="lv-LV" w:eastAsia="lv-LV" w:bidi="lv-LV"/>
        </w:rPr>
      </w:pPr>
    </w:p>
    <w:p w:rsidR="003D03E9" w:rsidRDefault="00F77AE9">
      <w:pPr>
        <w:spacing w:after="160" w:line="259" w:lineRule="auto"/>
        <w:jc w:val="both"/>
        <w:rPr>
          <w:rFonts w:ascii="Times New Roman" w:eastAsia="Calibri" w:hAnsi="Times New Roman" w:cs="Times New Roman"/>
          <w:noProof/>
          <w:lang w:val="lv-LV" w:eastAsia="lv-LV" w:bidi="lv-LV"/>
        </w:rPr>
      </w:pPr>
      <w:r>
        <w:rPr>
          <w:rFonts w:ascii="Times New Roman" w:hAnsi="Times New Roman"/>
          <w:b/>
          <w:noProof/>
          <w:lang w:val="lv-LV" w:eastAsia="lv-LV" w:bidi="lv-LV"/>
        </w:rPr>
        <w:t>Kipra.</w:t>
      </w:r>
      <w:r>
        <w:rPr>
          <w:rFonts w:ascii="Times New Roman" w:hAnsi="Times New Roman"/>
          <w:noProof/>
          <w:lang w:val="lv-LV" w:eastAsia="lv-LV" w:bidi="lv-LV"/>
        </w:rPr>
        <w:t xml:space="preserve"> Komisija 2018. gada martā secināja, ka Kiprā ir </w:t>
      </w:r>
      <w:r>
        <w:rPr>
          <w:rFonts w:ascii="Times New Roman" w:hAnsi="Times New Roman"/>
          <w:i/>
          <w:noProof/>
          <w:lang w:val="lv-LV" w:eastAsia="lv-LV" w:bidi="lv-LV"/>
        </w:rPr>
        <w:t>pārmērīga makro</w:t>
      </w:r>
      <w:r>
        <w:rPr>
          <w:rFonts w:ascii="Times New Roman" w:hAnsi="Times New Roman"/>
          <w:i/>
          <w:noProof/>
          <w:lang w:val="lv-LV" w:eastAsia="lv-LV" w:bidi="lv-LV"/>
        </w:rPr>
        <w:t>ekonomikas nelīdzsvarotība</w:t>
      </w:r>
      <w:r>
        <w:rPr>
          <w:rFonts w:ascii="Times New Roman" w:hAnsi="Times New Roman"/>
          <w:noProof/>
          <w:lang w:val="lv-LV" w:eastAsia="lv-LV" w:bidi="lv-LV"/>
        </w:rPr>
        <w:t>, kas jo īpaši ietver privātā sektora, publiskā sektora un ārējā parāda lielus krājumus un ieņēmumus nenesošu aizdevumu augsto īpatsvaru banku sistēmā. Atjauninātajā rādītāju kopsavilkumā vairāki rādītāji 2017. gadā joprojām pārsn</w:t>
      </w:r>
      <w:r>
        <w:rPr>
          <w:rFonts w:ascii="Times New Roman" w:hAnsi="Times New Roman"/>
          <w:noProof/>
          <w:lang w:val="lv-LV" w:eastAsia="lv-LV" w:bidi="lv-LV"/>
        </w:rPr>
        <w:t xml:space="preserve">iedz indikatīvo robežvērtību, proti, tekošais konts, neto starptautisko ieguldījumu pozīcija, reālais efektīvais valūtas kurss, privātā sektora parāds, valdības parāds, bezdarba līmenis un ekonomiski aktīvā darbaspēka līmeņa izmaiņas. </w:t>
      </w:r>
    </w:p>
    <w:p w:rsidR="003D03E9" w:rsidRDefault="00F77AE9">
      <w:pPr>
        <w:spacing w:after="160" w:line="259" w:lineRule="auto"/>
        <w:jc w:val="both"/>
        <w:rPr>
          <w:rFonts w:ascii="Times New Roman" w:eastAsia="Calibri" w:hAnsi="Times New Roman" w:cs="Times New Roman"/>
          <w:noProof/>
          <w:lang w:val="lv-LV" w:eastAsia="lv-LV" w:bidi="lv-LV"/>
        </w:rPr>
      </w:pPr>
      <w:r>
        <w:rPr>
          <w:noProof/>
          <w:lang w:eastAsia="en-GB"/>
        </w:rPr>
        <w:drawing>
          <wp:anchor distT="0" distB="0" distL="114300" distR="114300" simplePos="0" relativeHeight="251642368" behindDoc="0" locked="0" layoutInCell="1" allowOverlap="1">
            <wp:simplePos x="0" y="0"/>
            <wp:positionH relativeFrom="column">
              <wp:posOffset>2939415</wp:posOffset>
            </wp:positionH>
            <wp:positionV relativeFrom="paragraph">
              <wp:posOffset>33020</wp:posOffset>
            </wp:positionV>
            <wp:extent cx="2801620" cy="3057525"/>
            <wp:effectExtent l="0" t="0" r="0" b="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01620" cy="3057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lang w:val="lv-LV" w:eastAsia="lv-LV" w:bidi="lv-LV"/>
        </w:rPr>
        <w:t>Tekošā konta deficī</w:t>
      </w:r>
      <w:r>
        <w:rPr>
          <w:rFonts w:ascii="Times New Roman" w:hAnsi="Times New Roman"/>
          <w:noProof/>
          <w:lang w:val="lv-LV" w:eastAsia="lv-LV" w:bidi="lv-LV"/>
        </w:rPr>
        <w:t>ts 2017. gadā palielinājās, ņemot vērā spēcīgo importa pieaugumu, un negatīvā neto starptautisko ieguldījumu pozīcija joprojām ir ievērojama. Izmaksu konkurētspējas korekcija tika samazināta, jo vienības darbaspēka izmaksas nedaudz pieauga un reālais efekt</w:t>
      </w:r>
      <w:r>
        <w:rPr>
          <w:rFonts w:ascii="Times New Roman" w:hAnsi="Times New Roman"/>
          <w:noProof/>
          <w:lang w:val="lv-LV" w:eastAsia="lv-LV" w:bidi="lv-LV"/>
        </w:rPr>
        <w:t>īvais valūtas kurss nostabilizējās. Privātā sektora parādsaistību līmenis ir viens no augstākajiem ES gan mājsaimniecībām, gan uzņēmumiem, bet aizņemto līdzekļu īpatsvara samazināšanās process ir lēns. Jo īpaši mājsaimniecību ietaupījumi ir negatīvi. Mājok</w:t>
      </w:r>
      <w:r>
        <w:rPr>
          <w:rFonts w:ascii="Times New Roman" w:hAnsi="Times New Roman"/>
          <w:noProof/>
          <w:lang w:val="lv-LV" w:eastAsia="lv-LV" w:bidi="lv-LV"/>
        </w:rPr>
        <w:t>ļu reālo cenu lejupvērstā korekcija ir pārvarējusi zemāko punktu, un mājokļu cenas sāka nedaudz palielināties. Ļoti augstais ieņēmumus nenesošu aizdevumu līmenis kavē kredītplūsmu ekonomikā, kas ir nepieciešama, lai atbalstītu potenciālo izaugsmi vidējā te</w:t>
      </w:r>
      <w:r>
        <w:rPr>
          <w:rFonts w:ascii="Times New Roman" w:hAnsi="Times New Roman"/>
          <w:noProof/>
          <w:lang w:val="lv-LV" w:eastAsia="lv-LV" w:bidi="lv-LV"/>
        </w:rPr>
        <w:t>rmiņā. Valdības parāda attiecība pret IKP joprojām ir ļoti augsta. Bezdarba līmenis strauji samazinās, taču joprojām ir augsts, jo īpaši jauniešu vidū, lai gan pēdējos trīs gados situācija saistībā ar ilgstošo un jauniešu bezdarbu ir uzlabojusies.</w:t>
      </w:r>
    </w:p>
    <w:p w:rsidR="003D03E9" w:rsidRDefault="00F77AE9">
      <w:pPr>
        <w:spacing w:after="160" w:line="259" w:lineRule="auto"/>
        <w:jc w:val="both"/>
        <w:rPr>
          <w:rFonts w:ascii="Times New Roman" w:eastAsia="Calibri" w:hAnsi="Times New Roman" w:cs="Times New Roman"/>
          <w:i/>
          <w:noProof/>
          <w:lang w:val="lv-LV" w:eastAsia="lv-LV" w:bidi="lv-LV"/>
        </w:rPr>
      </w:pPr>
      <w:r>
        <w:rPr>
          <w:rFonts w:ascii="Times New Roman" w:hAnsi="Times New Roman"/>
          <w:i/>
          <w:noProof/>
          <w:lang w:val="lv-LV" w:eastAsia="lv-LV" w:bidi="lv-LV"/>
        </w:rPr>
        <w:t>Kopumā r</w:t>
      </w:r>
      <w:r>
        <w:rPr>
          <w:rFonts w:ascii="Times New Roman" w:hAnsi="Times New Roman"/>
          <w:i/>
          <w:noProof/>
          <w:lang w:val="lv-LV" w:eastAsia="lv-LV" w:bidi="lv-LV"/>
        </w:rPr>
        <w:t>ādītāju ekonomiskā interpretācija izgaismo problēmas, kas attiecas uz ārējās pozīcijas ilgtspēju, privātā un publiskā sektora parādu, neaizsargātību finanšu sektorā un darba tirgus korekciju. Tāpēc Komisija, ņemot vērā arī 2018. gada martā konstatēto pārmē</w:t>
      </w:r>
      <w:r>
        <w:rPr>
          <w:rFonts w:ascii="Times New Roman" w:hAnsi="Times New Roman"/>
          <w:i/>
          <w:noProof/>
          <w:lang w:val="lv-LV" w:eastAsia="lv-LV" w:bidi="lv-LV"/>
        </w:rPr>
        <w:t>rīgo nelīdzsvarotību, uzskata par lietderīgu turpināt analizēt makroekonomikas risku saglabāšanos un pārraudzīt progresu pārmērīgās nelīdzsvarotības novēršanā.</w:t>
      </w:r>
    </w:p>
    <w:p w:rsidR="003D03E9" w:rsidRDefault="003D03E9">
      <w:pPr>
        <w:spacing w:after="160" w:line="259" w:lineRule="auto"/>
        <w:jc w:val="both"/>
        <w:rPr>
          <w:rFonts w:ascii="Times New Roman" w:eastAsia="Calibri" w:hAnsi="Times New Roman" w:cs="Times New Roman"/>
          <w:i/>
          <w:noProof/>
          <w:lang w:val="lv-LV" w:eastAsia="lv-LV" w:bidi="lv-LV"/>
        </w:rPr>
      </w:pPr>
    </w:p>
    <w:p w:rsidR="003D03E9" w:rsidRDefault="00F77AE9">
      <w:pPr>
        <w:rPr>
          <w:rFonts w:ascii="Times New Roman" w:eastAsia="Calibri" w:hAnsi="Times New Roman" w:cs="Times New Roman"/>
          <w:b/>
          <w:bCs/>
          <w:noProof/>
          <w:lang w:val="lv-LV" w:eastAsia="lv-LV" w:bidi="lv-LV"/>
        </w:rPr>
      </w:pPr>
      <w:r>
        <w:rPr>
          <w:rFonts w:ascii="Times New Roman" w:hAnsi="Times New Roman"/>
          <w:b/>
          <w:noProof/>
          <w:lang w:val="lv-LV" w:eastAsia="lv-LV" w:bidi="lv-LV"/>
        </w:rPr>
        <w:t xml:space="preserve">Latvija. </w:t>
      </w:r>
      <w:r>
        <w:rPr>
          <w:rFonts w:ascii="Times New Roman" w:hAnsi="Times New Roman"/>
          <w:noProof/>
          <w:lang w:val="lv-LV" w:eastAsia="lv-LV" w:bidi="lv-LV"/>
        </w:rPr>
        <w:t xml:space="preserve">Iepriekšējā MNNP kārtā Latvijā </w:t>
      </w:r>
      <w:r>
        <w:rPr>
          <w:rFonts w:ascii="Times New Roman" w:hAnsi="Times New Roman"/>
          <w:i/>
          <w:noProof/>
          <w:lang w:val="lv-LV" w:eastAsia="lv-LV" w:bidi="lv-LV"/>
        </w:rPr>
        <w:t>netika konstatēta makroekonomikas nelīdzsvarotība</w:t>
      </w:r>
      <w:r>
        <w:rPr>
          <w:rFonts w:ascii="Times New Roman" w:hAnsi="Times New Roman"/>
          <w:noProof/>
          <w:lang w:val="lv-LV" w:eastAsia="lv-LV" w:bidi="lv-LV"/>
        </w:rPr>
        <w:t xml:space="preserve">. Atjauninātajā rādītāju kopsavilkumā vairāki rādītāji pārsniedz indikatīvo robežvērtību, proti, neto starptautisko ieguldījumu pozīcija un vienības darbaspēka izmaksu pieaugums. </w:t>
      </w:r>
    </w:p>
    <w:p w:rsidR="003D03E9" w:rsidRDefault="00F77AE9">
      <w:pPr>
        <w:autoSpaceDE w:val="0"/>
        <w:autoSpaceDN w:val="0"/>
        <w:adjustRightInd w:val="0"/>
        <w:spacing w:after="0" w:line="240" w:lineRule="auto"/>
        <w:jc w:val="both"/>
        <w:rPr>
          <w:rFonts w:ascii="Times New Roman" w:eastAsia="Calibri" w:hAnsi="Times New Roman" w:cs="Times New Roman"/>
          <w:noProof/>
          <w:lang w:val="lv-LV" w:eastAsia="lv-LV" w:bidi="lv-LV"/>
        </w:rPr>
      </w:pPr>
      <w:r>
        <w:rPr>
          <w:noProof/>
          <w:lang w:eastAsia="en-GB"/>
        </w:rPr>
        <w:drawing>
          <wp:anchor distT="0" distB="0" distL="114300" distR="114300" simplePos="0" relativeHeight="251643392" behindDoc="0" locked="0" layoutInCell="1" allowOverlap="1">
            <wp:simplePos x="0" y="0"/>
            <wp:positionH relativeFrom="column">
              <wp:posOffset>3166745</wp:posOffset>
            </wp:positionH>
            <wp:positionV relativeFrom="paragraph">
              <wp:posOffset>43815</wp:posOffset>
            </wp:positionV>
            <wp:extent cx="2640965" cy="3116580"/>
            <wp:effectExtent l="0" t="0" r="0" b="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40965" cy="31165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lang w:val="lv-LV" w:eastAsia="lv-LV" w:bidi="lv-LV"/>
        </w:rPr>
        <w:t>Tekošais konts kopumā ir līdzsvarā, un negatīvā neto starptautisko ieguldīj</w:t>
      </w:r>
      <w:r>
        <w:rPr>
          <w:rFonts w:ascii="Times New Roman" w:hAnsi="Times New Roman"/>
          <w:noProof/>
          <w:lang w:val="lv-LV" w:eastAsia="lv-LV" w:bidi="lv-LV"/>
        </w:rPr>
        <w:t>umu pozīcija, ko lielākoties veido ārvalstu tiešie ieguldījumi, ir uzlabojusies, ņemot vērā lielo nominālā IKP pieaugumu, lai gan tā joprojām pārsniedz robežvērtību. Vienības darbaspēka izmaksas salīdzinoši strauji pieaug jau vairākus gadus un atspoguļo sp</w:t>
      </w:r>
      <w:r>
        <w:rPr>
          <w:rFonts w:ascii="Times New Roman" w:hAnsi="Times New Roman"/>
          <w:noProof/>
          <w:lang w:val="lv-LV" w:eastAsia="lv-LV" w:bidi="lv-LV"/>
        </w:rPr>
        <w:t xml:space="preserve">ēcīgo darba samaksas pieaugumu un lielo pieprasījumu darba tirgū, un šis rādītājs kopš 2014. gada ir saglabājies virs rezultātu kopsavilkumā noteiktās robežvērtības. Ietekme uz ārējo cenu konkurētspēju un eksporta rādītājiem līdz šim ir bijusi ierobežota, </w:t>
      </w:r>
      <w:r>
        <w:rPr>
          <w:rFonts w:ascii="Times New Roman" w:hAnsi="Times New Roman"/>
          <w:noProof/>
          <w:lang w:val="lv-LV" w:eastAsia="lv-LV" w:bidi="lv-LV"/>
        </w:rPr>
        <w:t>ko daļēji mazinājušas samazinātās peļņas normas. Paredzams, ka darba samaksas pieaugums arī turpmāk būs spēcīgs, jo pieprasījums darba tirgū vēl vairāk pieaugs. Kopumā šīs norises rada risku valsts konkurētspējai un izaugsmes izredzēm vidējā termiņā. Mājok</w:t>
      </w:r>
      <w:r>
        <w:rPr>
          <w:rFonts w:ascii="Times New Roman" w:hAnsi="Times New Roman"/>
          <w:noProof/>
          <w:lang w:val="lv-LV" w:eastAsia="lv-LV" w:bidi="lv-LV"/>
        </w:rPr>
        <w:t>ļu reālo cenu pieaugums joprojām ir dinamisks. Lai gan 2017. gadā mājokļu cenu pieaugums samazinājās salīdzinājumā ar 2016. gadu, 2018. gada pirmajā pusē tas atkal paātrinājās. Kopumā kredītu pieaugums ir bijis pieticīgs. Valdības un privātā sektora parāds</w:t>
      </w:r>
      <w:r>
        <w:rPr>
          <w:rFonts w:ascii="Times New Roman" w:hAnsi="Times New Roman"/>
          <w:noProof/>
          <w:lang w:val="lv-LV" w:eastAsia="lv-LV" w:bidi="lv-LV"/>
        </w:rPr>
        <w:t xml:space="preserve"> ir samērā neliels. </w:t>
      </w:r>
    </w:p>
    <w:p w:rsidR="003D03E9" w:rsidRDefault="003D03E9">
      <w:pPr>
        <w:autoSpaceDE w:val="0"/>
        <w:autoSpaceDN w:val="0"/>
        <w:adjustRightInd w:val="0"/>
        <w:spacing w:after="0" w:line="240" w:lineRule="auto"/>
        <w:jc w:val="both"/>
        <w:rPr>
          <w:rFonts w:ascii="Times New Roman" w:eastAsia="Calibri" w:hAnsi="Times New Roman" w:cs="Times New Roman"/>
          <w:noProof/>
          <w:lang w:val="lv-LV" w:eastAsia="lv-LV" w:bidi="lv-LV"/>
        </w:rPr>
      </w:pPr>
    </w:p>
    <w:p w:rsidR="003D03E9" w:rsidRDefault="00F77AE9">
      <w:pPr>
        <w:autoSpaceDE w:val="0"/>
        <w:autoSpaceDN w:val="0"/>
        <w:adjustRightInd w:val="0"/>
        <w:spacing w:after="0" w:line="240" w:lineRule="auto"/>
        <w:jc w:val="both"/>
        <w:rPr>
          <w:rFonts w:ascii="Times New Roman" w:eastAsia="Calibri" w:hAnsi="Times New Roman" w:cs="Times New Roman"/>
          <w:i/>
          <w:noProof/>
          <w:lang w:val="lv-LV" w:eastAsia="lv-LV" w:bidi="lv-LV"/>
        </w:rPr>
      </w:pPr>
      <w:r>
        <w:rPr>
          <w:rFonts w:ascii="Times New Roman" w:hAnsi="Times New Roman"/>
          <w:i/>
          <w:noProof/>
          <w:lang w:val="lv-LV" w:eastAsia="lv-LV" w:bidi="lv-LV"/>
        </w:rPr>
        <w:t>Kopumā rādītāju ekonomiskā interpretācija izgaismo problēmas, kas attiecas uz darba tirgus dinamiku un ārējo konkurētspēju, lai gan šajā posmā riski, šķiet, ir ierobežoti. Tāpēc Komisija šajā posmā neuzskata par vajadzīgu veikt papild</w:t>
      </w:r>
      <w:r>
        <w:rPr>
          <w:rFonts w:ascii="Times New Roman" w:hAnsi="Times New Roman"/>
          <w:i/>
          <w:noProof/>
          <w:lang w:val="lv-LV" w:eastAsia="lv-LV" w:bidi="lv-LV"/>
        </w:rPr>
        <w:t xml:space="preserve">u padziļinātu analīzi saistībā ar MNNP. </w:t>
      </w:r>
    </w:p>
    <w:p w:rsidR="003D03E9" w:rsidRDefault="003D03E9">
      <w:pPr>
        <w:spacing w:after="160" w:line="259" w:lineRule="auto"/>
        <w:rPr>
          <w:rFonts w:ascii="Times New Roman" w:eastAsia="Calibri" w:hAnsi="Times New Roman" w:cs="Times New Roman"/>
          <w:noProof/>
          <w:lang w:val="lv-LV" w:eastAsia="lv-LV" w:bidi="lv-LV"/>
        </w:rPr>
      </w:pPr>
    </w:p>
    <w:p w:rsidR="003D03E9" w:rsidRDefault="00F77AE9">
      <w:pPr>
        <w:spacing w:after="160" w:line="259" w:lineRule="auto"/>
        <w:jc w:val="both"/>
        <w:rPr>
          <w:rFonts w:ascii="Times New Roman" w:eastAsia="Calibri" w:hAnsi="Times New Roman" w:cs="Times New Roman"/>
          <w:noProof/>
          <w:lang w:val="lv-LV" w:eastAsia="lv-LV" w:bidi="lv-LV"/>
        </w:rPr>
      </w:pPr>
      <w:r>
        <w:rPr>
          <w:noProof/>
          <w:lang w:eastAsia="en-GB"/>
        </w:rPr>
        <w:drawing>
          <wp:anchor distT="0" distB="0" distL="114300" distR="114300" simplePos="0" relativeHeight="251644416" behindDoc="0" locked="0" layoutInCell="1" allowOverlap="1">
            <wp:simplePos x="0" y="0"/>
            <wp:positionH relativeFrom="column">
              <wp:posOffset>3217545</wp:posOffset>
            </wp:positionH>
            <wp:positionV relativeFrom="paragraph">
              <wp:posOffset>40005</wp:posOffset>
            </wp:positionV>
            <wp:extent cx="2545715" cy="2933700"/>
            <wp:effectExtent l="0" t="0" r="0" b="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45715" cy="2933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lang w:val="lv-LV" w:eastAsia="lv-LV" w:bidi="lv-LV"/>
        </w:rPr>
        <w:t>Lietuva.</w:t>
      </w:r>
      <w:r>
        <w:rPr>
          <w:rFonts w:ascii="Times New Roman" w:hAnsi="Times New Roman"/>
          <w:noProof/>
          <w:lang w:val="lv-LV" w:eastAsia="lv-LV" w:bidi="lv-LV"/>
        </w:rPr>
        <w:t xml:space="preserve"> Iepriekšējās MNNP kārtās Lietuvā </w:t>
      </w:r>
      <w:r>
        <w:rPr>
          <w:rFonts w:ascii="Times New Roman" w:hAnsi="Times New Roman"/>
          <w:i/>
          <w:noProof/>
          <w:lang w:val="lv-LV" w:eastAsia="lv-LV" w:bidi="lv-LV"/>
        </w:rPr>
        <w:t>netika konstatēta makroekonomikas nelīdzsvarotība</w:t>
      </w:r>
      <w:r>
        <w:rPr>
          <w:rFonts w:ascii="Times New Roman" w:hAnsi="Times New Roman"/>
          <w:noProof/>
          <w:lang w:val="lv-LV" w:eastAsia="lv-LV" w:bidi="lv-LV"/>
        </w:rPr>
        <w:t xml:space="preserve">. Atjauninātajā rādītāju kopsavilkumā vairāki rādītāji pārsniedz indikatīvo robežvērtību, proti, neto starptautisko </w:t>
      </w:r>
      <w:r>
        <w:rPr>
          <w:rFonts w:ascii="Times New Roman" w:hAnsi="Times New Roman"/>
          <w:noProof/>
          <w:lang w:val="lv-LV" w:eastAsia="lv-LV" w:bidi="lv-LV"/>
        </w:rPr>
        <w:t>ieguldījumu pozīcija un nominālās vienības darbaspēka izmaksas.</w:t>
      </w:r>
      <w:r>
        <w:rPr>
          <w:rFonts w:ascii="Times New Roman" w:hAnsi="Times New Roman"/>
          <w:i/>
          <w:noProof/>
          <w:lang w:val="lv-LV" w:eastAsia="lv-LV" w:bidi="lv-LV"/>
        </w:rPr>
        <w:t xml:space="preserve"> </w:t>
      </w:r>
    </w:p>
    <w:p w:rsidR="003D03E9" w:rsidRDefault="00F77AE9">
      <w:pPr>
        <w:spacing w:after="160" w:line="259" w:lineRule="auto"/>
        <w:jc w:val="both"/>
        <w:rPr>
          <w:rFonts w:ascii="Times New Roman" w:eastAsia="Calibri" w:hAnsi="Times New Roman" w:cs="Times New Roman"/>
          <w:noProof/>
          <w:lang w:val="lv-LV" w:eastAsia="lv-LV" w:bidi="lv-LV"/>
        </w:rPr>
      </w:pPr>
      <w:r>
        <w:rPr>
          <w:rFonts w:ascii="Times New Roman" w:hAnsi="Times New Roman"/>
          <w:noProof/>
          <w:lang w:val="lv-LV" w:eastAsia="lv-LV" w:bidi="lv-LV"/>
        </w:rPr>
        <w:t>Tekošais konts kopumā ir līdzsvarā un, ņemot vērā spēcīgo nominālā IKP pieaugumu, negatīvā neto starptautisko ieguldījumu pozīcija, ko lielākoties veido ārvalstu tiešie ieguldījumi, ir uzlabo</w:t>
      </w:r>
      <w:r>
        <w:rPr>
          <w:rFonts w:ascii="Times New Roman" w:hAnsi="Times New Roman"/>
          <w:noProof/>
          <w:lang w:val="lv-LV" w:eastAsia="lv-LV" w:bidi="lv-LV"/>
        </w:rPr>
        <w:t>jusies, lai gan tā joprojām nedaudz pārsniedz robežvērtību. Vienības darbaspēka izmaksu pieaugums jau gadiem ilgi ir bijis samērā augsts, un rādītājs kopš 2015. gada pārsniedz rādītāju kopsavilkumā noteikto robežvērtību; to veicinājis augsts darba samaksas</w:t>
      </w:r>
      <w:r>
        <w:rPr>
          <w:rFonts w:ascii="Times New Roman" w:hAnsi="Times New Roman"/>
          <w:noProof/>
          <w:lang w:val="lv-LV" w:eastAsia="lv-LV" w:bidi="lv-LV"/>
        </w:rPr>
        <w:t xml:space="preserve"> pieaugums, kas atspoguļo lielo pieprasījumu darba tirgū un, cita starpā, kopš 2016. gada strauji pieaugusī minimālā darba alga. Darbaspēka izmaksu pieauguma ietekme uz ārējo izmaksu konkurētspēju un eksporta rādītājiem līdz šim ir bijusi ierobežota, un to</w:t>
      </w:r>
      <w:r>
        <w:rPr>
          <w:rFonts w:ascii="Times New Roman" w:hAnsi="Times New Roman"/>
          <w:noProof/>
          <w:lang w:val="lv-LV" w:eastAsia="lv-LV" w:bidi="lv-LV"/>
        </w:rPr>
        <w:t xml:space="preserve"> daļēji mazinājušas samazinātās peļņas normas, kas pašas par sevi var nebūt ilgtspējīgas ilgtermiņā. Paredzams, ka darba samaksas pieaugums joprojām būs spēcīgs saistībā ar bezdarba samazināšanos un aizvien lielāku pieprasījumu darba tirgū. Kopumā šīs nori</w:t>
      </w:r>
      <w:r>
        <w:rPr>
          <w:rFonts w:ascii="Times New Roman" w:hAnsi="Times New Roman"/>
          <w:noProof/>
          <w:lang w:val="lv-LV" w:eastAsia="lv-LV" w:bidi="lv-LV"/>
        </w:rPr>
        <w:t>ses var ietekmēt valsts konkurētspēju un izaugsmes izredzes vidējā termiņā. Mājokļu cenu pieaugums pēdējos gados ir bijis dinamisks un pakāpeniski palielinājies, lai gan tas joprojām nepārsniedz robežvērtību. Kredītu pieaugums ir palielinājies. Publiskā un</w:t>
      </w:r>
      <w:r>
        <w:rPr>
          <w:rFonts w:ascii="Times New Roman" w:hAnsi="Times New Roman"/>
          <w:noProof/>
          <w:lang w:val="lv-LV" w:eastAsia="lv-LV" w:bidi="lv-LV"/>
        </w:rPr>
        <w:t xml:space="preserve"> privātā sektora parāda līmenis joprojām ir samērā zems un stabils.</w:t>
      </w:r>
    </w:p>
    <w:p w:rsidR="003D03E9" w:rsidRDefault="00F77AE9">
      <w:pPr>
        <w:autoSpaceDE w:val="0"/>
        <w:autoSpaceDN w:val="0"/>
        <w:adjustRightInd w:val="0"/>
        <w:spacing w:after="0" w:line="240" w:lineRule="auto"/>
        <w:jc w:val="both"/>
        <w:rPr>
          <w:rFonts w:ascii="Times New Roman" w:eastAsia="Calibri" w:hAnsi="Times New Roman" w:cs="Times New Roman"/>
          <w:i/>
          <w:noProof/>
          <w:lang w:val="lv-LV" w:eastAsia="lv-LV" w:bidi="lv-LV"/>
        </w:rPr>
      </w:pPr>
      <w:r>
        <w:rPr>
          <w:rFonts w:ascii="Times New Roman" w:hAnsi="Times New Roman"/>
          <w:i/>
          <w:noProof/>
          <w:lang w:val="lv-LV" w:eastAsia="lv-LV" w:bidi="lv-LV"/>
        </w:rPr>
        <w:t>Kopumā rādītāju ekonomiskā interpretācija izgaismo problēmas, kas attiecas uz vienības darbaspēka izmaksu dinamiku un ārējo konkurētspēju, lai gan šajā posmā riski, šķiet, ir ierobežoti. T</w:t>
      </w:r>
      <w:r>
        <w:rPr>
          <w:rFonts w:ascii="Times New Roman" w:hAnsi="Times New Roman"/>
          <w:i/>
          <w:noProof/>
          <w:lang w:val="lv-LV" w:eastAsia="lv-LV" w:bidi="lv-LV"/>
        </w:rPr>
        <w:t>āpēc Komisija šajā posmā neuzskata par vajadzīgu veikt papildu padziļinātu analīzi saistībā ar MNNP.</w:t>
      </w:r>
    </w:p>
    <w:p w:rsidR="003D03E9" w:rsidRDefault="003D03E9">
      <w:pPr>
        <w:spacing w:after="160" w:line="259" w:lineRule="auto"/>
        <w:jc w:val="both"/>
        <w:rPr>
          <w:rFonts w:ascii="Times New Roman" w:eastAsia="Calibri" w:hAnsi="Times New Roman" w:cs="Times New Roman"/>
          <w:i/>
          <w:noProof/>
          <w:lang w:val="lv-LV" w:eastAsia="lv-LV" w:bidi="lv-LV"/>
        </w:rPr>
      </w:pPr>
    </w:p>
    <w:p w:rsidR="003D03E9" w:rsidRDefault="00F77AE9">
      <w:pPr>
        <w:spacing w:after="160" w:line="259" w:lineRule="auto"/>
        <w:jc w:val="both"/>
        <w:rPr>
          <w:rFonts w:ascii="Times New Roman" w:eastAsia="Calibri" w:hAnsi="Times New Roman" w:cs="Times New Roman"/>
          <w:noProof/>
          <w:lang w:val="lv-LV" w:eastAsia="lv-LV" w:bidi="lv-LV"/>
        </w:rPr>
      </w:pPr>
      <w:r>
        <w:rPr>
          <w:noProof/>
          <w:lang w:eastAsia="en-GB"/>
        </w:rPr>
        <w:drawing>
          <wp:anchor distT="0" distB="0" distL="114300" distR="114300" simplePos="0" relativeHeight="251645440" behindDoc="0" locked="0" layoutInCell="1" allowOverlap="1">
            <wp:simplePos x="0" y="0"/>
            <wp:positionH relativeFrom="column">
              <wp:posOffset>2661920</wp:posOffset>
            </wp:positionH>
            <wp:positionV relativeFrom="paragraph">
              <wp:posOffset>35560</wp:posOffset>
            </wp:positionV>
            <wp:extent cx="3094355" cy="2867660"/>
            <wp:effectExtent l="0" t="0" r="0" b="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94355" cy="28676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lang w:val="lv-LV" w:eastAsia="lv-LV" w:bidi="lv-LV"/>
        </w:rPr>
        <w:t>Luksemburga.</w:t>
      </w:r>
      <w:r>
        <w:rPr>
          <w:rFonts w:ascii="Times New Roman" w:hAnsi="Times New Roman"/>
          <w:noProof/>
          <w:lang w:val="lv-LV" w:eastAsia="lv-LV" w:bidi="lv-LV"/>
        </w:rPr>
        <w:t xml:space="preserve"> Iepriekšējā MNNP kārtā Luksemburgā </w:t>
      </w:r>
      <w:r>
        <w:rPr>
          <w:rFonts w:ascii="Times New Roman" w:hAnsi="Times New Roman"/>
          <w:i/>
          <w:noProof/>
          <w:lang w:val="lv-LV" w:eastAsia="lv-LV" w:bidi="lv-LV"/>
        </w:rPr>
        <w:t>netika konstatēta makroekonomikas nelīdzsvarotība</w:t>
      </w:r>
      <w:r>
        <w:rPr>
          <w:rFonts w:ascii="Times New Roman" w:hAnsi="Times New Roman"/>
          <w:noProof/>
          <w:lang w:val="lv-LV" w:eastAsia="lv-LV" w:bidi="lv-LV"/>
        </w:rPr>
        <w:t>. Atjauninātajā rādītāju kopsavilkumā vairāki rādītāji p</w:t>
      </w:r>
      <w:r>
        <w:rPr>
          <w:rFonts w:ascii="Times New Roman" w:hAnsi="Times New Roman"/>
          <w:noProof/>
          <w:lang w:val="lv-LV" w:eastAsia="lv-LV" w:bidi="lv-LV"/>
        </w:rPr>
        <w:t xml:space="preserve">ārsniedz indikatīvo robežvērtību, proti, privātā sektora parādsaistības, kā arī ekonomiski aktīva darbaspēka līmeņa un ilgstošā bezdarba līmeņa izmaiņas. </w:t>
      </w:r>
    </w:p>
    <w:p w:rsidR="003D03E9" w:rsidRDefault="00F77AE9">
      <w:pPr>
        <w:spacing w:after="160" w:line="259" w:lineRule="auto"/>
        <w:jc w:val="both"/>
        <w:rPr>
          <w:rFonts w:ascii="Times New Roman" w:eastAsia="Calibri" w:hAnsi="Times New Roman" w:cs="Times New Roman"/>
          <w:noProof/>
          <w:lang w:val="lv-LV" w:eastAsia="lv-LV" w:bidi="lv-LV"/>
        </w:rPr>
      </w:pPr>
      <w:r>
        <w:rPr>
          <w:rFonts w:ascii="Times New Roman" w:hAnsi="Times New Roman"/>
          <w:noProof/>
          <w:lang w:val="lv-LV" w:eastAsia="lv-LV" w:bidi="lv-LV"/>
        </w:rPr>
        <w:t>Ārējā pozīcija joprojām uzrāda stabilu tekošā konta pārpalikumu un pozitīvu un nemainīgu neto starpta</w:t>
      </w:r>
      <w:r>
        <w:rPr>
          <w:rFonts w:ascii="Times New Roman" w:hAnsi="Times New Roman"/>
          <w:noProof/>
          <w:lang w:val="lv-LV" w:eastAsia="lv-LV" w:bidi="lv-LV"/>
        </w:rPr>
        <w:t>utisko ieguldījumu pozīciju. Tomēr valsts kā starptautiska finanšu centra pozīcijai ir būtiskāka ietekme uz rādītājiem nekā iekšzemes ekonomikai. Kopējais eksporta tirgus daļu palielinājums ir stabilizējies. Tomēr nesen tika reģistrēti daži tirgus zaudējum</w:t>
      </w:r>
      <w:r>
        <w:rPr>
          <w:rFonts w:ascii="Times New Roman" w:hAnsi="Times New Roman"/>
          <w:noProof/>
          <w:lang w:val="lv-LV" w:eastAsia="lv-LV" w:bidi="lv-LV"/>
        </w:rPr>
        <w:t>i, ko daļēji veicināja izmaksu konkurētspējas pasliktināšanās, kuru savukārt izraisīja lielāks vienības darbaspēka izmaksu pieaugums un importa cenu pieaugums. Pēdējās desmitgades laikā mājokļu reālās cenas ir pieaugušas samērā straujā tempā, kas kopumā jo</w:t>
      </w:r>
      <w:r>
        <w:rPr>
          <w:rFonts w:ascii="Times New Roman" w:hAnsi="Times New Roman"/>
          <w:noProof/>
          <w:lang w:val="lv-LV" w:eastAsia="lv-LV" w:bidi="lv-LV"/>
        </w:rPr>
        <w:t xml:space="preserve">projām būtu cieši jāuzrauga. Mājokļu cenu pieaugums notiek saistībā ar dinamisku darba tirgu apvienojumā ar ievērojamām neto migrācijas plūsmām un labvēlīgiem finansēšanas nosacījumiem, savukārt piedāvājums ir samērā ierobežots un joprojām nav pietiekams, </w:t>
      </w:r>
      <w:r>
        <w:rPr>
          <w:rFonts w:ascii="Times New Roman" w:hAnsi="Times New Roman"/>
          <w:noProof/>
          <w:lang w:val="lv-LV" w:eastAsia="lv-LV" w:bidi="lv-LV"/>
        </w:rPr>
        <w:t>lai apmierinātu spēcīgo pieprasījumu. Mājokļu pieejamība turpina pasliktināties, ņemot vērā pastāvīgi pieaugošās mājokļu cenas. Uzņēmumu parādsaistības ir ļoti lielas, bet tas galvenokārt ir saistīts ar pārrobežu starpuzņēmumu aizdevumiem. Mājsaimniecību p</w:t>
      </w:r>
      <w:r>
        <w:rPr>
          <w:rFonts w:ascii="Times New Roman" w:hAnsi="Times New Roman"/>
          <w:noProof/>
          <w:lang w:val="lv-LV" w:eastAsia="lv-LV" w:bidi="lv-LV"/>
        </w:rPr>
        <w:t>arāda līmenis, ko galvenokārt veido hipotēkas, ir pastāvīgi pieaudzis, atspoguļojot nekustamā īpašuma tirgus dinamiku un labvēlīgos kreditēšanas nosacījumus. Lai gan zemākas procentu likmes un garāks hipotēku termiņš ir mazinājuši mājsaimniecību finansiālo</w:t>
      </w:r>
      <w:r>
        <w:rPr>
          <w:rFonts w:ascii="Times New Roman" w:hAnsi="Times New Roman"/>
          <w:noProof/>
          <w:lang w:val="lv-LV" w:eastAsia="lv-LV" w:bidi="lv-LV"/>
        </w:rPr>
        <w:t xml:space="preserve"> slogu un lielākā daļa jauno hipotēku ir ar fiksētām likmēm, liela daļa mājsaimniecību, kurām ir parādsaistības, joprojām ir pakļautas procentu likmju kāpumam. Tomēr riskus valsts finanšu stabilitātei mazina banku sektora stabilitāte. Publiskā sektora parā</w:t>
      </w:r>
      <w:r>
        <w:rPr>
          <w:rFonts w:ascii="Times New Roman" w:hAnsi="Times New Roman"/>
          <w:noProof/>
          <w:lang w:val="lv-LV" w:eastAsia="lv-LV" w:bidi="lv-LV"/>
        </w:rPr>
        <w:t>ds joprojām ir ļoti zems. Neraugoties uz neseno ekonomikas attīstības palēninājumu, pieprasījums darba tirgū pieaug un bezdarba līmenis turpina samazināties.</w:t>
      </w:r>
    </w:p>
    <w:p w:rsidR="003D03E9" w:rsidRDefault="00F77AE9">
      <w:pPr>
        <w:spacing w:after="160" w:line="259" w:lineRule="auto"/>
        <w:jc w:val="both"/>
        <w:rPr>
          <w:rFonts w:ascii="Times New Roman" w:eastAsia="Calibri" w:hAnsi="Times New Roman" w:cs="Times New Roman"/>
          <w:i/>
          <w:noProof/>
          <w:lang w:val="lv-LV" w:eastAsia="lv-LV" w:bidi="lv-LV"/>
        </w:rPr>
      </w:pPr>
      <w:r>
        <w:rPr>
          <w:rFonts w:ascii="Times New Roman" w:hAnsi="Times New Roman"/>
          <w:i/>
          <w:noProof/>
          <w:lang w:val="lv-LV" w:eastAsia="lv-LV" w:bidi="lv-LV"/>
        </w:rPr>
        <w:t>Kopumā rādītāju ekonomiskā interpretācija norāda galvenokārt uz dažiem ierobežotiem riskiem, kas s</w:t>
      </w:r>
      <w:r>
        <w:rPr>
          <w:rFonts w:ascii="Times New Roman" w:hAnsi="Times New Roman"/>
          <w:i/>
          <w:noProof/>
          <w:lang w:val="lv-LV" w:eastAsia="lv-LV" w:bidi="lv-LV"/>
        </w:rPr>
        <w:t>aistīti ar pastāvīgi pieaugošām mājokļu cenām un mājsaimniecību parādu. Tāpēc Komisija šajā posmā neveiks papildu padziļinātu analīzi saistībā ar MNNP.</w:t>
      </w:r>
    </w:p>
    <w:p w:rsidR="003D03E9" w:rsidRDefault="003D03E9">
      <w:pPr>
        <w:rPr>
          <w:rFonts w:ascii="Times New Roman" w:eastAsia="Calibri" w:hAnsi="Times New Roman" w:cs="Times New Roman"/>
          <w:b/>
          <w:bCs/>
          <w:noProof/>
          <w:lang w:val="lv-LV" w:eastAsia="lv-LV" w:bidi="lv-LV"/>
        </w:rPr>
      </w:pPr>
    </w:p>
    <w:p w:rsidR="003D03E9" w:rsidRDefault="00F77AE9">
      <w:pPr>
        <w:autoSpaceDE w:val="0"/>
        <w:autoSpaceDN w:val="0"/>
        <w:adjustRightInd w:val="0"/>
        <w:spacing w:before="100" w:beforeAutospacing="1" w:after="100" w:afterAutospacing="1" w:line="259" w:lineRule="auto"/>
        <w:jc w:val="both"/>
        <w:rPr>
          <w:rFonts w:ascii="Times New Roman" w:eastAsia="Calibri" w:hAnsi="Times New Roman" w:cs="Times New Roman"/>
          <w:noProof/>
          <w:lang w:val="lv-LV" w:eastAsia="lv-LV" w:bidi="lv-LV"/>
        </w:rPr>
      </w:pPr>
      <w:r>
        <w:rPr>
          <w:rFonts w:ascii="Times New Roman" w:hAnsi="Times New Roman"/>
          <w:b/>
          <w:noProof/>
          <w:lang w:val="lv-LV" w:eastAsia="lv-LV" w:bidi="lv-LV"/>
        </w:rPr>
        <w:t xml:space="preserve">Ungārija. </w:t>
      </w:r>
      <w:r>
        <w:rPr>
          <w:rFonts w:ascii="Times New Roman" w:hAnsi="Times New Roman"/>
          <w:noProof/>
          <w:lang w:val="lv-LV" w:eastAsia="lv-LV" w:bidi="lv-LV"/>
        </w:rPr>
        <w:t xml:space="preserve">Iepriekšējā MNNP kārtā Ungārijā </w:t>
      </w:r>
      <w:r>
        <w:rPr>
          <w:rFonts w:ascii="Times New Roman" w:hAnsi="Times New Roman"/>
          <w:i/>
          <w:noProof/>
          <w:lang w:val="lv-LV" w:eastAsia="lv-LV" w:bidi="lv-LV"/>
        </w:rPr>
        <w:t>netika konstatēta makroekonomikas nelīdzsvarotība</w:t>
      </w:r>
      <w:r>
        <w:rPr>
          <w:rFonts w:ascii="Times New Roman" w:hAnsi="Times New Roman"/>
          <w:noProof/>
          <w:lang w:val="lv-LV" w:eastAsia="lv-LV" w:bidi="lv-LV"/>
        </w:rPr>
        <w:t>. Atjaunināt</w:t>
      </w:r>
      <w:r>
        <w:rPr>
          <w:rFonts w:ascii="Times New Roman" w:hAnsi="Times New Roman"/>
          <w:noProof/>
          <w:lang w:val="lv-LV" w:eastAsia="lv-LV" w:bidi="lv-LV"/>
        </w:rPr>
        <w:t xml:space="preserve">ajā rādītāju kopsavilkumā daži rādītāji pārsniedz indikatīvo robežvērtību, proti, neto starptautisko ieguldījumu pozīcija un valdības parāds. </w:t>
      </w:r>
    </w:p>
    <w:p w:rsidR="003D03E9" w:rsidRDefault="00F77AE9">
      <w:pPr>
        <w:autoSpaceDE w:val="0"/>
        <w:autoSpaceDN w:val="0"/>
        <w:adjustRightInd w:val="0"/>
        <w:spacing w:before="100" w:beforeAutospacing="1" w:after="100" w:afterAutospacing="1" w:line="259" w:lineRule="auto"/>
        <w:jc w:val="both"/>
        <w:rPr>
          <w:rFonts w:ascii="Times New Roman" w:eastAsia="Calibri" w:hAnsi="Times New Roman" w:cs="Times New Roman"/>
          <w:noProof/>
          <w:lang w:val="lv-LV" w:eastAsia="lv-LV" w:bidi="lv-LV"/>
        </w:rPr>
      </w:pPr>
      <w:r>
        <w:rPr>
          <w:noProof/>
          <w:lang w:eastAsia="en-GB"/>
        </w:rPr>
        <w:drawing>
          <wp:anchor distT="0" distB="0" distL="114300" distR="114300" simplePos="0" relativeHeight="251646464" behindDoc="0" locked="0" layoutInCell="1" allowOverlap="1">
            <wp:simplePos x="0" y="0"/>
            <wp:positionH relativeFrom="column">
              <wp:posOffset>2720340</wp:posOffset>
            </wp:positionH>
            <wp:positionV relativeFrom="paragraph">
              <wp:posOffset>52705</wp:posOffset>
            </wp:positionV>
            <wp:extent cx="3006725" cy="3218815"/>
            <wp:effectExtent l="0" t="0" r="0"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06725" cy="32188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lang w:val="lv-LV" w:eastAsia="lv-LV" w:bidi="lv-LV"/>
        </w:rPr>
        <w:t>Tekošā konta pārpalikums pēdējos gados bija saistīts ar strauju un noturīgu negatīvās neto starptautisko ieguldī</w:t>
      </w:r>
      <w:r>
        <w:rPr>
          <w:rFonts w:ascii="Times New Roman" w:hAnsi="Times New Roman"/>
          <w:noProof/>
          <w:lang w:val="lv-LV" w:eastAsia="lv-LV" w:bidi="lv-LV"/>
        </w:rPr>
        <w:t>jumu pozīcijas uzlabošanos, kas arī lielā mērā atspoguļo ārvalstu tiešos ieguldījumus. Eksporta tirgus daļas 2017. gadā palielinājās, ko veicināja autobūves nozares attīstība. Nominālās vienības darbaspēka izmaksas būtiski palielinājās saistībā ar pieaugoš</w:t>
      </w:r>
      <w:r>
        <w:rPr>
          <w:rFonts w:ascii="Times New Roman" w:hAnsi="Times New Roman"/>
          <w:noProof/>
          <w:lang w:val="lv-LV" w:eastAsia="lv-LV" w:bidi="lv-LV"/>
        </w:rPr>
        <w:t>o pieprasījumu darba tirgū. Darbaspēka izmaksu pieaugumu veicināja arī normatīvajos aktos noteiktais darba samaksas palielinājums, bet to daļēji kompensēja darba devēju sociālo iemaksu samazinājums. Privātā sektora kreditēšanas plūsmas kļuva pozitīvas, bet</w:t>
      </w:r>
      <w:r>
        <w:rPr>
          <w:rFonts w:ascii="Times New Roman" w:hAnsi="Times New Roman"/>
          <w:noProof/>
          <w:lang w:val="lv-LV" w:eastAsia="lv-LV" w:bidi="lv-LV"/>
        </w:rPr>
        <w:t xml:space="preserve"> privātā sektora kredītu apjomi 2017. gadā turpināja samazināties. Pēc ievērojama pieauguma iepriekšējos gados mājokļu reālo cenu pieaugums ir kļuvis mērenāks. Tomēr ir jāpievērš uzmanība augstajiem novērtējumiem konkrētos reģionos un hipotekāro kredītu st</w:t>
      </w:r>
      <w:r>
        <w:rPr>
          <w:rFonts w:ascii="Times New Roman" w:hAnsi="Times New Roman"/>
          <w:noProof/>
          <w:lang w:val="lv-LV" w:eastAsia="lv-LV" w:bidi="lv-LV"/>
        </w:rPr>
        <w:t>raujajam pieaugumam. Pašreizējā nekustamā īpašuma tirgus atlabšana var veicināt to, ka vēl vairāk samazināsies ieņēmumus nenesošu aizdevumu īpatsvars, kas joprojām ir augsts. Banku sektors uzlaboja savu rentabilitāti un šoku absorbēšanas spēju. Neraugoties</w:t>
      </w:r>
      <w:r>
        <w:rPr>
          <w:rFonts w:ascii="Times New Roman" w:hAnsi="Times New Roman"/>
          <w:noProof/>
          <w:lang w:val="lv-LV" w:eastAsia="lv-LV" w:bidi="lv-LV"/>
        </w:rPr>
        <w:t xml:space="preserve"> uz labvēlīgu ekonomikas ciklu, valdības parāds ir tikai pakāpeniski samazinājies, kas notika procikliskas fiskālās politikas rezultātā. Bezdarbs samazinājās līdz vēsturiski zemam līmenim, un pieaugošais pieprasījums darba tirgū veicināja strauju darba sam</w:t>
      </w:r>
      <w:r>
        <w:rPr>
          <w:rFonts w:ascii="Times New Roman" w:hAnsi="Times New Roman"/>
          <w:noProof/>
          <w:lang w:val="lv-LV" w:eastAsia="lv-LV" w:bidi="lv-LV"/>
        </w:rPr>
        <w:t xml:space="preserve">aksas pieaugumu, kas turpināja pārsniegt ražīguma pieaugumu. </w:t>
      </w:r>
    </w:p>
    <w:p w:rsidR="003D03E9" w:rsidRDefault="00F77AE9">
      <w:pPr>
        <w:autoSpaceDE w:val="0"/>
        <w:autoSpaceDN w:val="0"/>
        <w:adjustRightInd w:val="0"/>
        <w:spacing w:after="160" w:line="259" w:lineRule="auto"/>
        <w:jc w:val="both"/>
        <w:rPr>
          <w:rFonts w:ascii="Times New Roman" w:eastAsia="Calibri" w:hAnsi="Times New Roman" w:cs="Times New Roman"/>
          <w:i/>
          <w:noProof/>
          <w:lang w:val="lv-LV" w:eastAsia="lv-LV" w:bidi="lv-LV"/>
        </w:rPr>
      </w:pPr>
      <w:r>
        <w:rPr>
          <w:rFonts w:ascii="Times New Roman" w:hAnsi="Times New Roman"/>
          <w:i/>
          <w:noProof/>
          <w:lang w:val="lv-LV" w:eastAsia="lv-LV" w:bidi="lv-LV"/>
        </w:rPr>
        <w:t>Kopumā rādītāju ekonomiskā interpretācija izgaismo problēmas, kas attiecas uz mājokļu tirgu un pieaugošo pieprasījumu darba tirgū, lai gan šķiet, ka riski ir ierobežoti. Komisija šajā posmā neve</w:t>
      </w:r>
      <w:r>
        <w:rPr>
          <w:rFonts w:ascii="Times New Roman" w:hAnsi="Times New Roman"/>
          <w:i/>
          <w:noProof/>
          <w:lang w:val="lv-LV" w:eastAsia="lv-LV" w:bidi="lv-LV"/>
        </w:rPr>
        <w:t xml:space="preserve">iks papildu padziļinātu analīzi saistībā ar MNNP. </w:t>
      </w:r>
    </w:p>
    <w:p w:rsidR="003D03E9" w:rsidRDefault="003D03E9">
      <w:pPr>
        <w:spacing w:after="160" w:line="259" w:lineRule="auto"/>
        <w:rPr>
          <w:rFonts w:ascii="Times New Roman" w:eastAsia="Calibri" w:hAnsi="Times New Roman" w:cs="Times New Roman"/>
          <w:noProof/>
          <w:lang w:val="lv-LV" w:eastAsia="lv-LV" w:bidi="lv-LV"/>
        </w:rPr>
      </w:pPr>
    </w:p>
    <w:p w:rsidR="003D03E9" w:rsidRDefault="00F77AE9">
      <w:pPr>
        <w:spacing w:after="160" w:line="259" w:lineRule="auto"/>
        <w:jc w:val="both"/>
        <w:rPr>
          <w:rFonts w:ascii="Times New Roman" w:eastAsia="Calibri" w:hAnsi="Times New Roman" w:cs="Times New Roman"/>
          <w:noProof/>
          <w:lang w:val="lv-LV" w:eastAsia="lv-LV" w:bidi="lv-LV"/>
        </w:rPr>
      </w:pPr>
      <w:r>
        <w:rPr>
          <w:rFonts w:ascii="Times New Roman" w:hAnsi="Times New Roman"/>
          <w:b/>
          <w:noProof/>
          <w:color w:val="000000"/>
          <w:lang w:val="lv-LV" w:eastAsia="lv-LV" w:bidi="lv-LV"/>
        </w:rPr>
        <w:t>Malta</w:t>
      </w:r>
      <w:r>
        <w:rPr>
          <w:noProof/>
          <w:lang w:val="lv-LV" w:eastAsia="lv-LV" w:bidi="lv-LV"/>
        </w:rPr>
        <w:t>.</w:t>
      </w:r>
      <w:r>
        <w:rPr>
          <w:rFonts w:ascii="Times New Roman" w:hAnsi="Times New Roman"/>
          <w:noProof/>
          <w:color w:val="000000"/>
          <w:lang w:val="lv-LV" w:eastAsia="lv-LV" w:bidi="lv-LV"/>
        </w:rPr>
        <w:t xml:space="preserve"> Iepriekšējā MNNP kārtā Maltā </w:t>
      </w:r>
      <w:r>
        <w:rPr>
          <w:rFonts w:ascii="Times New Roman" w:hAnsi="Times New Roman"/>
          <w:i/>
          <w:noProof/>
          <w:color w:val="000000"/>
          <w:lang w:val="lv-LV" w:eastAsia="lv-LV" w:bidi="lv-LV"/>
        </w:rPr>
        <w:t>netika konstatēta makroekonomikas nelīdzsvarotība</w:t>
      </w:r>
      <w:r>
        <w:rPr>
          <w:rFonts w:ascii="Times New Roman" w:hAnsi="Times New Roman"/>
          <w:noProof/>
          <w:color w:val="000000"/>
          <w:lang w:val="lv-LV" w:eastAsia="lv-LV" w:bidi="lv-LV"/>
        </w:rPr>
        <w:t>. Atjauninātajā rādītāju kopsavilkumā tekošā konta saldo pārsniedz indikatīvo robežvērtību.</w:t>
      </w:r>
      <w:r>
        <w:rPr>
          <w:noProof/>
          <w:lang w:val="lv-LV" w:eastAsia="lv-LV" w:bidi="lv-LV"/>
        </w:rPr>
        <w:t xml:space="preserve"> </w:t>
      </w:r>
    </w:p>
    <w:p w:rsidR="003D03E9" w:rsidRDefault="00F77AE9">
      <w:pPr>
        <w:autoSpaceDE w:val="0"/>
        <w:autoSpaceDN w:val="0"/>
        <w:adjustRightInd w:val="0"/>
        <w:spacing w:before="120"/>
        <w:jc w:val="both"/>
        <w:rPr>
          <w:rFonts w:ascii="Times New Roman" w:eastAsia="Times New Roman" w:hAnsi="Times New Roman" w:cs="Times New Roman"/>
          <w:noProof/>
          <w:color w:val="000000"/>
          <w:lang w:val="lv-LV" w:eastAsia="lv-LV" w:bidi="lv-LV"/>
        </w:rPr>
      </w:pPr>
      <w:r>
        <w:rPr>
          <w:noProof/>
          <w:lang w:eastAsia="en-GB"/>
        </w:rPr>
        <w:drawing>
          <wp:anchor distT="0" distB="0" distL="114300" distR="114300" simplePos="0" relativeHeight="251647488" behindDoc="0" locked="0" layoutInCell="1" allowOverlap="1">
            <wp:simplePos x="0" y="0"/>
            <wp:positionH relativeFrom="column">
              <wp:posOffset>2603500</wp:posOffset>
            </wp:positionH>
            <wp:positionV relativeFrom="paragraph">
              <wp:posOffset>45085</wp:posOffset>
            </wp:positionV>
            <wp:extent cx="3145790" cy="2867660"/>
            <wp:effectExtent l="0" t="0" r="0" b="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45790" cy="28676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0000"/>
          <w:lang w:val="lv-LV" w:eastAsia="lv-LV" w:bidi="lv-LV"/>
        </w:rPr>
        <w:t>Augstais tekošā konta pārpalikums 2017. gadā vēl vairāk pieauga līdz ievērojami augstam līmenim, kas sakrita ar jau tā pozitīvās neto starptautisko ieguldījumu pozīcijas ievērojamu uzlabojumu. Tomēr ārējā pozīcija atspoguļo starptautiski orientētā uzņēmumu</w:t>
      </w:r>
      <w:r>
        <w:rPr>
          <w:rFonts w:ascii="Times New Roman" w:hAnsi="Times New Roman"/>
          <w:noProof/>
          <w:color w:val="000000"/>
          <w:lang w:val="lv-LV" w:eastAsia="lv-LV" w:bidi="lv-LV"/>
        </w:rPr>
        <w:t xml:space="preserve"> sektora svārstības, nevis situācijas attīstību iekšzemē. Izmaksu konkurētspējas un reālā efektīvā valūtas kursa attīstība ir bijusi samērā labvēlīga, bet mērena darba samaksas attīstība apvienojumā ar samērā spēcīgu darba ražīguma pieaugumu ir saglabājusi</w:t>
      </w:r>
      <w:r>
        <w:rPr>
          <w:rFonts w:ascii="Times New Roman" w:hAnsi="Times New Roman"/>
          <w:noProof/>
          <w:color w:val="000000"/>
          <w:lang w:val="lv-LV" w:eastAsia="lv-LV" w:bidi="lv-LV"/>
        </w:rPr>
        <w:t xml:space="preserve"> darbaspēka izmaksu pieaugumu mērenā līmenī. Privātā sektora parāda attiecība pret IKP 2017. gadā ievērojami samazinājās, kā pamatā bija spēcīgs nominālā IKP pieaugums. Kaut arī uzņēmumu sektora aizņemto līdzekļu īpatsvars joprojām ir augsts, kredītu mājsa</w:t>
      </w:r>
      <w:r>
        <w:rPr>
          <w:rFonts w:ascii="Times New Roman" w:hAnsi="Times New Roman"/>
          <w:noProof/>
          <w:color w:val="000000"/>
          <w:lang w:val="lv-LV" w:eastAsia="lv-LV" w:bidi="lv-LV"/>
        </w:rPr>
        <w:t>imniecībām pieauguma temps ir samazinājies. Valdības parāda attiecībai pret IKP bija izteikti lejupejoša tendence. Mājokļu reālās cenas 2017. gadā pieauga un ir cieši jāuzrauga. Jo īpaši spēcīgās saimnieciskās darbības un ierobežoto iespēju ieguldīt privāt</w:t>
      </w:r>
      <w:r>
        <w:rPr>
          <w:rFonts w:ascii="Times New Roman" w:hAnsi="Times New Roman"/>
          <w:noProof/>
          <w:color w:val="000000"/>
          <w:lang w:val="lv-LV" w:eastAsia="lv-LV" w:bidi="lv-LV"/>
        </w:rPr>
        <w:t xml:space="preserve">os ietaupījumus rezultātā ir atjaunojusies interese par mājokļu tirgu. Aktīvu kvalitāte iekšzemes banku nozarē uzlabojas, un pieejamās kapitāla rezerves šķiet pietiekamas, lai absorbētu tūlītējus riskus, kas varētu rasties no mājokļu tirgus vai no iestāžu </w:t>
      </w:r>
      <w:r>
        <w:rPr>
          <w:rFonts w:ascii="Times New Roman" w:hAnsi="Times New Roman"/>
          <w:noProof/>
          <w:color w:val="000000"/>
          <w:lang w:val="lv-LV" w:eastAsia="lv-LV" w:bidi="lv-LV"/>
        </w:rPr>
        <w:t xml:space="preserve">sistēmas. Darba tirgus joprojām uzrāda labus rādītājus, un liels nodarbinātības pieaugums iet roku rokā ar zemo bezdarba līmeni, kas turpina samazināties. </w:t>
      </w:r>
    </w:p>
    <w:p w:rsidR="003D03E9" w:rsidRDefault="00F77AE9">
      <w:pPr>
        <w:autoSpaceDE w:val="0"/>
        <w:autoSpaceDN w:val="0"/>
        <w:adjustRightInd w:val="0"/>
        <w:spacing w:before="120"/>
        <w:jc w:val="both"/>
        <w:rPr>
          <w:rFonts w:ascii="Times New Roman" w:eastAsia="Times New Roman" w:hAnsi="Times New Roman" w:cs="Times New Roman"/>
          <w:i/>
          <w:iCs/>
          <w:noProof/>
          <w:color w:val="000000"/>
          <w:lang w:val="lv-LV" w:eastAsia="lv-LV" w:bidi="lv-LV"/>
        </w:rPr>
      </w:pPr>
      <w:r>
        <w:rPr>
          <w:rFonts w:ascii="Times New Roman" w:hAnsi="Times New Roman"/>
          <w:i/>
          <w:noProof/>
          <w:color w:val="000000"/>
          <w:lang w:val="lv-LV" w:eastAsia="lv-LV" w:bidi="lv-LV"/>
        </w:rPr>
        <w:t>Kopumā rādītāju ekonomiskā interpretācija izgaismo problēmas, kas attiecas uz ārējo pozīciju un mājo</w:t>
      </w:r>
      <w:r>
        <w:rPr>
          <w:rFonts w:ascii="Times New Roman" w:hAnsi="Times New Roman"/>
          <w:i/>
          <w:noProof/>
          <w:color w:val="000000"/>
          <w:lang w:val="lv-LV" w:eastAsia="lv-LV" w:bidi="lv-LV"/>
        </w:rPr>
        <w:t>kļu tirgiem stabilas ekonomikas izaugsmes apstākļos, lai gan šajā posmā riski, šķiet, ir ierobežoti. Tāpēc Komisija šajā posmā neveiks papildu padziļinātu analīzi saistībā ar MNNP.</w:t>
      </w:r>
    </w:p>
    <w:p w:rsidR="003D03E9" w:rsidRDefault="003D03E9">
      <w:pPr>
        <w:spacing w:after="160" w:line="259" w:lineRule="auto"/>
        <w:jc w:val="both"/>
        <w:rPr>
          <w:rFonts w:ascii="Times New Roman" w:eastAsia="Calibri" w:hAnsi="Times New Roman" w:cs="Times New Roman"/>
          <w:b/>
          <w:noProof/>
          <w:lang w:val="lv-LV" w:eastAsia="lv-LV" w:bidi="lv-LV"/>
        </w:rPr>
      </w:pPr>
    </w:p>
    <w:p w:rsidR="003D03E9" w:rsidRDefault="00F77AE9">
      <w:pPr>
        <w:spacing w:after="160" w:line="259" w:lineRule="auto"/>
        <w:jc w:val="both"/>
        <w:rPr>
          <w:noProof/>
          <w:lang w:val="lv-LV" w:eastAsia="lv-LV" w:bidi="lv-LV"/>
        </w:rPr>
      </w:pPr>
      <w:r>
        <w:rPr>
          <w:noProof/>
          <w:lang w:eastAsia="en-GB"/>
        </w:rPr>
        <w:drawing>
          <wp:anchor distT="0" distB="0" distL="114300" distR="114300" simplePos="0" relativeHeight="251648512" behindDoc="0" locked="0" layoutInCell="1" allowOverlap="1">
            <wp:simplePos x="0" y="0"/>
            <wp:positionH relativeFrom="column">
              <wp:posOffset>3115310</wp:posOffset>
            </wp:positionH>
            <wp:positionV relativeFrom="paragraph">
              <wp:posOffset>64770</wp:posOffset>
            </wp:positionV>
            <wp:extent cx="2597150" cy="2903855"/>
            <wp:effectExtent l="0" t="0" r="0" b="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97150" cy="29038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lang w:val="lv-LV" w:eastAsia="lv-LV" w:bidi="lv-LV"/>
        </w:rPr>
        <w:t>Nīderlande.</w:t>
      </w:r>
      <w:r>
        <w:rPr>
          <w:rFonts w:ascii="Times New Roman" w:hAnsi="Times New Roman"/>
          <w:noProof/>
          <w:lang w:val="lv-LV" w:eastAsia="lv-LV" w:bidi="lv-LV"/>
        </w:rPr>
        <w:t xml:space="preserve"> Komisija 2018. gada martā secināja, ka Nīderlandē </w:t>
      </w:r>
      <w:r>
        <w:rPr>
          <w:rFonts w:ascii="Times New Roman" w:hAnsi="Times New Roman"/>
          <w:i/>
          <w:noProof/>
          <w:lang w:val="lv-LV" w:eastAsia="lv-LV" w:bidi="lv-LV"/>
        </w:rPr>
        <w:t>ir makroeko</w:t>
      </w:r>
      <w:r>
        <w:rPr>
          <w:rFonts w:ascii="Times New Roman" w:hAnsi="Times New Roman"/>
          <w:i/>
          <w:noProof/>
          <w:lang w:val="lv-LV" w:eastAsia="lv-LV" w:bidi="lv-LV"/>
        </w:rPr>
        <w:t>nomikas nelīdzsvarotība</w:t>
      </w:r>
      <w:r>
        <w:rPr>
          <w:rFonts w:ascii="Times New Roman" w:hAnsi="Times New Roman"/>
          <w:noProof/>
          <w:lang w:val="lv-LV" w:eastAsia="lv-LV" w:bidi="lv-LV"/>
        </w:rPr>
        <w:t>, kas jo īpaši ietver privātā sektora parāda lielu uzkrājumu un lielu tekošā konta pārpalikumu. Atjauninātajā rādītāju kopsavilkumā vairāki rādītāji pārsniedz indikatīvo robežvērtību, proti, tekošā konta saldo trīs gadu vidējais rādītājs, privātā sektora p</w:t>
      </w:r>
      <w:r>
        <w:rPr>
          <w:rFonts w:ascii="Times New Roman" w:hAnsi="Times New Roman"/>
          <w:noProof/>
          <w:lang w:val="lv-LV" w:eastAsia="lv-LV" w:bidi="lv-LV"/>
        </w:rPr>
        <w:t xml:space="preserve">arāds un mājokļu reālo cenu pieaugums. </w:t>
      </w:r>
    </w:p>
    <w:p w:rsidR="003D03E9" w:rsidRDefault="00F77AE9">
      <w:pPr>
        <w:spacing w:after="160" w:line="259" w:lineRule="auto"/>
        <w:jc w:val="both"/>
        <w:rPr>
          <w:rFonts w:ascii="Times New Roman" w:eastAsia="Calibri" w:hAnsi="Times New Roman" w:cs="Times New Roman"/>
          <w:noProof/>
          <w:lang w:val="lv-LV" w:eastAsia="lv-LV" w:bidi="lv-LV"/>
        </w:rPr>
      </w:pPr>
      <w:r>
        <w:rPr>
          <w:rFonts w:ascii="Times New Roman" w:hAnsi="Times New Roman"/>
          <w:noProof/>
          <w:lang w:val="lv-LV" w:eastAsia="lv-LV" w:bidi="lv-LV"/>
        </w:rPr>
        <w:t>Tekošā konta pārpalikums joprojām ir ļoti liels, un 2017. gadā tas vēl vairāk palielinājās, savukārt pozitīvā neto starptautisko ieguldījumu pozīcija nedaudz samazinājās. Lai gan visas nozares ir neto uzkrājēji, teko</w:t>
      </w:r>
      <w:r>
        <w:rPr>
          <w:rFonts w:ascii="Times New Roman" w:hAnsi="Times New Roman"/>
          <w:noProof/>
          <w:lang w:val="lv-LV" w:eastAsia="lv-LV" w:bidi="lv-LV"/>
        </w:rPr>
        <w:t>šā konta pārpalikuma palielinājumu 2017. gadā sekmēja galvenokārt nefinanšu sabiedrības, kuru ietaupījumu pārpalikums bija saistīts ar samērā augstu uzņēmumu rentabilitāti un salīdzinoši zemu ieguldījumu līmeni. Vienības darbaspēka izmaksu attīstība ir vāj</w:t>
      </w:r>
      <w:r>
        <w:rPr>
          <w:rFonts w:ascii="Times New Roman" w:hAnsi="Times New Roman"/>
          <w:noProof/>
          <w:lang w:val="lv-LV" w:eastAsia="lv-LV" w:bidi="lv-LV"/>
        </w:rPr>
        <w:t xml:space="preserve">a saistībā ar to, ka darba samaksas pieaugums atbilst ražīguma attīstībai. Privātā sektora parāda līmenis ir augsts, bet uzņēmumu parādus var izskaidrot arī ar starptautisku uzņēmumu grupu iekšējiem parādiem. Mājsaimniecību parāda līmenis ir augsts, un to </w:t>
      </w:r>
      <w:r>
        <w:rPr>
          <w:rFonts w:ascii="Times New Roman" w:hAnsi="Times New Roman"/>
          <w:noProof/>
          <w:lang w:val="lv-LV" w:eastAsia="lv-LV" w:bidi="lv-LV"/>
        </w:rPr>
        <w:t>veicina izdevīgi nodokļu režīmi mājokļu īpašniekiem, kas dzīvo savā īpašumā, un labvēlīgas hipotēkas likmes. Lai gan mājsaimniecību parāda attiecībai pret IKP ir lejupejoša tendence, nominālais parāds atkal pieaug. Mājokļu tirgū ir vērojama spēcīga atlabša</w:t>
      </w:r>
      <w:r>
        <w:rPr>
          <w:rFonts w:ascii="Times New Roman" w:hAnsi="Times New Roman"/>
          <w:noProof/>
          <w:lang w:val="lv-LV" w:eastAsia="lv-LV" w:bidi="lv-LV"/>
        </w:rPr>
        <w:t>na, jo mājokļu cenu pieaugums 2017. gadā vēl vairāk paātrinājās, arī saistībā ar to, ka īres tirgus nedarbojas pietiekami optimāli. Pieprasījums darba tirgū pieaug, bezdarba līmenis ir zems un aizvien sarūk.</w:t>
      </w:r>
    </w:p>
    <w:p w:rsidR="003D03E9" w:rsidRDefault="00F77AE9">
      <w:pPr>
        <w:spacing w:after="160" w:line="259" w:lineRule="auto"/>
        <w:jc w:val="both"/>
        <w:rPr>
          <w:rFonts w:ascii="Times New Roman" w:eastAsia="Calibri" w:hAnsi="Times New Roman" w:cs="Times New Roman"/>
          <w:i/>
          <w:noProof/>
          <w:lang w:val="lv-LV" w:eastAsia="lv-LV" w:bidi="lv-LV"/>
        </w:rPr>
      </w:pPr>
      <w:r>
        <w:rPr>
          <w:rFonts w:ascii="Times New Roman" w:hAnsi="Times New Roman"/>
          <w:i/>
          <w:noProof/>
          <w:lang w:val="lv-LV" w:eastAsia="lv-LV" w:bidi="lv-LV"/>
        </w:rPr>
        <w:t>Kopumā rādītāju ekonomiskā interpretācija izgais</w:t>
      </w:r>
      <w:r>
        <w:rPr>
          <w:rFonts w:ascii="Times New Roman" w:hAnsi="Times New Roman"/>
          <w:i/>
          <w:noProof/>
          <w:lang w:val="lv-LV" w:eastAsia="lv-LV" w:bidi="lv-LV"/>
        </w:rPr>
        <w:t xml:space="preserve">mo problēmas, kas attiecas uz augsto mājsaimniecību parāda līmeni un lielo iekšzemes ietaupījumu pārpalikumu. Tāpēc Komisija, ņemot vērā arī 2018. gada martā konstatēto nelīdzsvarotību, atzīst par lietderīgu turpināt analizēt nelīdzsvarotības saglabāšanos </w:t>
      </w:r>
      <w:r>
        <w:rPr>
          <w:rFonts w:ascii="Times New Roman" w:hAnsi="Times New Roman"/>
          <w:i/>
          <w:noProof/>
          <w:lang w:val="lv-LV" w:eastAsia="lv-LV" w:bidi="lv-LV"/>
        </w:rPr>
        <w:t>vai tās novēršanu.</w:t>
      </w:r>
    </w:p>
    <w:p w:rsidR="003D03E9" w:rsidRDefault="003D03E9">
      <w:pPr>
        <w:rPr>
          <w:rFonts w:ascii="Times New Roman" w:eastAsia="Calibri" w:hAnsi="Times New Roman" w:cs="Times New Roman"/>
          <w:b/>
          <w:noProof/>
          <w:lang w:val="lv-LV" w:eastAsia="lv-LV" w:bidi="lv-LV"/>
        </w:rPr>
      </w:pPr>
    </w:p>
    <w:p w:rsidR="003D03E9" w:rsidRDefault="00F77AE9">
      <w:pPr>
        <w:rPr>
          <w:rFonts w:ascii="Times New Roman" w:eastAsia="Calibri" w:hAnsi="Times New Roman" w:cs="Times New Roman"/>
          <w:b/>
          <w:noProof/>
          <w:lang w:val="lv-LV" w:eastAsia="lv-LV" w:bidi="lv-LV"/>
        </w:rPr>
      </w:pPr>
      <w:r>
        <w:rPr>
          <w:noProof/>
          <w:lang w:eastAsia="en-GB"/>
        </w:rPr>
        <w:drawing>
          <wp:anchor distT="0" distB="0" distL="114300" distR="114300" simplePos="0" relativeHeight="251649536" behindDoc="0" locked="0" layoutInCell="1" allowOverlap="1">
            <wp:simplePos x="0" y="0"/>
            <wp:positionH relativeFrom="column">
              <wp:posOffset>2807970</wp:posOffset>
            </wp:positionH>
            <wp:positionV relativeFrom="paragraph">
              <wp:posOffset>498475</wp:posOffset>
            </wp:positionV>
            <wp:extent cx="2951480" cy="2936875"/>
            <wp:effectExtent l="0" t="0" r="1270" b="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rotWithShape="1">
                    <a:blip r:embed="rId59">
                      <a:extLst>
                        <a:ext uri="{28A0092B-C50C-407E-A947-70E740481C1C}">
                          <a14:useLocalDpi xmlns:a14="http://schemas.microsoft.com/office/drawing/2010/main" val="0"/>
                        </a:ext>
                      </a:extLst>
                    </a:blip>
                    <a:srcRect l="-1774" t="-2405" r="3658" b="-5498"/>
                    <a:stretch/>
                  </pic:blipFill>
                  <pic:spPr bwMode="auto">
                    <a:xfrm>
                      <a:off x="0" y="0"/>
                      <a:ext cx="2951480" cy="2936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b/>
          <w:noProof/>
          <w:lang w:val="lv-LV" w:eastAsia="lv-LV" w:bidi="lv-LV"/>
        </w:rPr>
        <w:t>Austrija.</w:t>
      </w:r>
      <w:r>
        <w:rPr>
          <w:rFonts w:ascii="Times New Roman" w:hAnsi="Times New Roman"/>
          <w:noProof/>
          <w:lang w:val="lv-LV" w:eastAsia="lv-LV" w:bidi="lv-LV"/>
        </w:rPr>
        <w:t xml:space="preserve"> Iepriekšējā MNNP kārtā Austrijā </w:t>
      </w:r>
      <w:r>
        <w:rPr>
          <w:rFonts w:ascii="Times New Roman" w:hAnsi="Times New Roman"/>
          <w:i/>
          <w:noProof/>
          <w:lang w:val="lv-LV" w:eastAsia="lv-LV" w:bidi="lv-LV"/>
        </w:rPr>
        <w:t>netika konstatēta makroekonomikas nelīdzsvarotība</w:t>
      </w:r>
      <w:r>
        <w:rPr>
          <w:rFonts w:ascii="Times New Roman" w:hAnsi="Times New Roman"/>
          <w:noProof/>
          <w:lang w:val="lv-LV" w:eastAsia="lv-LV" w:bidi="lv-LV"/>
        </w:rPr>
        <w:t xml:space="preserve">. Atjauninātajā rādītāju kopsavilkumā tikai valdības parāds pārsniedz indikatīvo robežvērtību. </w:t>
      </w:r>
    </w:p>
    <w:p w:rsidR="003D03E9" w:rsidRDefault="00F77AE9">
      <w:pPr>
        <w:spacing w:after="160" w:line="259" w:lineRule="auto"/>
        <w:jc w:val="both"/>
        <w:rPr>
          <w:rFonts w:ascii="Times New Roman" w:eastAsia="Calibri" w:hAnsi="Times New Roman" w:cs="Times New Roman"/>
          <w:noProof/>
          <w:lang w:val="lv-LV" w:eastAsia="lv-LV" w:bidi="lv-LV"/>
        </w:rPr>
      </w:pPr>
      <w:r>
        <w:rPr>
          <w:rFonts w:ascii="Times New Roman" w:hAnsi="Times New Roman"/>
          <w:noProof/>
          <w:lang w:val="lv-LV" w:eastAsia="lv-LV" w:bidi="lv-LV"/>
        </w:rPr>
        <w:t>Tekošā konta pārpalikums 2017. gadā saglabājās stabils mērenā līmenī, un neto starptautisko ieguldījumu pozīcija bija nedaudz pozitīva. Eksporta tirgus daļas saglabājās stabilas. Vienības darbaspēka izmaksu pieaugums ir neliels, un to veicināja darba ražīg</w:t>
      </w:r>
      <w:r>
        <w:rPr>
          <w:rFonts w:ascii="Times New Roman" w:hAnsi="Times New Roman"/>
          <w:noProof/>
          <w:lang w:val="lv-LV" w:eastAsia="lv-LV" w:bidi="lv-LV"/>
        </w:rPr>
        <w:t>uma pieauguma paātrinājums apvienojumā ar ierobežotu darba samaksas pieaugumu. Mājokļu reālās cenas turpināja pieaugt, taču 2017. gadā to pieauguma temps bija lēnāks nekā 2016. gadā. Lai gan šīs attīstības tendences ir jāuzrauga, šķiet, ka cenu pieaugums n</w:t>
      </w:r>
      <w:r>
        <w:rPr>
          <w:rFonts w:ascii="Times New Roman" w:hAnsi="Times New Roman"/>
          <w:noProof/>
          <w:lang w:val="lv-LV" w:eastAsia="lv-LV" w:bidi="lv-LV"/>
        </w:rPr>
        <w:t>av saistīts ar kreditēšanu, un ir vērojams neliels kredītu pieauguma tempa paātrinājums. Turklāt gan uzņēmumu, gan mājsaimniecību parāda attiecība lēnām samazinās. Arī valdības parāds turpināja samazināties, un 2017. gadā tas samazinājās uz spēcīgas ekonom</w:t>
      </w:r>
      <w:r>
        <w:rPr>
          <w:rFonts w:ascii="Times New Roman" w:hAnsi="Times New Roman"/>
          <w:noProof/>
          <w:lang w:val="lv-LV" w:eastAsia="lv-LV" w:bidi="lv-LV"/>
        </w:rPr>
        <w:t>ikas izaugsmes un notiekošās nacionalizēto finanšu iestāžu aktīvu likvidācijas rēķina. Situācija banku sektorā vēl vairāk uzlabojās, kas notika arī saistībā ar atveseļošanos kaimiņvalstīs. Šajos labvēlīgajos ekonomikas apstākļos un līdz ar spēcīgu nodarbin</w:t>
      </w:r>
      <w:r>
        <w:rPr>
          <w:rFonts w:ascii="Times New Roman" w:hAnsi="Times New Roman"/>
          <w:noProof/>
          <w:lang w:val="lv-LV" w:eastAsia="lv-LV" w:bidi="lv-LV"/>
        </w:rPr>
        <w:t xml:space="preserve">ātības pieaugumu ievērojami samazinājās bezdarba līmenis. </w:t>
      </w:r>
    </w:p>
    <w:p w:rsidR="003D03E9" w:rsidRDefault="00F77AE9">
      <w:pPr>
        <w:spacing w:after="160" w:line="259" w:lineRule="auto"/>
        <w:jc w:val="both"/>
        <w:rPr>
          <w:rFonts w:ascii="Times New Roman" w:eastAsia="Calibri" w:hAnsi="Times New Roman" w:cs="Times New Roman"/>
          <w:i/>
          <w:noProof/>
          <w:lang w:val="lv-LV" w:eastAsia="lv-LV" w:bidi="lv-LV"/>
        </w:rPr>
      </w:pPr>
      <w:r>
        <w:rPr>
          <w:rFonts w:ascii="Times New Roman" w:hAnsi="Times New Roman"/>
          <w:i/>
          <w:noProof/>
          <w:lang w:val="lv-LV" w:eastAsia="lv-LV" w:bidi="lv-LV"/>
        </w:rPr>
        <w:t>Kopumā rādītāju ekonomiskā interpretācija izgaismo problēmas, kas attiecas uz mājsaimniecību sektoru, bet šķiet, ka riski ir ierobežoti. Tāpēc Komisija šajā posmā neuzskata par vajadzīgu veikt papi</w:t>
      </w:r>
      <w:r>
        <w:rPr>
          <w:rFonts w:ascii="Times New Roman" w:hAnsi="Times New Roman"/>
          <w:i/>
          <w:noProof/>
          <w:lang w:val="lv-LV" w:eastAsia="lv-LV" w:bidi="lv-LV"/>
        </w:rPr>
        <w:t>ldu padziļinātu analīzi saistībā ar MNNP.</w:t>
      </w:r>
    </w:p>
    <w:p w:rsidR="003D03E9" w:rsidRDefault="003D03E9">
      <w:pPr>
        <w:spacing w:after="160" w:line="259" w:lineRule="auto"/>
        <w:jc w:val="both"/>
        <w:rPr>
          <w:rFonts w:ascii="Times New Roman" w:eastAsia="Calibri" w:hAnsi="Times New Roman" w:cs="Times New Roman"/>
          <w:i/>
          <w:noProof/>
          <w:lang w:val="lv-LV" w:eastAsia="lv-LV" w:bidi="lv-LV"/>
        </w:rPr>
      </w:pPr>
    </w:p>
    <w:p w:rsidR="003D03E9" w:rsidRDefault="00F77AE9">
      <w:pPr>
        <w:spacing w:after="160" w:line="259" w:lineRule="auto"/>
        <w:jc w:val="both"/>
        <w:rPr>
          <w:rFonts w:ascii="Times New Roman" w:eastAsia="Calibri" w:hAnsi="Times New Roman" w:cs="Times New Roman"/>
          <w:noProof/>
          <w:lang w:val="lv-LV" w:eastAsia="lv-LV" w:bidi="lv-LV"/>
        </w:rPr>
      </w:pPr>
      <w:r>
        <w:rPr>
          <w:noProof/>
          <w:lang w:eastAsia="en-GB"/>
        </w:rPr>
        <w:drawing>
          <wp:anchor distT="0" distB="0" distL="114300" distR="114300" simplePos="0" relativeHeight="251650560" behindDoc="0" locked="0" layoutInCell="1" allowOverlap="1">
            <wp:simplePos x="0" y="0"/>
            <wp:positionH relativeFrom="column">
              <wp:posOffset>3239770</wp:posOffset>
            </wp:positionH>
            <wp:positionV relativeFrom="paragraph">
              <wp:posOffset>29845</wp:posOffset>
            </wp:positionV>
            <wp:extent cx="2523490" cy="2969895"/>
            <wp:effectExtent l="0" t="0" r="0" b="0"/>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23490" cy="29698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lang w:val="lv-LV" w:eastAsia="lv-LV" w:bidi="lv-LV"/>
        </w:rPr>
        <w:t>Polija</w:t>
      </w:r>
      <w:r>
        <w:rPr>
          <w:noProof/>
          <w:lang w:val="lv-LV" w:eastAsia="lv-LV" w:bidi="lv-LV"/>
        </w:rPr>
        <w:t>.</w:t>
      </w:r>
      <w:r>
        <w:rPr>
          <w:rFonts w:ascii="Times New Roman" w:hAnsi="Times New Roman"/>
          <w:noProof/>
          <w:lang w:val="lv-LV" w:eastAsia="lv-LV" w:bidi="lv-LV"/>
        </w:rPr>
        <w:t xml:space="preserve"> Iepriekšējā MNNP kārtā Polijā </w:t>
      </w:r>
      <w:r>
        <w:rPr>
          <w:rFonts w:ascii="Times New Roman" w:hAnsi="Times New Roman"/>
          <w:i/>
          <w:noProof/>
          <w:lang w:val="lv-LV" w:eastAsia="lv-LV" w:bidi="lv-LV"/>
        </w:rPr>
        <w:t>netika konstatēta makroekonomikas nelīdzsvarotība</w:t>
      </w:r>
      <w:r>
        <w:rPr>
          <w:rFonts w:ascii="Times New Roman" w:hAnsi="Times New Roman"/>
          <w:noProof/>
          <w:lang w:val="lv-LV" w:eastAsia="lv-LV" w:bidi="lv-LV"/>
        </w:rPr>
        <w:t xml:space="preserve">. Atjauninātajā rādītāju kopsavilkumā neto starptautisko ieguldījumu pozīcija pārsniedz indikatīvo robežvērtību. </w:t>
      </w:r>
    </w:p>
    <w:p w:rsidR="003D03E9" w:rsidRDefault="00F77AE9">
      <w:pPr>
        <w:spacing w:after="160" w:line="259" w:lineRule="auto"/>
        <w:jc w:val="both"/>
        <w:rPr>
          <w:rFonts w:ascii="Times New Roman" w:eastAsia="Calibri" w:hAnsi="Times New Roman" w:cs="Times New Roman"/>
          <w:noProof/>
          <w:lang w:val="lv-LV" w:eastAsia="lv-LV" w:bidi="lv-LV"/>
        </w:rPr>
      </w:pPr>
      <w:r>
        <w:rPr>
          <w:rFonts w:ascii="Times New Roman" w:hAnsi="Times New Roman"/>
          <w:noProof/>
          <w:lang w:val="lv-LV" w:eastAsia="lv-LV" w:bidi="lv-LV"/>
        </w:rPr>
        <w:t>Tekošā kont</w:t>
      </w:r>
      <w:r>
        <w:rPr>
          <w:rFonts w:ascii="Times New Roman" w:hAnsi="Times New Roman"/>
          <w:noProof/>
          <w:lang w:val="lv-LV" w:eastAsia="lv-LV" w:bidi="lv-LV"/>
        </w:rPr>
        <w:t>a saldo 2017. gadā uzlabojās, sasniedzot kopumā līdzsvarotu pozīciju, bet negatīvā neto starptautisko ieguldījumu pozīcija bija stabila. Ārējā nelīdzsvarotība joprojām ir ierobežota, ņemot vērā, ka ārvalstu tiešie ieguldījumi veido lielāko daļu ārvalstu pa</w:t>
      </w:r>
      <w:r>
        <w:rPr>
          <w:rFonts w:ascii="Times New Roman" w:hAnsi="Times New Roman"/>
          <w:noProof/>
          <w:lang w:val="lv-LV" w:eastAsia="lv-LV" w:bidi="lv-LV"/>
        </w:rPr>
        <w:t>rādsaistību. Eksporta tirgus daļu palielinājums 2017. gadā atkal bija spēcīgs. Vienlaikus gan ar spēcīgo ražīguma pieaugumu, gan darba samaksas pieaugumu, nominālo vienības darbaspēka izmaksu pieaugums ir ierobežots. Privātā sektora parāda attiecība pret I</w:t>
      </w:r>
      <w:r>
        <w:rPr>
          <w:rFonts w:ascii="Times New Roman" w:hAnsi="Times New Roman"/>
          <w:noProof/>
          <w:lang w:val="lv-LV" w:eastAsia="lv-LV" w:bidi="lv-LV"/>
        </w:rPr>
        <w:t>KP 2017. gadā samazinājās, atspoguļojot spēcīgo IKP pieaugumu un Polijas zlota vērtības pieaugumu attiecībā pret valūtām, kurās ir denominēta daļa no nenomaksātā parāda uzkrājuma. Vispārējās valdības parāds, kas izteikts procentos no IKP, turpināja samazin</w:t>
      </w:r>
      <w:r>
        <w:rPr>
          <w:rFonts w:ascii="Times New Roman" w:hAnsi="Times New Roman"/>
          <w:noProof/>
          <w:lang w:val="lv-LV" w:eastAsia="lv-LV" w:bidi="lv-LV"/>
        </w:rPr>
        <w:t>āties no jau samērā zemā līmeņa, kas notika straujās nominālās ekonomikas izaugsmes, mazāka nominālā deficīta un zlota vērtības pieauguma rezultātā. Banku sektora riski joprojām ir ierobežoti. Saglabājās spēcīgi darba tirgus rādītāji, kā rezultātā bezdarbs</w:t>
      </w:r>
      <w:r>
        <w:rPr>
          <w:rFonts w:ascii="Times New Roman" w:hAnsi="Times New Roman"/>
          <w:noProof/>
          <w:lang w:val="lv-LV" w:eastAsia="lv-LV" w:bidi="lv-LV"/>
        </w:rPr>
        <w:t xml:space="preserve"> samazinājās līdz ļoti zemam līmenim.</w:t>
      </w:r>
    </w:p>
    <w:p w:rsidR="003D03E9" w:rsidRDefault="00F77AE9">
      <w:pPr>
        <w:spacing w:after="160" w:line="259" w:lineRule="auto"/>
        <w:jc w:val="both"/>
        <w:rPr>
          <w:rFonts w:ascii="Times New Roman" w:eastAsia="Calibri" w:hAnsi="Times New Roman" w:cs="Times New Roman"/>
          <w:i/>
          <w:noProof/>
          <w:lang w:val="lv-LV" w:eastAsia="lv-LV" w:bidi="lv-LV"/>
        </w:rPr>
      </w:pPr>
      <w:r>
        <w:rPr>
          <w:rFonts w:ascii="Times New Roman" w:hAnsi="Times New Roman"/>
          <w:i/>
          <w:noProof/>
          <w:lang w:val="lv-LV" w:eastAsia="lv-LV" w:bidi="lv-LV"/>
        </w:rPr>
        <w:t>Kopumā rādītāju ekonomiskā interpretācija izgaismo problēmas, kas attiecas uz neto starptautisko ieguldījumu pozīciju, taču riski ir ierobežoti. Tāpēc Komisija šajā posmā neuzskata par vajadzīgu veikt padziļinātu analī</w:t>
      </w:r>
      <w:r>
        <w:rPr>
          <w:rFonts w:ascii="Times New Roman" w:hAnsi="Times New Roman"/>
          <w:i/>
          <w:noProof/>
          <w:lang w:val="lv-LV" w:eastAsia="lv-LV" w:bidi="lv-LV"/>
        </w:rPr>
        <w:t xml:space="preserve">zi saistībā ar MNNP. </w:t>
      </w:r>
    </w:p>
    <w:p w:rsidR="003D03E9" w:rsidRDefault="00F77AE9">
      <w:pPr>
        <w:spacing w:after="160" w:line="259" w:lineRule="auto"/>
        <w:jc w:val="both"/>
        <w:rPr>
          <w:rFonts w:ascii="Times New Roman" w:eastAsia="Calibri" w:hAnsi="Times New Roman" w:cs="Times New Roman"/>
          <w:i/>
          <w:noProof/>
          <w:lang w:val="lv-LV" w:eastAsia="lv-LV" w:bidi="lv-LV"/>
        </w:rPr>
      </w:pPr>
      <w:r>
        <w:rPr>
          <w:noProof/>
          <w:lang w:eastAsia="en-GB"/>
        </w:rPr>
        <w:drawing>
          <wp:anchor distT="0" distB="0" distL="114300" distR="114300" simplePos="0" relativeHeight="251651584" behindDoc="0" locked="0" layoutInCell="1" allowOverlap="1">
            <wp:simplePos x="0" y="0"/>
            <wp:positionH relativeFrom="column">
              <wp:posOffset>2559685</wp:posOffset>
            </wp:positionH>
            <wp:positionV relativeFrom="paragraph">
              <wp:posOffset>276860</wp:posOffset>
            </wp:positionV>
            <wp:extent cx="3204210" cy="2984500"/>
            <wp:effectExtent l="0" t="0" r="0" b="0"/>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04210" cy="298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03E9" w:rsidRDefault="00F77AE9">
      <w:pPr>
        <w:spacing w:after="160" w:line="259" w:lineRule="auto"/>
        <w:jc w:val="both"/>
        <w:rPr>
          <w:rFonts w:ascii="Times New Roman" w:eastAsia="Calibri" w:hAnsi="Times New Roman" w:cs="Times New Roman"/>
          <w:b/>
          <w:noProof/>
          <w:lang w:val="lv-LV" w:eastAsia="lv-LV" w:bidi="lv-LV"/>
        </w:rPr>
      </w:pPr>
      <w:r>
        <w:rPr>
          <w:rFonts w:ascii="Times New Roman" w:hAnsi="Times New Roman"/>
          <w:b/>
          <w:noProof/>
          <w:lang w:val="lv-LV" w:eastAsia="lv-LV" w:bidi="lv-LV"/>
        </w:rPr>
        <w:t xml:space="preserve">Portugāle. </w:t>
      </w:r>
      <w:r>
        <w:rPr>
          <w:rFonts w:ascii="Times New Roman" w:hAnsi="Times New Roman"/>
          <w:noProof/>
          <w:lang w:val="lv-LV" w:eastAsia="lv-LV" w:bidi="lv-LV"/>
        </w:rPr>
        <w:t xml:space="preserve">Komisija 2018. gada martā secināja, ka Portugālē ir </w:t>
      </w:r>
      <w:r>
        <w:rPr>
          <w:rFonts w:ascii="Times New Roman" w:hAnsi="Times New Roman"/>
          <w:i/>
          <w:noProof/>
          <w:lang w:val="lv-LV" w:eastAsia="lv-LV" w:bidi="lv-LV"/>
        </w:rPr>
        <w:t>makroekonomikas nelīdzsvarotība</w:t>
      </w:r>
      <w:r>
        <w:rPr>
          <w:rFonts w:ascii="Times New Roman" w:hAnsi="Times New Roman"/>
          <w:noProof/>
          <w:lang w:val="lv-LV" w:eastAsia="lv-LV" w:bidi="lv-LV"/>
        </w:rPr>
        <w:t>, jo īpaši saistībā ar neto ārējo saistību lielo uzkrājumu, privātā un publiskā sektora parādu un ieņēmumus nenesošu aizdevumu lielo īpats</w:t>
      </w:r>
      <w:r>
        <w:rPr>
          <w:rFonts w:ascii="Times New Roman" w:hAnsi="Times New Roman"/>
          <w:noProof/>
          <w:lang w:val="lv-LV" w:eastAsia="lv-LV" w:bidi="lv-LV"/>
        </w:rPr>
        <w:t xml:space="preserve">varu zema ražīguma pieauguma apstākļos. Atjauninātajā rādītāju kopsavilkumā vairāki rādītāji pārsniedz indikatīvo robežvērtību, proti, neto starptautisko ieguldījumu pozīcija, valdības parāds, privātā sektora parāds, bezdarba līmenis un mājokļu reālo cenu </w:t>
      </w:r>
      <w:r>
        <w:rPr>
          <w:rFonts w:ascii="Times New Roman" w:hAnsi="Times New Roman"/>
          <w:noProof/>
          <w:lang w:val="lv-LV" w:eastAsia="lv-LV" w:bidi="lv-LV"/>
        </w:rPr>
        <w:t>pieaugums.</w:t>
      </w:r>
    </w:p>
    <w:p w:rsidR="003D03E9" w:rsidRDefault="00F77AE9">
      <w:pPr>
        <w:spacing w:after="160" w:line="259" w:lineRule="auto"/>
        <w:jc w:val="both"/>
        <w:rPr>
          <w:rFonts w:ascii="Times New Roman" w:eastAsia="Calibri" w:hAnsi="Times New Roman" w:cs="Times New Roman"/>
          <w:noProof/>
          <w:lang w:val="lv-LV" w:eastAsia="lv-LV" w:bidi="lv-LV"/>
        </w:rPr>
      </w:pPr>
      <w:r>
        <w:rPr>
          <w:rFonts w:ascii="Times New Roman" w:hAnsi="Times New Roman"/>
          <w:noProof/>
          <w:lang w:val="lv-LV" w:eastAsia="lv-LV" w:bidi="lv-LV"/>
        </w:rPr>
        <w:t>Tekošā konta pozīcija ir stabila un uzrāda nelielu pārpalikumu, savukārt neto starptautiskā ieguldījumu pozīcija joprojām ir ļoti negatīva, un tiek prognozēts, ka korekcijas temps saglabāsies ļoti lēns. Cenu konkurētspēja 2017. gadā nedaudz saru</w:t>
      </w:r>
      <w:r>
        <w:rPr>
          <w:rFonts w:ascii="Times New Roman" w:hAnsi="Times New Roman"/>
          <w:noProof/>
          <w:lang w:val="lv-LV" w:eastAsia="lv-LV" w:bidi="lv-LV"/>
        </w:rPr>
        <w:t>ka, jo reālais efektīvais valūtas kurss nedaudz palielinājās. Nominālo vienības darbaspēka izmaksu pieaugums nedaudz palielinājās, bet darba ražīguma pieaugums 2017. gadā bija negatīvs. Tomēr šīs norises kopumā atbilst tirdzniecības partneru rādītājiem, un</w:t>
      </w:r>
      <w:r>
        <w:rPr>
          <w:rFonts w:ascii="Times New Roman" w:hAnsi="Times New Roman"/>
          <w:noProof/>
          <w:lang w:val="lv-LV" w:eastAsia="lv-LV" w:bidi="lv-LV"/>
        </w:rPr>
        <w:t xml:space="preserve"> eksporta tirgus daļas palielinājās. Privātā sektora parāda īpatsvara samazināšanās turpinās, un kredītu pieaugums joprojām ir vājš. Valdības parāds joprojām ir ļoti liels, taču tiek prognozēts, ka tas pastāvīgi samazināsies. Bankas ir ievērojami pastiprin</w:t>
      </w:r>
      <w:r>
        <w:rPr>
          <w:rFonts w:ascii="Times New Roman" w:hAnsi="Times New Roman"/>
          <w:noProof/>
          <w:lang w:val="lv-LV" w:eastAsia="lv-LV" w:bidi="lv-LV"/>
        </w:rPr>
        <w:t>ājušas savas bilances un neto ienākumus, taču joprojām pastāv neaizsargātības faktori, jo ieņēmumus nenesošu aizdevumu krājumi joprojām ir lieli, neraugoties uz to, ka tie nesen samazinājās. Mājokļu cenas turpina spēcīgi pieaugt, taču tas notiek iepriekš p</w:t>
      </w:r>
      <w:r>
        <w:rPr>
          <w:rFonts w:ascii="Times New Roman" w:hAnsi="Times New Roman"/>
          <w:noProof/>
          <w:lang w:val="lv-LV" w:eastAsia="lv-LV" w:bidi="lv-LV"/>
        </w:rPr>
        <w:t xml:space="preserve">ārāk zemā novērtējuma un kopumā stabila hipotekāro aizdevumu apjoma apstākļos. Gūstot labumu no pozitīvā ekonomikas cikla, darba tirgū pēdējos gados ir panākts plašs uzlabojums, un bezdarba līmenis ir ievērojami samazinājies. </w:t>
      </w:r>
    </w:p>
    <w:p w:rsidR="003D03E9" w:rsidRDefault="00F77AE9">
      <w:pPr>
        <w:spacing w:after="160" w:line="259" w:lineRule="auto"/>
        <w:jc w:val="both"/>
        <w:rPr>
          <w:rFonts w:ascii="Times New Roman" w:eastAsia="Calibri" w:hAnsi="Times New Roman" w:cs="Times New Roman"/>
          <w:i/>
          <w:noProof/>
          <w:lang w:val="lv-LV" w:eastAsia="lv-LV" w:bidi="lv-LV"/>
        </w:rPr>
      </w:pPr>
      <w:r>
        <w:rPr>
          <w:rFonts w:ascii="Times New Roman" w:hAnsi="Times New Roman"/>
          <w:i/>
          <w:noProof/>
          <w:lang w:val="lv-LV" w:eastAsia="lv-LV" w:bidi="lv-LV"/>
        </w:rPr>
        <w:t>Kopumā rādītāju ekonomiskā in</w:t>
      </w:r>
      <w:r>
        <w:rPr>
          <w:rFonts w:ascii="Times New Roman" w:hAnsi="Times New Roman"/>
          <w:i/>
          <w:noProof/>
          <w:lang w:val="lv-LV" w:eastAsia="lv-LV" w:bidi="lv-LV"/>
        </w:rPr>
        <w:t>terpretācija izgaismo problēmas, kas attiecas uz nelīdzsvarotību uzkrājumu mainīgajos lielumos; problēmas jo īpaši rada neto ārējās saistības, publiskā un privātā sektora parāds, banku sektora neaizsargātības faktori un vājš ražīguma pieaugums. Tāpēc Komis</w:t>
      </w:r>
      <w:r>
        <w:rPr>
          <w:rFonts w:ascii="Times New Roman" w:hAnsi="Times New Roman"/>
          <w:i/>
          <w:noProof/>
          <w:lang w:val="lv-LV" w:eastAsia="lv-LV" w:bidi="lv-LV"/>
        </w:rPr>
        <w:t>ija, ņemot vērā arī 2018. gada martā konstatēto nelīdzsvarotību, atzīst par lietderīgu turpināt analizēt nelīdzsvarotības saglabāšanos vai tās novēršanu.</w:t>
      </w:r>
    </w:p>
    <w:p w:rsidR="003D03E9" w:rsidRDefault="003D03E9">
      <w:pPr>
        <w:spacing w:after="160" w:line="259" w:lineRule="auto"/>
        <w:jc w:val="both"/>
        <w:rPr>
          <w:rFonts w:ascii="Times New Roman" w:eastAsia="Calibri" w:hAnsi="Times New Roman" w:cs="Times New Roman"/>
          <w:i/>
          <w:noProof/>
          <w:lang w:val="lv-LV" w:eastAsia="lv-LV" w:bidi="lv-LV"/>
        </w:rPr>
      </w:pPr>
    </w:p>
    <w:p w:rsidR="003D03E9" w:rsidRDefault="00F77AE9">
      <w:pPr>
        <w:spacing w:after="160" w:line="259" w:lineRule="auto"/>
        <w:jc w:val="both"/>
        <w:rPr>
          <w:noProof/>
          <w:lang w:val="lv-LV" w:eastAsia="lv-LV" w:bidi="lv-LV"/>
        </w:rPr>
      </w:pPr>
      <w:r>
        <w:rPr>
          <w:rFonts w:ascii="Times New Roman" w:hAnsi="Times New Roman"/>
          <w:b/>
          <w:noProof/>
          <w:lang w:val="lv-LV" w:eastAsia="lv-LV" w:bidi="lv-LV"/>
        </w:rPr>
        <w:t>Rumānija.</w:t>
      </w:r>
      <w:r>
        <w:rPr>
          <w:rFonts w:ascii="Times New Roman" w:hAnsi="Times New Roman"/>
          <w:noProof/>
          <w:lang w:val="lv-LV" w:eastAsia="lv-LV" w:bidi="lv-LV"/>
        </w:rPr>
        <w:t xml:space="preserve"> Iepriekšējā MNNP kārtā Rumānijā </w:t>
      </w:r>
      <w:r>
        <w:rPr>
          <w:rFonts w:ascii="Times New Roman" w:hAnsi="Times New Roman"/>
          <w:i/>
          <w:noProof/>
          <w:lang w:val="lv-LV" w:eastAsia="lv-LV" w:bidi="lv-LV"/>
        </w:rPr>
        <w:t>netika konstatēta makroekonomikas nelīdzsvarotība</w:t>
      </w:r>
      <w:r>
        <w:rPr>
          <w:rFonts w:ascii="Times New Roman" w:hAnsi="Times New Roman"/>
          <w:noProof/>
          <w:lang w:val="lv-LV" w:eastAsia="lv-LV" w:bidi="lv-LV"/>
        </w:rPr>
        <w:t xml:space="preserve">. </w:t>
      </w:r>
      <w:r>
        <w:rPr>
          <w:rFonts w:ascii="Times New Roman" w:hAnsi="Times New Roman"/>
          <w:noProof/>
          <w:lang w:val="lv-LV" w:eastAsia="lv-LV" w:bidi="lv-LV"/>
        </w:rPr>
        <w:t>Atjauninātajā rādītāju kopsavilkumā viens rādītājs pārsniedz indikatīvo robežvērtību, proti, neto starptautisko ieguldījumu pozīcija.</w:t>
      </w:r>
      <w:r>
        <w:rPr>
          <w:rFonts w:ascii="Times New Roman" w:hAnsi="Times New Roman"/>
          <w:i/>
          <w:noProof/>
          <w:lang w:val="lv-LV" w:eastAsia="lv-LV" w:bidi="lv-LV"/>
        </w:rPr>
        <w:t xml:space="preserve"> </w:t>
      </w:r>
    </w:p>
    <w:p w:rsidR="003D03E9" w:rsidRDefault="00F77AE9">
      <w:pPr>
        <w:spacing w:after="160" w:line="259" w:lineRule="auto"/>
        <w:jc w:val="both"/>
        <w:rPr>
          <w:rFonts w:ascii="Times New Roman" w:eastAsia="Calibri" w:hAnsi="Times New Roman" w:cs="Times New Roman"/>
          <w:noProof/>
          <w:lang w:val="lv-LV" w:eastAsia="lv-LV" w:bidi="lv-LV"/>
        </w:rPr>
      </w:pPr>
      <w:r>
        <w:rPr>
          <w:noProof/>
          <w:lang w:eastAsia="en-GB"/>
        </w:rPr>
        <w:drawing>
          <wp:anchor distT="0" distB="0" distL="114300" distR="114300" simplePos="0" relativeHeight="251652608" behindDoc="0" locked="0" layoutInCell="1" allowOverlap="1">
            <wp:simplePos x="0" y="0"/>
            <wp:positionH relativeFrom="column">
              <wp:posOffset>2720340</wp:posOffset>
            </wp:positionH>
            <wp:positionV relativeFrom="paragraph">
              <wp:posOffset>59690</wp:posOffset>
            </wp:positionV>
            <wp:extent cx="3035935" cy="2911475"/>
            <wp:effectExtent l="0" t="0" r="0" b="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35935" cy="2911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lang w:val="lv-LV" w:eastAsia="lv-LV" w:bidi="lv-LV"/>
        </w:rPr>
        <w:t>Tekošā konta deficīts 2017. gadā turpināja pasliktināties, jo paātrinājās importa pieagums, galvenokārt patēriņa preču i</w:t>
      </w:r>
      <w:r>
        <w:rPr>
          <w:rFonts w:ascii="Times New Roman" w:hAnsi="Times New Roman"/>
          <w:noProof/>
          <w:lang w:val="lv-LV" w:eastAsia="lv-LV" w:bidi="lv-LV"/>
        </w:rPr>
        <w:t xml:space="preserve">mporta pieaugums. Neraugoties uz tekošā konta deficīta palielināšanos, negatīvā neto starptautisko ieguldījumu pozīcija, ko galvenokārt veido ārvalstu tiešie ieguldījumi, spēcīga nominālā IKP pieauguma rezultātā vēl vairāk uzlabojās. Eksporta rādītāji arī </w:t>
      </w:r>
      <w:r>
        <w:rPr>
          <w:rFonts w:ascii="Times New Roman" w:hAnsi="Times New Roman"/>
          <w:noProof/>
          <w:lang w:val="lv-LV" w:eastAsia="lv-LV" w:bidi="lv-LV"/>
        </w:rPr>
        <w:t>2017.gadā bija labi, un Rumānija turpināja palielināt eksporta tirgus daļas. Tomēr vienības darbaspēka izmaksas 2017. gadā ievērojami pieauga darba samaksas pieauguma rezultātā, jo īpaši publiskajā sektorā. Lai gan Rumānijas eksporta rādītāji līdz šim ir b</w:t>
      </w:r>
      <w:r>
        <w:rPr>
          <w:rFonts w:ascii="Times New Roman" w:hAnsi="Times New Roman"/>
          <w:noProof/>
          <w:lang w:val="lv-LV" w:eastAsia="lv-LV" w:bidi="lv-LV"/>
        </w:rPr>
        <w:t>ijuši spēcīgi, iepriekš gūtie pierādījumi liecina, ka darba samaksas pieaugums publiskajā sektorā, visticamāk, ietekmēs arī privāto sektoru, kas nākotnē varētu izraisīt izmaksu konkurētspējas samazinājumu. Mājokļu reālo cenu pieaugums 2017. gadā nedaudz sa</w:t>
      </w:r>
      <w:r>
        <w:rPr>
          <w:rFonts w:ascii="Times New Roman" w:hAnsi="Times New Roman"/>
          <w:noProof/>
          <w:lang w:val="lv-LV" w:eastAsia="lv-LV" w:bidi="lv-LV"/>
        </w:rPr>
        <w:t>mazinājās un joprojām ir mērens. Banku sektors joprojām ir labi kapitalizēts un likvīds. Kredītu pieaugums privātajā sektorā nedaudz palielinājās, taču joprojām ir pieticīgs. Bezdarba līmenis 2017. gadā turpināja samazināties, atspoguļojot pieprasījuma pie</w:t>
      </w:r>
      <w:r>
        <w:rPr>
          <w:rFonts w:ascii="Times New Roman" w:hAnsi="Times New Roman"/>
          <w:noProof/>
          <w:lang w:val="lv-LV" w:eastAsia="lv-LV" w:bidi="lv-LV"/>
        </w:rPr>
        <w:t>augumu darba tirgū, bet ekonomiski aktīvā darbaspēka līmenis nedaudz pieauga. Ņemot vērā spēcīgo nominālā IKP pieaugumu, gan privātā, gan publiskā sektora parāda attiecība pret IKP samazinājās, un abi rādītāji joprojām ir samērā zemi. Tomēr fiskālā nostāja</w:t>
      </w:r>
      <w:r>
        <w:rPr>
          <w:rFonts w:ascii="Times New Roman" w:hAnsi="Times New Roman"/>
          <w:noProof/>
          <w:lang w:val="lv-LV" w:eastAsia="lv-LV" w:bidi="lv-LV"/>
        </w:rPr>
        <w:t xml:space="preserve"> vidējā termiņā joprojām būs ekspansīva, neraugoties uz labvēlīgiem ekonomikas apstākļiem, un tai varētu būt negatīva ietekme uz publiskā sektora parādu un tekošā konta dinamiku. Gan tirdzniecības deficīta pasliktināšanās, gan vienības darbaspēka izmaksu p</w:t>
      </w:r>
      <w:r>
        <w:rPr>
          <w:rFonts w:ascii="Times New Roman" w:hAnsi="Times New Roman"/>
          <w:noProof/>
          <w:lang w:val="lv-LV" w:eastAsia="lv-LV" w:bidi="lv-LV"/>
        </w:rPr>
        <w:t>aātrinājums ir saistīts ar valdības pastāvīgi prociklisko fiskālo politiku, kas ir stimulējusi jau strauji augošo ekonomiku, atkārtoti samazinot nodokļus un palielinot darba samaksu publiskajā sektorā. Turklāt biežas un neprognozējamas izmaiņas tiesību akt</w:t>
      </w:r>
      <w:r>
        <w:rPr>
          <w:rFonts w:ascii="Times New Roman" w:hAnsi="Times New Roman"/>
          <w:noProof/>
          <w:lang w:val="lv-LV" w:eastAsia="lv-LV" w:bidi="lv-LV"/>
        </w:rPr>
        <w:t>os padara uzņēmējdarbības vidi nenoteiktāku, kas negatīvi ietekmē uzņēmējdarbības lēmumus un ieguldījumi, iespējams, ietekmējot valsts pievilcību ārvalstu investoriem.</w:t>
      </w:r>
    </w:p>
    <w:p w:rsidR="003D03E9" w:rsidRDefault="00F77AE9">
      <w:pPr>
        <w:spacing w:after="160" w:line="259" w:lineRule="auto"/>
        <w:jc w:val="both"/>
        <w:rPr>
          <w:rFonts w:ascii="Times New Roman" w:eastAsia="Calibri" w:hAnsi="Times New Roman" w:cs="Times New Roman"/>
          <w:i/>
          <w:noProof/>
          <w:lang w:val="lv-LV" w:eastAsia="lv-LV" w:bidi="lv-LV"/>
        </w:rPr>
      </w:pPr>
      <w:r>
        <w:rPr>
          <w:rFonts w:ascii="Times New Roman" w:hAnsi="Times New Roman"/>
          <w:i/>
          <w:noProof/>
          <w:lang w:val="lv-LV" w:eastAsia="lv-LV" w:bidi="lv-LV"/>
        </w:rPr>
        <w:t>Rādītāju ekonomiskā interpretācija liecina, ka neaizsargātības faktori ir palielinājušie</w:t>
      </w:r>
      <w:r>
        <w:rPr>
          <w:rFonts w:ascii="Times New Roman" w:hAnsi="Times New Roman"/>
          <w:i/>
          <w:noProof/>
          <w:lang w:val="lv-LV" w:eastAsia="lv-LV" w:bidi="lv-LV"/>
        </w:rPr>
        <w:t>s, jo īpaši attiecībā uz ārējo pozīciju un konkurētspēju. Kopumā Komisija uzskata, ka ir lietderīgi turpināt iesaistīto risku pētīšanu, izmantojot padziļinātu analīzi, nolūkā novērtēt, vai pastāv nelīdzsvarotība.</w:t>
      </w:r>
    </w:p>
    <w:p w:rsidR="003D03E9" w:rsidRDefault="003D03E9">
      <w:pPr>
        <w:rPr>
          <w:rFonts w:ascii="Times New Roman" w:eastAsia="Calibri" w:hAnsi="Times New Roman" w:cs="Times New Roman"/>
          <w:i/>
          <w:noProof/>
          <w:lang w:val="lv-LV" w:eastAsia="lv-LV" w:bidi="lv-LV"/>
        </w:rPr>
      </w:pPr>
    </w:p>
    <w:p w:rsidR="003D03E9" w:rsidRDefault="00F77AE9">
      <w:pPr>
        <w:autoSpaceDE w:val="0"/>
        <w:autoSpaceDN w:val="0"/>
        <w:adjustRightInd w:val="0"/>
        <w:spacing w:after="0"/>
        <w:jc w:val="both"/>
        <w:rPr>
          <w:rFonts w:ascii="Times New Roman" w:eastAsia="Times New Roman" w:hAnsi="Times New Roman" w:cs="Times New Roman"/>
          <w:noProof/>
          <w:color w:val="000000"/>
          <w:lang w:val="lv-LV" w:eastAsia="lv-LV" w:bidi="lv-LV"/>
        </w:rPr>
      </w:pPr>
      <w:r>
        <w:rPr>
          <w:noProof/>
          <w:lang w:eastAsia="en-GB"/>
        </w:rPr>
        <w:drawing>
          <wp:anchor distT="0" distB="0" distL="114300" distR="114300" simplePos="0" relativeHeight="251653632" behindDoc="0" locked="0" layoutInCell="1" allowOverlap="1">
            <wp:simplePos x="0" y="0"/>
            <wp:positionH relativeFrom="column">
              <wp:posOffset>2237740</wp:posOffset>
            </wp:positionH>
            <wp:positionV relativeFrom="paragraph">
              <wp:posOffset>-1270</wp:posOffset>
            </wp:positionV>
            <wp:extent cx="3526155" cy="2867660"/>
            <wp:effectExtent l="0" t="0" r="0" b="0"/>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526155" cy="28676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color w:val="000000"/>
          <w:lang w:val="lv-LV" w:eastAsia="lv-LV" w:bidi="lv-LV"/>
        </w:rPr>
        <w:t xml:space="preserve">Slovēnija. </w:t>
      </w:r>
      <w:r>
        <w:rPr>
          <w:rFonts w:ascii="Times New Roman" w:hAnsi="Times New Roman"/>
          <w:noProof/>
          <w:color w:val="000000"/>
          <w:lang w:val="lv-LV" w:eastAsia="lv-LV" w:bidi="lv-LV"/>
        </w:rPr>
        <w:t>Komisija 2018. gada martā kons</w:t>
      </w:r>
      <w:r>
        <w:rPr>
          <w:rFonts w:ascii="Times New Roman" w:hAnsi="Times New Roman"/>
          <w:noProof/>
          <w:color w:val="000000"/>
          <w:lang w:val="lv-LV" w:eastAsia="lv-LV" w:bidi="lv-LV"/>
        </w:rPr>
        <w:t xml:space="preserve">tatēja, ka Slovēnijā </w:t>
      </w:r>
      <w:r>
        <w:rPr>
          <w:rFonts w:ascii="Times New Roman" w:hAnsi="Times New Roman"/>
          <w:i/>
          <w:noProof/>
          <w:color w:val="000000"/>
          <w:lang w:val="lv-LV" w:eastAsia="lv-LV" w:bidi="lv-LV"/>
        </w:rPr>
        <w:t>vairs nav makroekonomikas nelīdzsvarotības</w:t>
      </w:r>
      <w:r>
        <w:rPr>
          <w:rFonts w:ascii="Times New Roman" w:hAnsi="Times New Roman"/>
          <w:noProof/>
          <w:color w:val="000000"/>
          <w:lang w:val="lv-LV" w:eastAsia="lv-LV" w:bidi="lv-LV"/>
        </w:rPr>
        <w:t xml:space="preserve">. Atjauninātajā rādītāju kopsavilkumā valdības parāds un mājokļu reālo cenu pieaugums pārsniedz indikatīvo robežvērtību. </w:t>
      </w:r>
    </w:p>
    <w:p w:rsidR="003D03E9" w:rsidRDefault="00F77AE9">
      <w:pPr>
        <w:autoSpaceDE w:val="0"/>
        <w:autoSpaceDN w:val="0"/>
        <w:adjustRightInd w:val="0"/>
        <w:spacing w:after="0" w:line="259" w:lineRule="auto"/>
        <w:jc w:val="both"/>
        <w:rPr>
          <w:rFonts w:ascii="Times New Roman" w:eastAsia="Calibri" w:hAnsi="Times New Roman" w:cs="Times New Roman"/>
          <w:noProof/>
          <w:lang w:val="lv-LV" w:eastAsia="lv-LV" w:bidi="lv-LV"/>
        </w:rPr>
      </w:pPr>
      <w:r>
        <w:rPr>
          <w:rFonts w:ascii="Times New Roman" w:hAnsi="Times New Roman"/>
          <w:noProof/>
          <w:lang w:val="lv-LV" w:eastAsia="lv-LV" w:bidi="lv-LV"/>
        </w:rPr>
        <w:t xml:space="preserve">Lielais tekošā konta pārpalikums 2017. gadā strauja eksporta pieauguma </w:t>
      </w:r>
      <w:r>
        <w:rPr>
          <w:rFonts w:ascii="Times New Roman" w:hAnsi="Times New Roman"/>
          <w:noProof/>
          <w:lang w:val="lv-LV" w:eastAsia="lv-LV" w:bidi="lv-LV"/>
        </w:rPr>
        <w:t>rezultātā turpināja palielināties. Negatīvā neto starptautisko ieguldījumu pozīcija ievērojami uzlabojās un vairs nepārsniedz robežvērtību. Eksporta tirgus daļas palielinājās, savukārt vienības darbaspēka izmaksu pieaugums bija ierobežots, un reālais efekt</w:t>
      </w:r>
      <w:r>
        <w:rPr>
          <w:rFonts w:ascii="Times New Roman" w:hAnsi="Times New Roman"/>
          <w:noProof/>
          <w:lang w:val="lv-LV" w:eastAsia="lv-LV" w:bidi="lv-LV"/>
        </w:rPr>
        <w:t>īvais valūtas kurss samazinājās. Privātā sektora parāds vēl vairāk samazinājās, ko veicināja uzņēmumu sektors, savukārt kredītplūsmas uz privāto sektoru ir kļuvušas pozitīvas. Ieguldījumi ir ievērojami uzlabojušies, taču joprojām ir zemāki par vēsturiskaji</w:t>
      </w:r>
      <w:r>
        <w:rPr>
          <w:rFonts w:ascii="Times New Roman" w:hAnsi="Times New Roman"/>
          <w:noProof/>
          <w:lang w:val="lv-LV" w:eastAsia="lv-LV" w:bidi="lv-LV"/>
        </w:rPr>
        <w:t>em vidējiem rādītājiem. Mājokļu cenu pieaugums palielinājās nedaudz straujāk nekā iepriekšējos gados, savukārt ieguldījumi dzīvojamajās ēkās ir stabili, un hipotekāro kredītu pieaugums bija ierobežots. Valdības parāds joprojām ir augsts, bet ir samazinājie</w:t>
      </w:r>
      <w:r>
        <w:rPr>
          <w:rFonts w:ascii="Times New Roman" w:hAnsi="Times New Roman"/>
          <w:noProof/>
          <w:lang w:val="lv-LV" w:eastAsia="lv-LV" w:bidi="lv-LV"/>
        </w:rPr>
        <w:t>s kopš 2015. gada, kad tas sasniedza maksimumu. Prognozētās novecošanas izmaksas turpina apdraudēt vidēja termiņa un ilgtermiņa fiskālo stabilitāti. Banku sektors ir nostabilizējies, tā aizņemto līdzekļu īpatsvars samazinās un joprojām samērā lielais ieņēm</w:t>
      </w:r>
      <w:r>
        <w:rPr>
          <w:rFonts w:ascii="Times New Roman" w:hAnsi="Times New Roman"/>
          <w:noProof/>
          <w:lang w:val="lv-LV" w:eastAsia="lv-LV" w:bidi="lv-LV"/>
        </w:rPr>
        <w:t>umus nenesošu aizdevumu īpatsvars turpina samazināties, un gaidāmi turpmāki samazinājumi. Situācija darba tirgū turpināja uzlaboties — ekonomiski aktīvā darbaspēka līmenis pieauga, un bezdarba līmenis samazinājās. Darba ražīguma pieaugums 2017. gadā arī ne</w:t>
      </w:r>
      <w:r>
        <w:rPr>
          <w:rFonts w:ascii="Times New Roman" w:hAnsi="Times New Roman"/>
          <w:noProof/>
          <w:lang w:val="lv-LV" w:eastAsia="lv-LV" w:bidi="lv-LV"/>
        </w:rPr>
        <w:t xml:space="preserve">daudz palielinājās. </w:t>
      </w:r>
    </w:p>
    <w:p w:rsidR="003D03E9" w:rsidRDefault="003D03E9">
      <w:pPr>
        <w:autoSpaceDE w:val="0"/>
        <w:autoSpaceDN w:val="0"/>
        <w:adjustRightInd w:val="0"/>
        <w:spacing w:after="0" w:line="259" w:lineRule="auto"/>
        <w:jc w:val="both"/>
        <w:rPr>
          <w:rFonts w:ascii="Times New Roman" w:eastAsia="Calibri" w:hAnsi="Times New Roman" w:cs="Times New Roman"/>
          <w:noProof/>
          <w:lang w:val="lv-LV" w:eastAsia="lv-LV" w:bidi="lv-LV"/>
        </w:rPr>
      </w:pPr>
    </w:p>
    <w:p w:rsidR="003D03E9" w:rsidRDefault="00F77AE9">
      <w:pPr>
        <w:autoSpaceDE w:val="0"/>
        <w:autoSpaceDN w:val="0"/>
        <w:adjustRightInd w:val="0"/>
        <w:spacing w:after="0" w:line="259" w:lineRule="auto"/>
        <w:jc w:val="both"/>
        <w:rPr>
          <w:rFonts w:ascii="Times New Roman" w:eastAsia="Calibri" w:hAnsi="Times New Roman" w:cs="Times New Roman"/>
          <w:i/>
          <w:noProof/>
          <w:lang w:val="lv-LV" w:eastAsia="lv-LV" w:bidi="lv-LV"/>
        </w:rPr>
      </w:pPr>
      <w:r>
        <w:rPr>
          <w:rFonts w:ascii="Times New Roman" w:hAnsi="Times New Roman"/>
          <w:i/>
          <w:noProof/>
          <w:lang w:val="lv-LV" w:eastAsia="lv-LV" w:bidi="lv-LV"/>
        </w:rPr>
        <w:t>Kopumā rādītāju ekonomiskā interpretācija izgaismo problēmas, kas attiecas galvenokārt uz ilgtermiņa fiskālo stabilitāti. Tāpēc Komisija šajā posmā neuzskata par vajadzīgu veikt papildu padziļinātu analīzi saistībā ar MNNP.</w:t>
      </w:r>
    </w:p>
    <w:p w:rsidR="003D03E9" w:rsidRDefault="00F77AE9">
      <w:pPr>
        <w:rPr>
          <w:rFonts w:ascii="Times New Roman" w:eastAsia="Calibri" w:hAnsi="Times New Roman" w:cs="Times New Roman"/>
          <w:noProof/>
          <w:lang w:val="lv-LV" w:eastAsia="lv-LV" w:bidi="lv-LV"/>
        </w:rPr>
      </w:pPr>
      <w:r>
        <w:rPr>
          <w:rFonts w:ascii="Times New Roman" w:eastAsia="Calibri" w:hAnsi="Times New Roman" w:cs="Times New Roman"/>
          <w:noProof/>
          <w:lang w:val="lv-LV" w:eastAsia="lv-LV" w:bidi="lv-LV"/>
        </w:rPr>
        <w:br w:type="page"/>
      </w:r>
    </w:p>
    <w:p w:rsidR="003D03E9" w:rsidRDefault="00F77AE9">
      <w:pPr>
        <w:spacing w:after="160" w:line="259" w:lineRule="auto"/>
        <w:jc w:val="both"/>
        <w:rPr>
          <w:rFonts w:ascii="Times New Roman" w:eastAsia="Calibri" w:hAnsi="Times New Roman" w:cs="Times New Roman"/>
          <w:noProof/>
          <w:lang w:val="lv-LV" w:eastAsia="lv-LV" w:bidi="lv-LV"/>
        </w:rPr>
      </w:pPr>
      <w:r>
        <w:rPr>
          <w:noProof/>
          <w:lang w:eastAsia="en-GB"/>
        </w:rPr>
        <w:drawing>
          <wp:anchor distT="0" distB="0" distL="114300" distR="114300" simplePos="0" relativeHeight="251654656" behindDoc="0" locked="0" layoutInCell="1" allowOverlap="1">
            <wp:simplePos x="0" y="0"/>
            <wp:positionH relativeFrom="column">
              <wp:posOffset>2925445</wp:posOffset>
            </wp:positionH>
            <wp:positionV relativeFrom="paragraph">
              <wp:posOffset>45085</wp:posOffset>
            </wp:positionV>
            <wp:extent cx="2918460" cy="2715260"/>
            <wp:effectExtent l="0" t="0" r="0" b="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rotWithShape="1">
                    <a:blip r:embed="rId64">
                      <a:extLst>
                        <a:ext uri="{28A0092B-C50C-407E-A947-70E740481C1C}">
                          <a14:useLocalDpi xmlns:a14="http://schemas.microsoft.com/office/drawing/2010/main" val="0"/>
                        </a:ext>
                      </a:extLst>
                    </a:blip>
                    <a:srcRect r="3397"/>
                    <a:stretch/>
                  </pic:blipFill>
                  <pic:spPr bwMode="auto">
                    <a:xfrm>
                      <a:off x="0" y="0"/>
                      <a:ext cx="2918460" cy="2715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b/>
          <w:noProof/>
          <w:lang w:val="lv-LV" w:eastAsia="lv-LV" w:bidi="lv-LV"/>
        </w:rPr>
        <w:t>Slovāki</w:t>
      </w:r>
      <w:r>
        <w:rPr>
          <w:rFonts w:ascii="Times New Roman" w:hAnsi="Times New Roman"/>
          <w:b/>
          <w:noProof/>
          <w:lang w:val="lv-LV" w:eastAsia="lv-LV" w:bidi="lv-LV"/>
        </w:rPr>
        <w:t>ja</w:t>
      </w:r>
      <w:r>
        <w:rPr>
          <w:noProof/>
          <w:lang w:val="lv-LV" w:eastAsia="lv-LV" w:bidi="lv-LV"/>
        </w:rPr>
        <w:t>.</w:t>
      </w:r>
      <w:r>
        <w:rPr>
          <w:rFonts w:ascii="Times New Roman" w:hAnsi="Times New Roman"/>
          <w:noProof/>
          <w:lang w:val="lv-LV" w:eastAsia="lv-LV" w:bidi="lv-LV"/>
        </w:rPr>
        <w:t xml:space="preserve"> Iepriekšējā MNNP kārtā Slovākijā </w:t>
      </w:r>
      <w:r>
        <w:rPr>
          <w:rFonts w:ascii="Times New Roman" w:hAnsi="Times New Roman"/>
          <w:i/>
          <w:noProof/>
          <w:lang w:val="lv-LV" w:eastAsia="lv-LV" w:bidi="lv-LV"/>
        </w:rPr>
        <w:t>netika konstatēta makroekonomikas nelīdzsvarotība</w:t>
      </w:r>
      <w:r>
        <w:rPr>
          <w:rFonts w:ascii="Times New Roman" w:hAnsi="Times New Roman"/>
          <w:noProof/>
          <w:lang w:val="lv-LV" w:eastAsia="lv-LV" w:bidi="lv-LV"/>
        </w:rPr>
        <w:t>. Atjauninātajā rādītāju kopsavilkumā neto starptautisko ieguldījumu pozīcija un kopējās finanšu sektora saistības pārsniedz indikatīvo robežvērtību.</w:t>
      </w:r>
      <w:r>
        <w:rPr>
          <w:noProof/>
          <w:lang w:val="lv-LV" w:eastAsia="lv-LV" w:bidi="lv-LV"/>
        </w:rPr>
        <w:t xml:space="preserve"> </w:t>
      </w:r>
    </w:p>
    <w:p w:rsidR="003D03E9" w:rsidRDefault="00F77AE9">
      <w:pPr>
        <w:spacing w:after="160" w:line="259" w:lineRule="auto"/>
        <w:jc w:val="both"/>
        <w:rPr>
          <w:rFonts w:ascii="Times New Roman" w:eastAsia="Calibri" w:hAnsi="Times New Roman" w:cs="Times New Roman"/>
          <w:noProof/>
          <w:lang w:val="lv-LV" w:eastAsia="lv-LV" w:bidi="lv-LV"/>
        </w:rPr>
      </w:pPr>
      <w:r>
        <w:rPr>
          <w:rFonts w:ascii="Times New Roman" w:hAnsi="Times New Roman"/>
          <w:noProof/>
          <w:lang w:val="lv-LV" w:eastAsia="lv-LV" w:bidi="lv-LV"/>
        </w:rPr>
        <w:t>Tekošā konta saldo deficīts 2017. gadā turpināja palielināties, bet kopumā saglabājas mērens. Neto starptautisko ieguldījumu pozīcija ir ievērojami negatīva, kaut arī pēdējā laikā ir vērojami nelieli uzlabojumi, bet riski ir ierobežoti, jo liela daļa ārval</w:t>
      </w:r>
      <w:r>
        <w:rPr>
          <w:rFonts w:ascii="Times New Roman" w:hAnsi="Times New Roman"/>
          <w:noProof/>
          <w:lang w:val="lv-LV" w:eastAsia="lv-LV" w:bidi="lv-LV"/>
        </w:rPr>
        <w:t>stu saistību attiecas uz ārvalstu tiešajiem ieguldījumiem, jo īpaši autobūves nozarē, kas paplašinās, un finanšu sektorā. Eksporta tirgus daļas un reālais efektīvais valūtas kurss kopumā ir bijis stabils. Nominālo vienības darbaspēka izmaksu pieaugums pali</w:t>
      </w:r>
      <w:r>
        <w:rPr>
          <w:rFonts w:ascii="Times New Roman" w:hAnsi="Times New Roman"/>
          <w:noProof/>
          <w:lang w:val="lv-LV" w:eastAsia="lv-LV" w:bidi="lv-LV"/>
        </w:rPr>
        <w:t>elinājās, ko lielā mērā noteica spēcīgais darba samaksas pieaugums saistībā ar pieprasījuma pieaugumu darba tirgū. Mājokļu cenu pieaugums 2017. gadā joprojām bija spēcīgs, bet salīdzinājumā ar 2016. gadu samazinājās līdz līmenim, kas ir nedaudz zem robežvē</w:t>
      </w:r>
      <w:r>
        <w:rPr>
          <w:rFonts w:ascii="Times New Roman" w:hAnsi="Times New Roman"/>
          <w:noProof/>
          <w:lang w:val="lv-LV" w:eastAsia="lv-LV" w:bidi="lv-LV"/>
        </w:rPr>
        <w:t>rtības. Privātā sektora kreditēšana nedaudz palēninājās, savukārt privātā sektora parāda attiecība pret IKP kopumā turpināja palielināties. Galvenokārt ārvalstnieku īpašumā esošā banku sektorā ir pietiekams kapitalizācijas līmenis. Gan kopējais, gan ilgsto</w:t>
      </w:r>
      <w:r>
        <w:rPr>
          <w:rFonts w:ascii="Times New Roman" w:hAnsi="Times New Roman"/>
          <w:noProof/>
          <w:lang w:val="lv-LV" w:eastAsia="lv-LV" w:bidi="lv-LV"/>
        </w:rPr>
        <w:t xml:space="preserve">šā bezdarba līmenis vēl vairāk samazinājās, un palielinājās ekonomiski aktīva darbaspēka līmenis. </w:t>
      </w:r>
    </w:p>
    <w:p w:rsidR="003D03E9" w:rsidRDefault="00F77AE9">
      <w:pPr>
        <w:spacing w:after="160" w:line="259" w:lineRule="auto"/>
        <w:jc w:val="both"/>
        <w:rPr>
          <w:rFonts w:ascii="Times New Roman" w:eastAsia="Calibri" w:hAnsi="Times New Roman" w:cs="Times New Roman"/>
          <w:i/>
          <w:noProof/>
          <w:lang w:val="lv-LV" w:eastAsia="lv-LV" w:bidi="lv-LV"/>
        </w:rPr>
      </w:pPr>
      <w:r>
        <w:rPr>
          <w:rFonts w:ascii="Times New Roman" w:hAnsi="Times New Roman"/>
          <w:i/>
          <w:noProof/>
          <w:lang w:val="lv-LV" w:eastAsia="lv-LV" w:bidi="lv-LV"/>
        </w:rPr>
        <w:t>Kopumā rādītāju ekonomiskā interpretācija izgaismo problēmas, kas attiecas uz ārējiem aspektiem, mājokļu tirgu un kredītu pieaugumu, bet riski, šķiet, pašlai</w:t>
      </w:r>
      <w:r>
        <w:rPr>
          <w:rFonts w:ascii="Times New Roman" w:hAnsi="Times New Roman"/>
          <w:i/>
          <w:noProof/>
          <w:lang w:val="lv-LV" w:eastAsia="lv-LV" w:bidi="lv-LV"/>
        </w:rPr>
        <w:t xml:space="preserve">k ir ierobežoti. Tāpēc Komisija šajā posmā neveiks papildu padziļinātu analīzi saistībā ar MNNP. </w:t>
      </w:r>
    </w:p>
    <w:p w:rsidR="003D03E9" w:rsidRDefault="003D03E9">
      <w:pPr>
        <w:spacing w:after="160" w:line="259" w:lineRule="auto"/>
        <w:jc w:val="both"/>
        <w:rPr>
          <w:rFonts w:ascii="Times New Roman" w:eastAsia="Calibri" w:hAnsi="Times New Roman" w:cs="Times New Roman"/>
          <w:b/>
          <w:noProof/>
          <w:lang w:val="lv-LV" w:eastAsia="lv-LV" w:bidi="lv-LV"/>
        </w:rPr>
      </w:pPr>
    </w:p>
    <w:p w:rsidR="003D03E9" w:rsidRDefault="00F77AE9">
      <w:pPr>
        <w:spacing w:after="160" w:line="259" w:lineRule="auto"/>
        <w:jc w:val="both"/>
        <w:rPr>
          <w:rFonts w:ascii="Times New Roman" w:eastAsia="Calibri" w:hAnsi="Times New Roman" w:cs="Times New Roman"/>
          <w:b/>
          <w:noProof/>
          <w:lang w:val="lv-LV" w:eastAsia="lv-LV" w:bidi="lv-LV"/>
        </w:rPr>
      </w:pPr>
      <w:r>
        <w:rPr>
          <w:noProof/>
          <w:lang w:eastAsia="en-GB"/>
        </w:rPr>
        <w:drawing>
          <wp:anchor distT="0" distB="0" distL="114300" distR="114300" simplePos="0" relativeHeight="251655680" behindDoc="0" locked="0" layoutInCell="1" allowOverlap="1">
            <wp:simplePos x="0" y="0"/>
            <wp:positionH relativeFrom="column">
              <wp:posOffset>3408680</wp:posOffset>
            </wp:positionH>
            <wp:positionV relativeFrom="paragraph">
              <wp:posOffset>53975</wp:posOffset>
            </wp:positionV>
            <wp:extent cx="2599055" cy="2999105"/>
            <wp:effectExtent l="0" t="0" r="0" b="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99055" cy="29991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lang w:val="lv-LV" w:eastAsia="lv-LV" w:bidi="lv-LV"/>
        </w:rPr>
        <w:t xml:space="preserve">Somija. </w:t>
      </w:r>
      <w:r>
        <w:rPr>
          <w:rFonts w:ascii="Times New Roman" w:hAnsi="Times New Roman"/>
          <w:noProof/>
          <w:lang w:val="lv-LV" w:eastAsia="lv-LV" w:bidi="lv-LV"/>
        </w:rPr>
        <w:t xml:space="preserve">Iepriekšējā MNNP kārtā Somijā </w:t>
      </w:r>
      <w:r>
        <w:rPr>
          <w:rFonts w:ascii="Times New Roman" w:hAnsi="Times New Roman"/>
          <w:i/>
          <w:noProof/>
          <w:lang w:val="lv-LV" w:eastAsia="lv-LV" w:bidi="lv-LV"/>
        </w:rPr>
        <w:t>netika konstatēta makroekonomikas nelīdzsvarotība</w:t>
      </w:r>
      <w:r>
        <w:rPr>
          <w:rFonts w:ascii="Times New Roman" w:hAnsi="Times New Roman"/>
          <w:noProof/>
          <w:lang w:val="lv-LV" w:eastAsia="lv-LV" w:bidi="lv-LV"/>
        </w:rPr>
        <w:t xml:space="preserve">. Atjauninātajā rādītāju kopsavilkumā vairāki rādītāji pārsniedz indikatīvo robežvērtību, proti, privātā sektora un valdības parāda līmenis. </w:t>
      </w:r>
    </w:p>
    <w:p w:rsidR="003D03E9" w:rsidRDefault="00F77AE9">
      <w:pPr>
        <w:spacing w:after="160" w:line="259" w:lineRule="auto"/>
        <w:jc w:val="both"/>
        <w:rPr>
          <w:rFonts w:ascii="Times New Roman" w:eastAsia="Calibri" w:hAnsi="Times New Roman" w:cs="Times New Roman"/>
          <w:noProof/>
          <w:lang w:val="lv-LV" w:eastAsia="lv-LV" w:bidi="lv-LV"/>
        </w:rPr>
      </w:pPr>
      <w:r>
        <w:rPr>
          <w:rFonts w:ascii="Times New Roman" w:hAnsi="Times New Roman"/>
          <w:noProof/>
          <w:lang w:val="lv-LV" w:eastAsia="lv-LV" w:bidi="lv-LV"/>
        </w:rPr>
        <w:t>Tekošā konta saldo 2017. gadā pēc vairākiem deficīta gadiem bija nedaudz negatīvs, bet neto starptautisko ieguldīj</w:t>
      </w:r>
      <w:r>
        <w:rPr>
          <w:rFonts w:ascii="Times New Roman" w:hAnsi="Times New Roman"/>
          <w:noProof/>
          <w:lang w:val="lv-LV" w:eastAsia="lv-LV" w:bidi="lv-LV"/>
        </w:rPr>
        <w:t>umu pozīcija ir nedaudz pozitīva. Eksporta tirgus daļas atguvās jau otro gadu pēc kārtas, savukārt izmaksu konkurētspējas rādītāji uzlabojās, jo samazinājās vienības darbaspēka izmaksas un reālais efektīvais valūtas kurss. Paredzams, ka 2018. un 2019. gadā</w:t>
      </w:r>
      <w:r>
        <w:rPr>
          <w:rFonts w:ascii="Times New Roman" w:hAnsi="Times New Roman"/>
          <w:noProof/>
          <w:lang w:val="lv-LV" w:eastAsia="lv-LV" w:bidi="lv-LV"/>
        </w:rPr>
        <w:t xml:space="preserve"> eksporta pieaugums joprojām pārsniegs importa pieaugumu. Tomēr ir sagaidāms, ka izmaksu konkurētspējas rādītāji stabilizēsies, kad daļēji samazināsies Konkurētspējas pakta pozitīvā ietekme. Gan publiskā, gan privātā sektora parāda attiecība pret IKP 2017.</w:t>
      </w:r>
      <w:r>
        <w:rPr>
          <w:rFonts w:ascii="Times New Roman" w:hAnsi="Times New Roman"/>
          <w:noProof/>
          <w:lang w:val="lv-LV" w:eastAsia="lv-LV" w:bidi="lv-LV"/>
        </w:rPr>
        <w:t xml:space="preserve"> gadā samazinājās vēl vairāk, atspoguļojot spēcīgo izlaides atgūšanos. </w:t>
      </w:r>
      <w:r>
        <w:rPr>
          <w:rFonts w:ascii="Times New Roman" w:hAnsi="Times New Roman"/>
          <w:noProof/>
          <w:lang w:val="lv-LV" w:eastAsia="lv-LV" w:bidi="lv-LV"/>
        </w:rPr>
        <w:br/>
        <w:t>Tomēr labvēlīgie kreditēšanas nosacījumi, zemās procentu likmes un labākas ekonomikas perspektīvas ir paātrinājušas privāto kredītu pieaugumu, kas var ierobežot aizņemto līdzekļu īpats</w:t>
      </w:r>
      <w:r>
        <w:rPr>
          <w:rFonts w:ascii="Times New Roman" w:hAnsi="Times New Roman"/>
          <w:noProof/>
          <w:lang w:val="lv-LV" w:eastAsia="lv-LV" w:bidi="lv-LV"/>
        </w:rPr>
        <w:t>vara samazināšanas procesu, bet privātā sektora parāds joprojām ir liels. Mājsaimniecību parāds ir liels, bet mājsaimniecību ietaupījumi ir vēsturiski zemā līmenī. Finanšu sektors joprojām ir labi kapitalizēts, tādējādi ierobežojot finanšu stabilitātes ris</w:t>
      </w:r>
      <w:r>
        <w:rPr>
          <w:rFonts w:ascii="Times New Roman" w:hAnsi="Times New Roman"/>
          <w:noProof/>
          <w:lang w:val="lv-LV" w:eastAsia="lv-LV" w:bidi="lv-LV"/>
        </w:rPr>
        <w:t>kus, un samērā stabilas mājokļu reālās cenas liecina par ierobežotiem riskiem mājsaimniecību sektora parādam. Publiskā sektora parāda attiecība samazinās, un tas atspoguļo uzlaboto ekonomikas izaugsmes vidi. Lielākas ekonomiskās aktivitātes rezultātā nodar</w:t>
      </w:r>
      <w:r>
        <w:rPr>
          <w:rFonts w:ascii="Times New Roman" w:hAnsi="Times New Roman"/>
          <w:noProof/>
          <w:lang w:val="lv-LV" w:eastAsia="lv-LV" w:bidi="lv-LV"/>
        </w:rPr>
        <w:t xml:space="preserve">binātības līmenis turpina pieaugt, bet bezdarbs — samazināties. </w:t>
      </w:r>
    </w:p>
    <w:p w:rsidR="003D03E9" w:rsidRDefault="00F77AE9">
      <w:pPr>
        <w:spacing w:after="160" w:line="259" w:lineRule="auto"/>
        <w:jc w:val="both"/>
        <w:rPr>
          <w:rFonts w:ascii="Times New Roman" w:eastAsia="Calibri" w:hAnsi="Times New Roman" w:cs="Times New Roman"/>
          <w:i/>
          <w:noProof/>
          <w:lang w:val="lv-LV" w:eastAsia="lv-LV" w:bidi="lv-LV"/>
        </w:rPr>
      </w:pPr>
      <w:r>
        <w:rPr>
          <w:rFonts w:ascii="Times New Roman" w:hAnsi="Times New Roman"/>
          <w:i/>
          <w:noProof/>
          <w:lang w:val="lv-LV" w:eastAsia="lv-LV" w:bidi="lv-LV"/>
        </w:rPr>
        <w:t xml:space="preserve">Kopumā rādītāju ekonomiskā interpretācija izgaismo problēmas, kas attiecas uz privātā sektora parādu, taču riski ir ierobežoti. Tāpēc kopumā Komisija šajā posmā neuzskata par vajadzīgu veikt </w:t>
      </w:r>
      <w:r>
        <w:rPr>
          <w:rFonts w:ascii="Times New Roman" w:hAnsi="Times New Roman"/>
          <w:i/>
          <w:noProof/>
          <w:lang w:val="lv-LV" w:eastAsia="lv-LV" w:bidi="lv-LV"/>
        </w:rPr>
        <w:t xml:space="preserve">papildu padziļinātu analīzi saistībā ar MNNP. </w:t>
      </w:r>
    </w:p>
    <w:p w:rsidR="003D03E9" w:rsidRDefault="003D03E9">
      <w:pPr>
        <w:spacing w:after="160" w:line="259" w:lineRule="auto"/>
        <w:jc w:val="both"/>
        <w:rPr>
          <w:rFonts w:ascii="Times New Roman" w:eastAsia="Calibri" w:hAnsi="Times New Roman" w:cs="Times New Roman"/>
          <w:i/>
          <w:noProof/>
          <w:lang w:val="lv-LV" w:eastAsia="lv-LV" w:bidi="lv-LV"/>
        </w:rPr>
      </w:pPr>
    </w:p>
    <w:p w:rsidR="003D03E9" w:rsidRDefault="00F77AE9">
      <w:pPr>
        <w:spacing w:before="120" w:after="160" w:line="259" w:lineRule="auto"/>
        <w:jc w:val="both"/>
        <w:rPr>
          <w:rFonts w:ascii="Times New Roman" w:eastAsia="Calibri" w:hAnsi="Times New Roman" w:cs="Times New Roman"/>
          <w:noProof/>
          <w:lang w:val="lv-LV" w:eastAsia="lv-LV" w:bidi="lv-LV"/>
        </w:rPr>
      </w:pPr>
      <w:r>
        <w:rPr>
          <w:noProof/>
          <w:lang w:eastAsia="en-GB"/>
        </w:rPr>
        <w:drawing>
          <wp:anchor distT="0" distB="0" distL="114300" distR="114300" simplePos="0" relativeHeight="251656704" behindDoc="0" locked="0" layoutInCell="1" allowOverlap="1">
            <wp:simplePos x="0" y="0"/>
            <wp:positionH relativeFrom="column">
              <wp:posOffset>2668905</wp:posOffset>
            </wp:positionH>
            <wp:positionV relativeFrom="paragraph">
              <wp:posOffset>0</wp:posOffset>
            </wp:positionV>
            <wp:extent cx="3101340" cy="2867660"/>
            <wp:effectExtent l="0" t="0" r="3810" b="0"/>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01340" cy="28676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lang w:val="lv-LV" w:eastAsia="lv-LV" w:bidi="lv-LV"/>
        </w:rPr>
        <w:t>Zviedrija.</w:t>
      </w:r>
      <w:r>
        <w:rPr>
          <w:rFonts w:ascii="Times New Roman" w:hAnsi="Times New Roman"/>
          <w:noProof/>
          <w:lang w:val="lv-LV" w:eastAsia="lv-LV" w:bidi="lv-LV"/>
        </w:rPr>
        <w:t xml:space="preserve"> Komisija 2018. gada martā secināja, ka Zviedrijā ir </w:t>
      </w:r>
      <w:r>
        <w:rPr>
          <w:rFonts w:ascii="Times New Roman" w:hAnsi="Times New Roman"/>
          <w:i/>
          <w:noProof/>
          <w:lang w:val="lv-LV" w:eastAsia="lv-LV" w:bidi="lv-LV"/>
        </w:rPr>
        <w:t>nelīdzsvarotība</w:t>
      </w:r>
      <w:r>
        <w:rPr>
          <w:rFonts w:ascii="Times New Roman" w:hAnsi="Times New Roman"/>
          <w:noProof/>
          <w:lang w:val="lv-LV" w:eastAsia="lv-LV" w:bidi="lv-LV"/>
        </w:rPr>
        <w:t>, jo īpaši saistībā ar pārāk augstu novērtētām mājokļu cenām apvienojumā ar mājsaimniecību parāda pastāvīgu pieaugumu. Atjaunināt</w:t>
      </w:r>
      <w:r>
        <w:rPr>
          <w:rFonts w:ascii="Times New Roman" w:hAnsi="Times New Roman"/>
          <w:noProof/>
          <w:lang w:val="lv-LV" w:eastAsia="lv-LV" w:bidi="lv-LV"/>
        </w:rPr>
        <w:t xml:space="preserve">ajā rādītāju kopsavilkumā privātā sektora parāds pārsniedz indikatīvo robežvērtību. </w:t>
      </w:r>
    </w:p>
    <w:p w:rsidR="003D03E9" w:rsidRDefault="00F77AE9">
      <w:pPr>
        <w:spacing w:before="120" w:after="160" w:line="259" w:lineRule="auto"/>
        <w:jc w:val="both"/>
        <w:rPr>
          <w:rFonts w:ascii="Times New Roman" w:eastAsia="Calibri" w:hAnsi="Times New Roman" w:cs="Times New Roman"/>
          <w:noProof/>
          <w:lang w:val="lv-LV" w:eastAsia="lv-LV" w:bidi="lv-LV"/>
        </w:rPr>
      </w:pPr>
      <w:r>
        <w:rPr>
          <w:rFonts w:ascii="Times New Roman" w:hAnsi="Times New Roman"/>
          <w:noProof/>
          <w:lang w:val="lv-LV" w:eastAsia="lv-LV" w:bidi="lv-LV"/>
        </w:rPr>
        <w:t>Tekošā konta pārpalikums 2017. gadā saglabājās mērens un samazinājās. Neto starptautisko ieguldījumu pozīcija ir nedaudz samazinājusies, un tagad tā ir tuvu līdzsvaram. Ek</w:t>
      </w:r>
      <w:r>
        <w:rPr>
          <w:rFonts w:ascii="Times New Roman" w:hAnsi="Times New Roman"/>
          <w:noProof/>
          <w:lang w:val="lv-LV" w:eastAsia="lv-LV" w:bidi="lv-LV"/>
        </w:rPr>
        <w:t>sporta tirgus daļu samazināšanās ir palēninājusies, un šis rādītājs tagad ir nedaudz zem robežvērtības. Vienības darbaspēka izmaksu pieaugums ir ierobežots, un reālais efektīvais valūtas kurss samazinājās. Mājsaimniecību parāds ir liels, un kopš 2008. gada</w:t>
      </w:r>
      <w:r>
        <w:rPr>
          <w:rFonts w:ascii="Times New Roman" w:hAnsi="Times New Roman"/>
          <w:noProof/>
          <w:lang w:val="lv-LV" w:eastAsia="lv-LV" w:bidi="lv-LV"/>
        </w:rPr>
        <w:t xml:space="preserve"> tas ir nepārtraukti palielinājies, tostarp 2017. gadā.</w:t>
      </w:r>
      <w:r>
        <w:rPr>
          <w:rFonts w:ascii="Times New Roman" w:hAnsi="Times New Roman"/>
          <w:noProof/>
          <w:color w:val="000000"/>
          <w:lang w:val="lv-LV" w:eastAsia="lv-LV" w:bidi="lv-LV"/>
        </w:rPr>
        <w:t xml:space="preserve"> Šis palielinājums ir saistīts ar mājokļu cenu pieaugumu, un tas apdraud makroekonomikas stabilitāti. 2017. gada rudenī mājokļu cenas nedaudz samazinājās, bet kopumā saglabājās ļoti augstas. Mājokļu ce</w:t>
      </w:r>
      <w:r>
        <w:rPr>
          <w:rFonts w:ascii="Times New Roman" w:hAnsi="Times New Roman"/>
          <w:noProof/>
          <w:color w:val="000000"/>
          <w:lang w:val="lv-LV" w:eastAsia="lv-LV" w:bidi="lv-LV"/>
        </w:rPr>
        <w:t>nas un mājsaimniecību parādsaistības palielināja mājokļa īpašumam labvēlīgs nodokļu režīms, zemas hipotekārā kredīta procentu likmes un hipotekāro kredītu tirgus īpašās iezīmes. Šķiet, ka riski banku sistēmā ir ierobežoti, jo aktīvu kvalitāte un rentabilit</w:t>
      </w:r>
      <w:r>
        <w:rPr>
          <w:rFonts w:ascii="Times New Roman" w:hAnsi="Times New Roman"/>
          <w:noProof/>
          <w:color w:val="000000"/>
          <w:lang w:val="lv-LV" w:eastAsia="lv-LV" w:bidi="lv-LV"/>
        </w:rPr>
        <w:t>āte joprojām ir augsta un mājsaimniecību finanses kopumā ir stipras. Pieaug pieprasījums darba tirgū, un bezdarbs turpina samazināties.</w:t>
      </w:r>
      <w:r>
        <w:rPr>
          <w:noProof/>
          <w:lang w:val="lv-LV" w:eastAsia="lv-LV" w:bidi="lv-LV"/>
        </w:rPr>
        <w:t xml:space="preserve"> </w:t>
      </w:r>
    </w:p>
    <w:p w:rsidR="003D03E9" w:rsidRDefault="00F77AE9">
      <w:pPr>
        <w:spacing w:before="120" w:after="160" w:line="259" w:lineRule="auto"/>
        <w:jc w:val="both"/>
        <w:rPr>
          <w:rFonts w:ascii="Times New Roman" w:eastAsia="Calibri" w:hAnsi="Times New Roman" w:cs="Times New Roman"/>
          <w:i/>
          <w:noProof/>
          <w:lang w:val="lv-LV" w:eastAsia="lv-LV" w:bidi="lv-LV"/>
        </w:rPr>
      </w:pPr>
      <w:r>
        <w:rPr>
          <w:rFonts w:ascii="Times New Roman" w:hAnsi="Times New Roman"/>
          <w:i/>
          <w:noProof/>
          <w:lang w:val="lv-LV" w:eastAsia="lv-LV" w:bidi="lv-LV"/>
        </w:rPr>
        <w:t>Kopumā rādītāju ekonomiskā interpretācija izgaismo problēmas, kas attiecas uz augstu privātā sektora parāda līmeni un m</w:t>
      </w:r>
      <w:r>
        <w:rPr>
          <w:rFonts w:ascii="Times New Roman" w:hAnsi="Times New Roman"/>
          <w:i/>
          <w:noProof/>
          <w:lang w:val="lv-LV" w:eastAsia="lv-LV" w:bidi="lv-LV"/>
        </w:rPr>
        <w:t>ājokļu sektoru. Tāpēc Komisija, ņemot vērā arī 2018. gada martā konstatēto nelīdzsvarotību, atzīst par lietderīgu turpināt analizēt nelīdzsvarotības saglabāšanos vai tās novēršanu.</w:t>
      </w:r>
    </w:p>
    <w:p w:rsidR="003D03E9" w:rsidRDefault="003D03E9">
      <w:pPr>
        <w:spacing w:before="120" w:after="160" w:line="259" w:lineRule="auto"/>
        <w:jc w:val="both"/>
        <w:rPr>
          <w:rFonts w:ascii="Times New Roman" w:eastAsia="Calibri" w:hAnsi="Times New Roman" w:cs="Times New Roman"/>
          <w:i/>
          <w:noProof/>
          <w:lang w:val="lv-LV" w:eastAsia="lv-LV" w:bidi="lv-LV"/>
        </w:rPr>
      </w:pPr>
    </w:p>
    <w:p w:rsidR="003D03E9" w:rsidRDefault="00F77AE9">
      <w:pPr>
        <w:spacing w:after="160" w:line="259" w:lineRule="auto"/>
        <w:jc w:val="both"/>
        <w:rPr>
          <w:rFonts w:ascii="Times New Roman" w:eastAsia="Calibri" w:hAnsi="Times New Roman" w:cs="Times New Roman"/>
          <w:noProof/>
          <w:lang w:val="lv-LV" w:eastAsia="lv-LV" w:bidi="lv-LV"/>
        </w:rPr>
      </w:pPr>
      <w:r>
        <w:rPr>
          <w:noProof/>
          <w:lang w:eastAsia="en-GB"/>
        </w:rPr>
        <w:drawing>
          <wp:anchor distT="0" distB="0" distL="114300" distR="114300" simplePos="0" relativeHeight="251657728" behindDoc="0" locked="0" layoutInCell="1" allowOverlap="1">
            <wp:simplePos x="0" y="0"/>
            <wp:positionH relativeFrom="column">
              <wp:posOffset>2647315</wp:posOffset>
            </wp:positionH>
            <wp:positionV relativeFrom="paragraph">
              <wp:posOffset>1270</wp:posOffset>
            </wp:positionV>
            <wp:extent cx="3123565" cy="2867660"/>
            <wp:effectExtent l="0" t="0" r="635" b="0"/>
            <wp:wrapSquare wrapText="bothSides"/>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23565" cy="28676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lang w:val="lv-LV" w:eastAsia="lv-LV" w:bidi="lv-LV"/>
        </w:rPr>
        <w:t>Apvienotā Karaliste</w:t>
      </w:r>
      <w:r>
        <w:rPr>
          <w:rFonts w:ascii="Times New Roman" w:hAnsi="Times New Roman"/>
          <w:noProof/>
          <w:lang w:val="lv-LV" w:eastAsia="lv-LV" w:bidi="lv-LV"/>
        </w:rPr>
        <w:t xml:space="preserve">. Iepriekšējā MNNP kārtā Apvienotajā Karalistē </w:t>
      </w:r>
      <w:r>
        <w:rPr>
          <w:rFonts w:ascii="Times New Roman" w:hAnsi="Times New Roman"/>
          <w:i/>
          <w:noProof/>
          <w:lang w:val="lv-LV" w:eastAsia="lv-LV" w:bidi="lv-LV"/>
        </w:rPr>
        <w:t xml:space="preserve">netika </w:t>
      </w:r>
      <w:r>
        <w:rPr>
          <w:rFonts w:ascii="Times New Roman" w:hAnsi="Times New Roman"/>
          <w:i/>
          <w:noProof/>
          <w:lang w:val="lv-LV" w:eastAsia="lv-LV" w:bidi="lv-LV"/>
        </w:rPr>
        <w:t>konstatēta makroekonomikas nelīdzsvarotība</w:t>
      </w:r>
      <w:r>
        <w:rPr>
          <w:rFonts w:ascii="Times New Roman" w:hAnsi="Times New Roman"/>
          <w:noProof/>
          <w:lang w:val="lv-LV" w:eastAsia="lv-LV" w:bidi="lv-LV"/>
        </w:rPr>
        <w:t>. Atjauninātajā rādītāju kopsavilkumā vairāki rādītāji pārsniedz indikatīvo robežvērtību, proti, tekošā konta deficīts, privātā sektora parāds un valdības parāds.</w:t>
      </w:r>
    </w:p>
    <w:p w:rsidR="003D03E9" w:rsidRDefault="00F77AE9">
      <w:pPr>
        <w:spacing w:after="160" w:line="259" w:lineRule="auto"/>
        <w:jc w:val="both"/>
        <w:rPr>
          <w:rFonts w:ascii="Times New Roman" w:eastAsia="Calibri" w:hAnsi="Times New Roman" w:cs="Times New Roman"/>
          <w:noProof/>
          <w:lang w:val="lv-LV" w:eastAsia="lv-LV" w:bidi="lv-LV"/>
        </w:rPr>
      </w:pPr>
      <w:r>
        <w:rPr>
          <w:rFonts w:ascii="Times New Roman" w:hAnsi="Times New Roman"/>
          <w:noProof/>
          <w:lang w:val="lv-LV" w:eastAsia="lv-LV" w:bidi="lv-LV"/>
        </w:rPr>
        <w:t>Tekošā konta starpība 2017. gadā nedaudz saruka, ka</w:t>
      </w:r>
      <w:r>
        <w:rPr>
          <w:rFonts w:ascii="Times New Roman" w:hAnsi="Times New Roman"/>
          <w:noProof/>
          <w:lang w:val="lv-LV" w:eastAsia="lv-LV" w:bidi="lv-LV"/>
        </w:rPr>
        <w:t xml:space="preserve">s notika galvenokārt primāro ienākumu saldo uzlabojuma rezultātā, bet joprojām ir ievērojams deficīts un ar to saistītās lielās ārējā finansējuma vajadzības. Sterliņu mārciņas vērtības samazināšanās ir atbalstījusi neto starptautisko ieguldījumu pozīciju, </w:t>
      </w:r>
      <w:r>
        <w:rPr>
          <w:rFonts w:ascii="Times New Roman" w:hAnsi="Times New Roman"/>
          <w:noProof/>
          <w:lang w:val="lv-LV" w:eastAsia="lv-LV" w:bidi="lv-LV"/>
        </w:rPr>
        <w:t>kas ir nedaudz negatīva, un uzlabojusi cenu konkurētspēju mērena vienības darbaspēka izmaksu pieauguma apstākļos. Tomēr līdz šim neto tirdzniecības reakcija uz vājāku sterliņu mārciņu ir bijusi neapmierinoša. Pēc pakāpeniskas aizņemto līdzekļu īpatsvara sa</w:t>
      </w:r>
      <w:r>
        <w:rPr>
          <w:rFonts w:ascii="Times New Roman" w:hAnsi="Times New Roman"/>
          <w:noProof/>
          <w:lang w:val="lv-LV" w:eastAsia="lv-LV" w:bidi="lv-LV"/>
        </w:rPr>
        <w:t>mazināšanās vairāku gadu garumā privātā sektora parāda attiecība pret IKP sasniedza zemāko līmeni. Mājsaimniecību parāds joprojām ir liels un ir cieši jāuzrauga. Mājokļu reālo cenu pieaugums ir palēninājies, un ar mājokļiem saistītas izmaksas stabilizējas,</w:t>
      </w:r>
      <w:r>
        <w:rPr>
          <w:rFonts w:ascii="Times New Roman" w:hAnsi="Times New Roman"/>
          <w:noProof/>
          <w:lang w:val="lv-LV" w:eastAsia="lv-LV" w:bidi="lv-LV"/>
        </w:rPr>
        <w:t xml:space="preserve"> lai gan augstā līmenī. Valdības parāds ir liels un visumā stabils. Turpinājās spēcīga nodarbinātības izaugsme, ko papildināja zemais un aizvien sarūkošais bezdarbs, lai gan darba ražīgums joprojām ir zems. </w:t>
      </w:r>
    </w:p>
    <w:p w:rsidR="003D03E9" w:rsidRDefault="00F77AE9">
      <w:pPr>
        <w:spacing w:after="160" w:line="259" w:lineRule="auto"/>
        <w:jc w:val="both"/>
        <w:rPr>
          <w:rFonts w:ascii="Times New Roman" w:eastAsia="Calibri" w:hAnsi="Times New Roman" w:cs="Times New Roman"/>
          <w:i/>
          <w:iCs/>
          <w:noProof/>
          <w:lang w:val="lv-LV" w:eastAsia="lv-LV" w:bidi="lv-LV"/>
        </w:rPr>
      </w:pPr>
      <w:r>
        <w:rPr>
          <w:rFonts w:ascii="Times New Roman" w:hAnsi="Times New Roman"/>
          <w:i/>
          <w:noProof/>
          <w:lang w:val="lv-LV" w:eastAsia="lv-LV" w:bidi="lv-LV"/>
        </w:rPr>
        <w:t>Kopumā rādītāju ekonomiskā interpretācija izgaismo problēmas, kas attiecas uz privātā sektora parādu, mājokļu tirgu un ekonomikas ārējo dimensiju. Šīs problēmas, šķiet, īstermiņā rada ierobežotus riskus stabilitātei. Tāpēc kopumā Komisija šajā posmā neuzsk</w:t>
      </w:r>
      <w:r>
        <w:rPr>
          <w:rFonts w:ascii="Times New Roman" w:hAnsi="Times New Roman"/>
          <w:i/>
          <w:noProof/>
          <w:lang w:val="lv-LV" w:eastAsia="lv-LV" w:bidi="lv-LV"/>
        </w:rPr>
        <w:t xml:space="preserve">ata par vajadzīgu veikt papildu padziļinātu analīzi saistībā ar MNNP. </w:t>
      </w:r>
    </w:p>
    <w:p w:rsidR="003D03E9" w:rsidRDefault="003D03E9">
      <w:pPr>
        <w:spacing w:after="160" w:line="259" w:lineRule="auto"/>
        <w:rPr>
          <w:rFonts w:ascii="Times New Roman" w:eastAsia="Calibri" w:hAnsi="Times New Roman" w:cs="Times New Roman"/>
          <w:b/>
          <w:noProof/>
          <w:lang w:val="lv-LV" w:eastAsia="lv-LV" w:bidi="lv-LV"/>
        </w:rPr>
      </w:pPr>
    </w:p>
    <w:p w:rsidR="003D03E9" w:rsidRDefault="003D03E9">
      <w:pPr>
        <w:spacing w:after="160" w:line="259" w:lineRule="auto"/>
        <w:rPr>
          <w:rFonts w:ascii="Times New Roman" w:eastAsia="Calibri" w:hAnsi="Times New Roman" w:cs="Times New Roman"/>
          <w:b/>
          <w:noProof/>
          <w:lang w:val="lv-LV" w:eastAsia="lv-LV" w:bidi="lv-LV"/>
        </w:rPr>
      </w:pPr>
    </w:p>
    <w:p w:rsidR="003D03E9" w:rsidRDefault="003D03E9">
      <w:pPr>
        <w:jc w:val="both"/>
        <w:rPr>
          <w:rFonts w:ascii="Times New Roman" w:hAnsi="Times New Roman" w:cs="Times New Roman"/>
          <w:i/>
          <w:noProof/>
          <w:sz w:val="24"/>
          <w:szCs w:val="24"/>
          <w:lang w:val="lv-LV" w:eastAsia="lv-LV" w:bidi="lv-LV"/>
        </w:rPr>
      </w:pPr>
    </w:p>
    <w:p w:rsidR="003D03E9" w:rsidRDefault="00F77AE9">
      <w:pPr>
        <w:rPr>
          <w:rFonts w:ascii="Times New Roman" w:hAnsi="Times New Roman" w:cs="Times New Roman"/>
          <w:b/>
          <w:noProof/>
          <w:lang w:val="lv-LV" w:eastAsia="lv-LV" w:bidi="lv-LV"/>
        </w:rPr>
      </w:pPr>
      <w:r>
        <w:rPr>
          <w:noProof/>
          <w:lang w:val="lv-LV" w:eastAsia="lv-LV" w:bidi="lv-LV"/>
        </w:rPr>
        <w:br w:type="page"/>
      </w:r>
    </w:p>
    <w:p w:rsidR="003D03E9" w:rsidRDefault="003D03E9">
      <w:pPr>
        <w:spacing w:before="120" w:after="120" w:line="240" w:lineRule="auto"/>
        <w:jc w:val="both"/>
        <w:rPr>
          <w:rFonts w:ascii="Times New Roman" w:hAnsi="Times New Roman" w:cs="Times New Roman"/>
          <w:b/>
          <w:noProof/>
          <w:lang w:val="lv-LV" w:eastAsia="lv-LV" w:bidi="lv-LV"/>
        </w:rPr>
        <w:sectPr w:rsidR="003D03E9">
          <w:headerReference w:type="even" r:id="rId68"/>
          <w:headerReference w:type="default" r:id="rId69"/>
          <w:footerReference w:type="even" r:id="rId70"/>
          <w:footerReference w:type="default" r:id="rId71"/>
          <w:headerReference w:type="first" r:id="rId72"/>
          <w:footerReference w:type="first" r:id="rId73"/>
          <w:pgSz w:w="11906" w:h="16838" w:code="9"/>
          <w:pgMar w:top="1134" w:right="1417" w:bottom="1134" w:left="1417" w:header="709" w:footer="709" w:gutter="0"/>
          <w:pgNumType w:start="1"/>
          <w:cols w:space="720"/>
          <w:docGrid w:linePitch="360"/>
        </w:sectPr>
      </w:pPr>
    </w:p>
    <w:p w:rsidR="003D03E9" w:rsidRDefault="00F77AE9">
      <w:pPr>
        <w:spacing w:before="120" w:after="120" w:line="240" w:lineRule="auto"/>
        <w:jc w:val="both"/>
        <w:rPr>
          <w:rFonts w:ascii="Times New Roman" w:hAnsi="Times New Roman" w:cs="Times New Roman"/>
          <w:b/>
          <w:noProof/>
          <w:lang w:val="lv-LV" w:eastAsia="lv-LV" w:bidi="lv-LV"/>
        </w:rPr>
      </w:pPr>
      <w:r>
        <w:rPr>
          <w:noProof/>
          <w:lang w:eastAsia="en-GB"/>
        </w:rPr>
        <w:drawing>
          <wp:inline distT="0" distB="0" distL="0" distR="0">
            <wp:extent cx="9135374" cy="5124091"/>
            <wp:effectExtent l="0" t="0" r="889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139491" cy="5126400"/>
                    </a:xfrm>
                    <a:prstGeom prst="rect">
                      <a:avLst/>
                    </a:prstGeom>
                    <a:noFill/>
                    <a:ln>
                      <a:noFill/>
                    </a:ln>
                  </pic:spPr>
                </pic:pic>
              </a:graphicData>
            </a:graphic>
          </wp:inline>
        </w:drawing>
      </w:r>
      <w:r>
        <w:rPr>
          <w:noProof/>
          <w:lang w:eastAsia="en-GB"/>
        </w:rPr>
        <w:drawing>
          <wp:inline distT="0" distB="0" distL="0" distR="0">
            <wp:extent cx="8876149" cy="5391510"/>
            <wp:effectExtent l="0" t="0" r="127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876149" cy="5391510"/>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extent cx="8902461" cy="5218982"/>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913022" cy="5225173"/>
                    </a:xfrm>
                    <a:prstGeom prst="rect">
                      <a:avLst/>
                    </a:prstGeom>
                    <a:noFill/>
                    <a:ln>
                      <a:noFill/>
                    </a:ln>
                  </pic:spPr>
                </pic:pic>
              </a:graphicData>
            </a:graphic>
          </wp:inline>
        </w:drawing>
      </w:r>
    </w:p>
    <w:p w:rsidR="003D03E9" w:rsidRDefault="003D03E9">
      <w:pPr>
        <w:spacing w:before="120" w:after="120" w:line="240" w:lineRule="auto"/>
        <w:jc w:val="both"/>
        <w:rPr>
          <w:rFonts w:ascii="Times New Roman" w:hAnsi="Times New Roman" w:cs="Times New Roman"/>
          <w:b/>
          <w:noProof/>
        </w:rPr>
      </w:pPr>
      <w:bookmarkStart w:id="1" w:name="_GoBack"/>
      <w:bookmarkEnd w:id="1"/>
    </w:p>
    <w:sectPr w:rsidR="003D03E9">
      <w:headerReference w:type="even" r:id="rId77"/>
      <w:headerReference w:type="default" r:id="rId78"/>
      <w:footerReference w:type="even" r:id="rId79"/>
      <w:footerReference w:type="default" r:id="rId80"/>
      <w:headerReference w:type="first" r:id="rId81"/>
      <w:footerReference w:type="first" r:id="rId82"/>
      <w:pgSz w:w="16838" w:h="11906" w:orient="landscape" w:code="9"/>
      <w:pgMar w:top="1417" w:right="1134" w:bottom="1417" w:left="1134"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03E9" w:rsidRDefault="00F77AE9">
      <w:pPr>
        <w:spacing w:after="0" w:line="240" w:lineRule="auto"/>
      </w:pPr>
      <w:r>
        <w:separator/>
      </w:r>
    </w:p>
  </w:endnote>
  <w:endnote w:type="continuationSeparator" w:id="0">
    <w:p w:rsidR="003D03E9" w:rsidRDefault="00F77A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New Roman Bold">
    <w:altName w:val="Times New Roman"/>
    <w:panose1 w:val="020208030705050203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7AE9" w:rsidRPr="00F77AE9" w:rsidRDefault="00F77AE9" w:rsidP="00F77A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7AE9" w:rsidRPr="00F77AE9" w:rsidRDefault="00F77AE9" w:rsidP="00F77AE9">
    <w:pPr>
      <w:pStyle w:val="FooterCoverPage"/>
      <w:rPr>
        <w:rFonts w:ascii="Arial" w:hAnsi="Arial" w:cs="Arial"/>
        <w:b/>
        <w:sz w:val="48"/>
      </w:rPr>
    </w:pPr>
    <w:r w:rsidRPr="00F77AE9">
      <w:rPr>
        <w:rFonts w:ascii="Arial" w:hAnsi="Arial" w:cs="Arial"/>
        <w:b/>
        <w:sz w:val="48"/>
      </w:rPr>
      <w:t>LV</w:t>
    </w:r>
    <w:r w:rsidRPr="00F77AE9">
      <w:rPr>
        <w:rFonts w:ascii="Arial" w:hAnsi="Arial" w:cs="Arial"/>
        <w:b/>
        <w:sz w:val="48"/>
      </w:rPr>
      <w:tab/>
    </w:r>
    <w:r w:rsidRPr="00F77AE9">
      <w:rPr>
        <w:rFonts w:ascii="Arial" w:hAnsi="Arial" w:cs="Arial"/>
        <w:b/>
        <w:sz w:val="48"/>
      </w:rPr>
      <w:tab/>
    </w:r>
    <w:r w:rsidRPr="00F77AE9">
      <w:tab/>
    </w:r>
    <w:r w:rsidRPr="00F77AE9">
      <w:rPr>
        <w:rFonts w:ascii="Arial" w:hAnsi="Arial" w:cs="Arial"/>
        <w:b/>
        <w:sz w:val="48"/>
      </w:rPr>
      <w:t>LV</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7AE9" w:rsidRPr="00F77AE9" w:rsidRDefault="00F77AE9" w:rsidP="00F77AE9">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03E9" w:rsidRDefault="00F77AE9">
    <w:r>
      <w:fldChar w:fldCharType="begin"/>
    </w:r>
    <w:r>
      <w:instrText xml:space="preserve">PAGE  </w:instrText>
    </w:r>
    <w:r>
      <w:fldChar w:fldCharType="separate"/>
    </w:r>
    <w:r>
      <w:rPr>
        <w:noProof/>
      </w:rPr>
      <w:t>22</w:t>
    </w:r>
    <w:r>
      <w:fldChar w:fldCharType="end"/>
    </w:r>
  </w:p>
  <w:p w:rsidR="003D03E9" w:rsidRDefault="003D03E9"/>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7804167"/>
      <w:docPartObj>
        <w:docPartGallery w:val="Page Numbers (Bottom of Page)"/>
        <w:docPartUnique/>
      </w:docPartObj>
    </w:sdtPr>
    <w:sdtEndPr>
      <w:rPr>
        <w:noProof/>
      </w:rPr>
    </w:sdtEndPr>
    <w:sdtContent>
      <w:p w:rsidR="003D03E9" w:rsidRDefault="00F77AE9">
        <w:pPr>
          <w:jc w:val="center"/>
        </w:pPr>
        <w:r>
          <w:fldChar w:fldCharType="begin"/>
        </w:r>
        <w:r>
          <w:instrText xml:space="preserve"> PAGE   \* MERGEFORMAT </w:instrText>
        </w:r>
        <w:r>
          <w:fldChar w:fldCharType="separate"/>
        </w:r>
        <w:r>
          <w:rPr>
            <w:noProof/>
          </w:rPr>
          <w:t>57</w:t>
        </w:r>
        <w:r>
          <w:rPr>
            <w:noProof/>
          </w:rPr>
          <w:fldChar w:fldCharType="end"/>
        </w:r>
      </w:p>
    </w:sdtContent>
  </w:sdt>
  <w:p w:rsidR="003D03E9" w:rsidRDefault="003D03E9">
    <w:pPr>
      <w:jc w:val="center"/>
      <w:rPr>
        <w:rFonts w:ascii="Arial" w:hAnsi="Arial" w:cs="Arial"/>
        <w:b/>
        <w:sz w:val="48"/>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03E9" w:rsidRDefault="003D03E9"/>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03E9" w:rsidRDefault="00F77AE9">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rsidR="003D03E9" w:rsidRDefault="003D03E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9321988"/>
      <w:docPartObj>
        <w:docPartGallery w:val="Page Numbers (Bottom of Page)"/>
        <w:docPartUnique/>
      </w:docPartObj>
    </w:sdtPr>
    <w:sdtEndPr>
      <w:rPr>
        <w:noProof/>
      </w:rPr>
    </w:sdtEndPr>
    <w:sdtContent>
      <w:p w:rsidR="003D03E9" w:rsidRDefault="00F77AE9">
        <w:pPr>
          <w:pStyle w:val="Footer"/>
          <w:jc w:val="center"/>
        </w:pPr>
        <w:r>
          <w:fldChar w:fldCharType="begin"/>
        </w:r>
        <w:r>
          <w:instrText xml:space="preserve"> PAGE   \* MERGEFORMAT </w:instrText>
        </w:r>
        <w:r>
          <w:fldChar w:fldCharType="separate"/>
        </w:r>
        <w:r>
          <w:rPr>
            <w:noProof/>
          </w:rPr>
          <w:t>59</w:t>
        </w:r>
        <w:r>
          <w:rPr>
            <w:noProof/>
          </w:rPr>
          <w:fldChar w:fldCharType="end"/>
        </w:r>
      </w:p>
    </w:sdtContent>
  </w:sdt>
  <w:p w:rsidR="003D03E9" w:rsidRDefault="003D03E9">
    <w:pPr>
      <w:pStyle w:val="Footer"/>
      <w:jc w:val="center"/>
      <w:rPr>
        <w:rFonts w:ascii="Arial" w:hAnsi="Arial" w:cs="Arial"/>
        <w:b/>
        <w:sz w:val="48"/>
        <w:lang w:val="es-ES"/>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03E9" w:rsidRDefault="003D03E9"/>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03E9" w:rsidRDefault="00F77AE9">
      <w:pPr>
        <w:spacing w:after="0" w:line="240" w:lineRule="auto"/>
      </w:pPr>
      <w:r>
        <w:separator/>
      </w:r>
    </w:p>
  </w:footnote>
  <w:footnote w:type="continuationSeparator" w:id="0">
    <w:p w:rsidR="003D03E9" w:rsidRDefault="00F77AE9">
      <w:pPr>
        <w:spacing w:after="0" w:line="240" w:lineRule="auto"/>
      </w:pPr>
      <w:r>
        <w:continuationSeparator/>
      </w:r>
    </w:p>
  </w:footnote>
  <w:footnote w:id="1">
    <w:p w:rsidR="003D03E9" w:rsidRDefault="00F77AE9">
      <w:pPr>
        <w:spacing w:after="0"/>
        <w:jc w:val="both"/>
        <w:rPr>
          <w:rFonts w:ascii="Times New Roman" w:hAnsi="Times New Roman" w:cs="Times New Roman"/>
          <w:sz w:val="20"/>
          <w:szCs w:val="20"/>
        </w:rPr>
      </w:pPr>
      <w:r>
        <w:rPr>
          <w:rFonts w:ascii="Times New Roman" w:hAnsi="Times New Roman"/>
          <w:sz w:val="20"/>
          <w:szCs w:val="20"/>
          <w:vertAlign w:val="superscript"/>
        </w:rPr>
        <w:footnoteRef/>
      </w:r>
      <w:r>
        <w:rPr>
          <w:rFonts w:ascii="Times New Roman" w:hAnsi="Times New Roman"/>
          <w:sz w:val="20"/>
          <w:szCs w:val="20"/>
        </w:rPr>
        <w:t xml:space="preserve"> Šim ziņojumam ir pievienots </w:t>
      </w:r>
      <w:r>
        <w:rPr>
          <w:rFonts w:ascii="Times New Roman" w:hAnsi="Times New Roman"/>
          <w:i/>
          <w:sz w:val="20"/>
          <w:szCs w:val="20"/>
        </w:rPr>
        <w:t xml:space="preserve">statistikas </w:t>
      </w:r>
      <w:r>
        <w:rPr>
          <w:rFonts w:ascii="Times New Roman" w:hAnsi="Times New Roman"/>
          <w:i/>
          <w:sz w:val="20"/>
          <w:szCs w:val="20"/>
        </w:rPr>
        <w:t>datu pielikums</w:t>
      </w:r>
      <w:r>
        <w:rPr>
          <w:rFonts w:ascii="Times New Roman" w:hAnsi="Times New Roman"/>
          <w:sz w:val="20"/>
          <w:szCs w:val="20"/>
        </w:rPr>
        <w:t xml:space="preserve">, kurā ietverts šā ziņojuma sagatavošanā izmantotais statistikas datu kopums. </w:t>
      </w:r>
    </w:p>
  </w:footnote>
  <w:footnote w:id="2">
    <w:p w:rsidR="003D03E9" w:rsidRDefault="00F77AE9">
      <w:pPr>
        <w:spacing w:after="0"/>
        <w:jc w:val="both"/>
        <w:rPr>
          <w:rFonts w:ascii="Times New Roman" w:hAnsi="Times New Roman" w:cs="Times New Roman"/>
          <w:sz w:val="20"/>
          <w:szCs w:val="20"/>
          <w:lang w:val="es-ES"/>
        </w:rPr>
      </w:pPr>
      <w:r>
        <w:rPr>
          <w:rFonts w:ascii="Times New Roman" w:hAnsi="Times New Roman"/>
          <w:sz w:val="20"/>
          <w:szCs w:val="20"/>
          <w:vertAlign w:val="superscript"/>
        </w:rPr>
        <w:footnoteRef/>
      </w:r>
      <w:r>
        <w:rPr>
          <w:rFonts w:ascii="Times New Roman" w:hAnsi="Times New Roman"/>
          <w:sz w:val="20"/>
          <w:szCs w:val="20"/>
          <w:lang w:val="es-ES"/>
        </w:rPr>
        <w:t xml:space="preserve"> Skatīt Regulas (ES) Nr. 1176/2011 5. pantu.</w:t>
      </w:r>
    </w:p>
  </w:footnote>
  <w:footnote w:id="3">
    <w:p w:rsidR="003D03E9" w:rsidRDefault="00F77AE9">
      <w:pPr>
        <w:spacing w:after="0"/>
        <w:jc w:val="both"/>
        <w:rPr>
          <w:rFonts w:ascii="Times New Roman" w:hAnsi="Times New Roman" w:cs="Times New Roman"/>
          <w:sz w:val="20"/>
          <w:szCs w:val="20"/>
          <w:lang w:val="es-ES"/>
        </w:rPr>
      </w:pPr>
      <w:r>
        <w:rPr>
          <w:rFonts w:ascii="Times New Roman" w:hAnsi="Times New Roman"/>
          <w:sz w:val="20"/>
          <w:szCs w:val="20"/>
          <w:vertAlign w:val="superscript"/>
        </w:rPr>
        <w:footnoteRef/>
      </w:r>
      <w:r>
        <w:rPr>
          <w:rFonts w:ascii="Times New Roman" w:hAnsi="Times New Roman"/>
          <w:sz w:val="20"/>
          <w:szCs w:val="20"/>
          <w:lang w:val="es-ES"/>
        </w:rPr>
        <w:t xml:space="preserve"> Lielāka uzmanība eurozonas nelīdzsvarotības dimensijai tika ierosināta Žana Kloda Junkera, Donalda Tuska, Jerūna Deiselblūma, Mario Dragi un Martina Šulca 2015. gada 22. jūnija ziņojumā “Eiropas Ekonomiskās un monetārās savienības izveides pabeigšana”. Re</w:t>
      </w:r>
      <w:r>
        <w:rPr>
          <w:rFonts w:ascii="Times New Roman" w:hAnsi="Times New Roman"/>
          <w:sz w:val="20"/>
          <w:szCs w:val="20"/>
          <w:lang w:val="es-ES"/>
        </w:rPr>
        <w:t>gulā (ES) Nr. 1176/2011 ir atzīta šīs savstarpējās atkarības nozīme un nelīdzsvarotības sistēmiskā ietekme: šajā regulējumā nelīdzsvarotība ir definēta kā “jebkura tendence, kura rada makroekonomikas norises, kas nelabvēlīgi ietekmē vai var nelabvēlīgi iet</w:t>
      </w:r>
      <w:r>
        <w:rPr>
          <w:rFonts w:ascii="Times New Roman" w:hAnsi="Times New Roman"/>
          <w:sz w:val="20"/>
          <w:szCs w:val="20"/>
          <w:lang w:val="es-ES"/>
        </w:rPr>
        <w:t>ekmēt dalībvalsts ekonomikas vai Ekonomikas un monetārās savienības, vai visas Savienības stabilu darbību”.</w:t>
      </w:r>
    </w:p>
  </w:footnote>
  <w:footnote w:id="4">
    <w:p w:rsidR="003D03E9" w:rsidRDefault="00F77AE9">
      <w:pPr>
        <w:spacing w:after="0"/>
        <w:rPr>
          <w:sz w:val="20"/>
          <w:szCs w:val="20"/>
          <w:lang w:val="es-ES"/>
        </w:rPr>
      </w:pPr>
      <w:r>
        <w:rPr>
          <w:rStyle w:val="FootnoteReference"/>
          <w:sz w:val="20"/>
          <w:szCs w:val="20"/>
        </w:rPr>
        <w:footnoteRef/>
      </w:r>
      <w:r>
        <w:rPr>
          <w:sz w:val="20"/>
          <w:szCs w:val="20"/>
          <w:lang w:val="es-ES"/>
        </w:rPr>
        <w:t xml:space="preserve"> Skatīt, piemēram, ECB, </w:t>
      </w:r>
      <w:r>
        <w:rPr>
          <w:i/>
          <w:sz w:val="20"/>
          <w:szCs w:val="20"/>
          <w:lang w:val="es-ES"/>
        </w:rPr>
        <w:t>Economic Bulletin</w:t>
      </w:r>
      <w:r>
        <w:rPr>
          <w:sz w:val="20"/>
          <w:szCs w:val="20"/>
          <w:lang w:val="es-ES"/>
        </w:rPr>
        <w:t>, 5/2018.</w:t>
      </w:r>
    </w:p>
  </w:footnote>
  <w:footnote w:id="5">
    <w:p w:rsidR="003D03E9" w:rsidRDefault="00F77AE9">
      <w:pPr>
        <w:spacing w:after="0"/>
        <w:rPr>
          <w:sz w:val="20"/>
          <w:szCs w:val="20"/>
          <w:lang w:val="es-ES"/>
        </w:rPr>
      </w:pPr>
      <w:r>
        <w:rPr>
          <w:rStyle w:val="FootnoteReference"/>
          <w:sz w:val="20"/>
          <w:szCs w:val="20"/>
        </w:rPr>
        <w:footnoteRef/>
      </w:r>
      <w:r>
        <w:rPr>
          <w:sz w:val="20"/>
          <w:szCs w:val="20"/>
          <w:lang w:val="es-ES"/>
        </w:rPr>
        <w:t xml:space="preserve"> Skatīt arī Starptautiskais Valūtas fonds, </w:t>
      </w:r>
      <w:r>
        <w:rPr>
          <w:i/>
          <w:sz w:val="20"/>
          <w:szCs w:val="20"/>
          <w:lang w:val="es-ES"/>
        </w:rPr>
        <w:t>World Economic Outlook</w:t>
      </w:r>
      <w:r>
        <w:rPr>
          <w:sz w:val="20"/>
          <w:szCs w:val="20"/>
          <w:lang w:val="es-ES"/>
        </w:rPr>
        <w:t>, 2018. gada oktobris.</w:t>
      </w:r>
    </w:p>
  </w:footnote>
  <w:footnote w:id="6">
    <w:p w:rsidR="003D03E9" w:rsidRDefault="00F77AE9">
      <w:pPr>
        <w:spacing w:after="0"/>
        <w:rPr>
          <w:sz w:val="20"/>
          <w:szCs w:val="20"/>
          <w:lang w:val="es-ES"/>
        </w:rPr>
      </w:pPr>
      <w:r>
        <w:rPr>
          <w:rStyle w:val="FootnoteReference"/>
          <w:sz w:val="20"/>
          <w:szCs w:val="20"/>
        </w:rPr>
        <w:footnoteRef/>
      </w:r>
      <w:r>
        <w:rPr>
          <w:sz w:val="20"/>
          <w:szCs w:val="20"/>
          <w:lang w:val="es-ES"/>
        </w:rPr>
        <w:t xml:space="preserve"> Pārsk</w:t>
      </w:r>
      <w:r>
        <w:rPr>
          <w:sz w:val="20"/>
          <w:szCs w:val="20"/>
          <w:lang w:val="es-ES"/>
        </w:rPr>
        <w:t>ats par galvenajām jaunākajām nodarbinātības un sociālajām tendencēm ES sniegts 3. izcēlumā.</w:t>
      </w:r>
    </w:p>
  </w:footnote>
  <w:footnote w:id="7">
    <w:p w:rsidR="003D03E9" w:rsidRDefault="00F77AE9">
      <w:pPr>
        <w:spacing w:after="0"/>
        <w:rPr>
          <w:sz w:val="20"/>
          <w:szCs w:val="20"/>
          <w:lang w:val="es-ES"/>
        </w:rPr>
      </w:pPr>
      <w:r>
        <w:rPr>
          <w:rStyle w:val="FootnoteReference"/>
          <w:sz w:val="20"/>
          <w:szCs w:val="20"/>
        </w:rPr>
        <w:footnoteRef/>
      </w:r>
      <w:r>
        <w:rPr>
          <w:sz w:val="20"/>
          <w:szCs w:val="20"/>
          <w:lang w:val="es-ES"/>
        </w:rPr>
        <w:t xml:space="preserve"> Skatīt arī Eiropas Komisija, 2019. gada izaugsmes pētījums.</w:t>
      </w:r>
    </w:p>
  </w:footnote>
  <w:footnote w:id="8">
    <w:p w:rsidR="003D03E9" w:rsidRDefault="00F77AE9">
      <w:pPr>
        <w:spacing w:after="0"/>
        <w:jc w:val="both"/>
        <w:rPr>
          <w:rFonts w:ascii="Times New Roman" w:hAnsi="Times New Roman" w:cs="Times New Roman"/>
          <w:sz w:val="20"/>
          <w:szCs w:val="20"/>
          <w:lang w:val="es-ES"/>
        </w:rPr>
      </w:pPr>
      <w:r>
        <w:rPr>
          <w:rFonts w:ascii="Times New Roman" w:hAnsi="Times New Roman"/>
          <w:sz w:val="20"/>
          <w:szCs w:val="20"/>
          <w:vertAlign w:val="superscript"/>
        </w:rPr>
        <w:footnoteRef/>
      </w:r>
      <w:r>
        <w:rPr>
          <w:rFonts w:ascii="Times New Roman" w:hAnsi="Times New Roman"/>
          <w:sz w:val="20"/>
          <w:szCs w:val="20"/>
          <w:lang w:val="es-ES"/>
        </w:rPr>
        <w:t xml:space="preserve"> Regulas (ES) Nr. 1176/2011 6. pants.</w:t>
      </w:r>
    </w:p>
  </w:footnote>
  <w:footnote w:id="9">
    <w:p w:rsidR="003D03E9" w:rsidRDefault="00F77AE9">
      <w:pPr>
        <w:spacing w:after="0"/>
        <w:jc w:val="both"/>
        <w:rPr>
          <w:rFonts w:ascii="Times New Roman" w:hAnsi="Times New Roman" w:cs="Times New Roman"/>
          <w:sz w:val="20"/>
          <w:szCs w:val="20"/>
          <w:lang w:val="es-ES"/>
        </w:rPr>
      </w:pPr>
      <w:r>
        <w:rPr>
          <w:rFonts w:ascii="Times New Roman" w:hAnsi="Times New Roman"/>
          <w:sz w:val="20"/>
          <w:szCs w:val="20"/>
          <w:vertAlign w:val="superscript"/>
        </w:rPr>
        <w:footnoteRef/>
      </w:r>
      <w:r>
        <w:rPr>
          <w:rFonts w:ascii="Times New Roman" w:hAnsi="Times New Roman"/>
          <w:sz w:val="20"/>
          <w:szCs w:val="20"/>
          <w:lang w:val="es-ES"/>
        </w:rPr>
        <w:t xml:space="preserve"> Skatīt “2018. gada Eiropas pusgads — novērtējums par progres</w:t>
      </w:r>
      <w:r>
        <w:rPr>
          <w:rFonts w:ascii="Times New Roman" w:hAnsi="Times New Roman"/>
          <w:sz w:val="20"/>
          <w:szCs w:val="20"/>
          <w:lang w:val="es-ES"/>
        </w:rPr>
        <w:t xml:space="preserve">u strukturālo reformu īstenošanā, makroekonomikas nelīdzsvarotības novēršanā un koriģēšanā, un saskaņā ar Regulu (ES) Nr. 1176/2011 veikto padziļināto pārskatu rezultāti” (COM(2018) 120 final, 7.3.2018.). </w:t>
      </w:r>
    </w:p>
  </w:footnote>
  <w:footnote w:id="10">
    <w:p w:rsidR="003D03E9" w:rsidRDefault="00F77AE9">
      <w:pPr>
        <w:spacing w:after="0"/>
        <w:jc w:val="both"/>
        <w:rPr>
          <w:sz w:val="20"/>
          <w:szCs w:val="20"/>
          <w:lang w:val="es-ES"/>
        </w:rPr>
      </w:pPr>
      <w:r>
        <w:rPr>
          <w:rStyle w:val="FootnoteReference"/>
          <w:sz w:val="20"/>
          <w:szCs w:val="20"/>
        </w:rPr>
        <w:footnoteRef/>
      </w:r>
      <w:r>
        <w:rPr>
          <w:sz w:val="20"/>
          <w:szCs w:val="20"/>
          <w:lang w:val="es-ES"/>
        </w:rPr>
        <w:t xml:space="preserve"> Dalībvalstis, kurās notiek makroekonomikas korek</w:t>
      </w:r>
      <w:r>
        <w:rPr>
          <w:sz w:val="20"/>
          <w:szCs w:val="20"/>
          <w:lang w:val="es-ES"/>
        </w:rPr>
        <w:t>ciju programmas, kas saistītas ar finansiālo palīdzību, ir atbrīvotas no uzraudzības MNNP satvarā (11. pants Eiropas Parlamenta un Padomes Regulā (ES) Nr. 472/2013 (2013. gada 21. maijs) par to eurozonas dalībvalstu ekonomiskās un budžeta uzraudzības pasti</w:t>
      </w:r>
      <w:r>
        <w:rPr>
          <w:sz w:val="20"/>
          <w:szCs w:val="20"/>
          <w:lang w:val="es-ES"/>
        </w:rPr>
        <w:t>prināšanu, kurās ir vai kurām draud nopietnas finanšu stabilitātes grūtības).</w:t>
      </w:r>
    </w:p>
  </w:footnote>
  <w:footnote w:id="11">
    <w:p w:rsidR="003D03E9" w:rsidRDefault="00F77AE9">
      <w:pPr>
        <w:spacing w:after="0"/>
        <w:jc w:val="both"/>
        <w:rPr>
          <w:i/>
          <w:sz w:val="20"/>
          <w:szCs w:val="20"/>
          <w:lang w:val="es-ES"/>
        </w:rPr>
      </w:pPr>
      <w:r>
        <w:rPr>
          <w:rStyle w:val="FootnoteReference"/>
          <w:sz w:val="20"/>
          <w:szCs w:val="20"/>
        </w:rPr>
        <w:footnoteRef/>
      </w:r>
      <w:r>
        <w:rPr>
          <w:sz w:val="20"/>
          <w:szCs w:val="20"/>
          <w:lang w:val="es-ES"/>
        </w:rPr>
        <w:t xml:space="preserve"> Eiropas Sistēmisko risku kolēģija (ESRK) 2016. gada novembrī astoņām ES dalībvalstīm izdeva konkrētai valstij adresētu brīdinājumu par mājokļa īpašumu sektora neaizsargātības faktoriem vidējā termiņā, proti, Apvienotajai Karalistei, Austrijai, Beļģijai, D</w:t>
      </w:r>
      <w:r>
        <w:rPr>
          <w:sz w:val="20"/>
          <w:szCs w:val="20"/>
          <w:lang w:val="es-ES"/>
        </w:rPr>
        <w:t>ānijai, Luksemburgai, Nīderlandei, Somijai un Zviedrijai.</w:t>
      </w:r>
    </w:p>
  </w:footnote>
  <w:footnote w:id="12">
    <w:p w:rsidR="003D03E9" w:rsidRDefault="00F77AE9">
      <w:pPr>
        <w:spacing w:after="0"/>
        <w:jc w:val="both"/>
        <w:rPr>
          <w:sz w:val="20"/>
          <w:szCs w:val="20"/>
          <w:lang w:val="es-ES"/>
        </w:rPr>
      </w:pPr>
      <w:r>
        <w:rPr>
          <w:rStyle w:val="FootnoteReference"/>
          <w:sz w:val="20"/>
          <w:szCs w:val="20"/>
        </w:rPr>
        <w:footnoteRef/>
      </w:r>
      <w:r>
        <w:rPr>
          <w:sz w:val="20"/>
          <w:szCs w:val="20"/>
          <w:lang w:val="es-ES"/>
        </w:rPr>
        <w:t xml:space="preserve"> Lai iegūtu sīkāku informāciju par jauno rādītāju statistikas definīcijām, skatīt Eiropas Komisijas dienestu darba dokumentu “Envisaged revision of selected auxiliary indicators of the MIP scoreboa</w:t>
      </w:r>
      <w:r>
        <w:rPr>
          <w:sz w:val="20"/>
          <w:szCs w:val="20"/>
          <w:lang w:val="es-ES"/>
        </w:rPr>
        <w:t>rd”, tehniska piezīme; https://ec.europa.eu/info/business-economy-euro/economic-and-fiscal-policy-coordination/eu-economic-governance-monitoring-prevention-correction/macroeconomic-imbalance-procedure/scoreboard_en.</w:t>
      </w:r>
    </w:p>
  </w:footnote>
  <w:footnote w:id="13">
    <w:p w:rsidR="003D03E9" w:rsidRDefault="00F77AE9">
      <w:pPr>
        <w:spacing w:after="0"/>
        <w:jc w:val="both"/>
        <w:rPr>
          <w:rFonts w:ascii="Times New Roman" w:hAnsi="Times New Roman" w:cs="Times New Roman"/>
          <w:sz w:val="20"/>
          <w:szCs w:val="20"/>
          <w:lang w:val="es-ES"/>
        </w:rPr>
      </w:pPr>
      <w:r>
        <w:rPr>
          <w:rStyle w:val="FootnoteReference"/>
          <w:rFonts w:ascii="Times New Roman" w:hAnsi="Times New Roman"/>
          <w:sz w:val="20"/>
          <w:szCs w:val="20"/>
        </w:rPr>
        <w:footnoteRef/>
      </w:r>
      <w:r>
        <w:rPr>
          <w:rFonts w:ascii="Times New Roman" w:hAnsi="Times New Roman"/>
          <w:sz w:val="20"/>
          <w:szCs w:val="20"/>
          <w:lang w:val="es-ES"/>
        </w:rPr>
        <w:t xml:space="preserve"> BMZ rādītāju kopsavilkuma izveides un </w:t>
      </w:r>
      <w:r>
        <w:rPr>
          <w:rFonts w:ascii="Times New Roman" w:hAnsi="Times New Roman"/>
          <w:sz w:val="20"/>
          <w:szCs w:val="20"/>
          <w:lang w:val="es-ES"/>
        </w:rPr>
        <w:t xml:space="preserve">interpretēšanas principus skatīt dokumentā “The Macroeconomic Imbalance Procedure. Rationale, Process, Application: A Compendium”, </w:t>
      </w:r>
      <w:r>
        <w:rPr>
          <w:rFonts w:ascii="Times New Roman" w:hAnsi="Times New Roman"/>
          <w:i/>
          <w:sz w:val="20"/>
          <w:szCs w:val="20"/>
          <w:lang w:val="es-ES"/>
        </w:rPr>
        <w:t>European Economy, Institutional Paper 039</w:t>
      </w:r>
      <w:r>
        <w:rPr>
          <w:rFonts w:ascii="Times New Roman" w:hAnsi="Times New Roman"/>
          <w:sz w:val="20"/>
          <w:szCs w:val="20"/>
          <w:lang w:val="es-ES"/>
        </w:rPr>
        <w:t xml:space="preserve"> (Eiropas Komisija (2016. gads)).</w:t>
      </w:r>
    </w:p>
  </w:footnote>
  <w:footnote w:id="14">
    <w:p w:rsidR="003D03E9" w:rsidRDefault="00F77AE9">
      <w:pPr>
        <w:spacing w:after="0"/>
        <w:jc w:val="both"/>
        <w:rPr>
          <w:rFonts w:ascii="Times New Roman" w:hAnsi="Times New Roman" w:cs="Times New Roman"/>
          <w:sz w:val="20"/>
          <w:szCs w:val="20"/>
          <w:lang w:val="es-ES"/>
        </w:rPr>
      </w:pPr>
      <w:r>
        <w:rPr>
          <w:rStyle w:val="FootnoteReference"/>
          <w:rFonts w:ascii="Times New Roman" w:hAnsi="Times New Roman"/>
          <w:sz w:val="20"/>
          <w:szCs w:val="20"/>
        </w:rPr>
        <w:footnoteRef/>
      </w:r>
      <w:r>
        <w:rPr>
          <w:rFonts w:ascii="Times New Roman" w:hAnsi="Times New Roman"/>
          <w:sz w:val="20"/>
          <w:szCs w:val="20"/>
          <w:lang w:val="es-ES"/>
        </w:rPr>
        <w:t xml:space="preserve"> Visi rādītāju kopsavilkumā iekļautie rādītāji un</w:t>
      </w:r>
      <w:r>
        <w:rPr>
          <w:rFonts w:ascii="Times New Roman" w:hAnsi="Times New Roman"/>
          <w:sz w:val="20"/>
          <w:szCs w:val="20"/>
          <w:lang w:val="es-ES"/>
        </w:rPr>
        <w:t xml:space="preserve"> attiecīgās indikatīvās robežvērtības ir sniegti pielikuma 1.1. tabulā; palīgrādītāji ir sniegti 2.1. tabulā. Kā paskaidrots 1. grafikā, rādītāju kopsavilkuma datu dinamikas interpretācijas pamatā ir dati, kas bija pieejami katra BMZ sagatavošanas brīdī. 2</w:t>
      </w:r>
      <w:r>
        <w:rPr>
          <w:rFonts w:ascii="Times New Roman" w:hAnsi="Times New Roman"/>
          <w:sz w:val="20"/>
          <w:szCs w:val="20"/>
          <w:lang w:val="es-ES"/>
        </w:rPr>
        <w:t>019. gada BMZ datu apkopošanas termiņš bija 2018. gada 24. oktobris.</w:t>
      </w:r>
    </w:p>
  </w:footnote>
  <w:footnote w:id="15">
    <w:p w:rsidR="003D03E9" w:rsidRDefault="00F77AE9">
      <w:pPr>
        <w:spacing w:after="0"/>
        <w:jc w:val="both"/>
        <w:rPr>
          <w:rFonts w:ascii="Times New Roman" w:hAnsi="Times New Roman" w:cs="Times New Roman"/>
          <w:sz w:val="20"/>
          <w:szCs w:val="20"/>
          <w:lang w:val="es-ES"/>
        </w:rPr>
      </w:pPr>
      <w:r>
        <w:rPr>
          <w:rStyle w:val="FootnoteReference"/>
          <w:rFonts w:ascii="Times New Roman" w:hAnsi="Times New Roman"/>
          <w:sz w:val="20"/>
          <w:szCs w:val="20"/>
        </w:rPr>
        <w:footnoteRef/>
      </w:r>
      <w:r>
        <w:rPr>
          <w:rFonts w:ascii="Times New Roman" w:hAnsi="Times New Roman"/>
          <w:sz w:val="20"/>
          <w:szCs w:val="20"/>
          <w:lang w:val="es-ES"/>
        </w:rPr>
        <w:t xml:space="preserve"> Cikliski koriģētā tekošā konta saldo ir ņemta vērā cikla ietekme, koriģējot iekšzemes izlaides starpību un starpību, kas konstatēta tirdzniecības partneriem, skatīt </w:t>
      </w:r>
      <w:r>
        <w:rPr>
          <w:rFonts w:ascii="Times New Roman" w:hAnsi="Times New Roman"/>
          <w:i/>
          <w:sz w:val="20"/>
          <w:szCs w:val="20"/>
          <w:lang w:val="es-ES"/>
        </w:rPr>
        <w:t xml:space="preserve">M. Salto </w:t>
      </w:r>
      <w:r>
        <w:rPr>
          <w:rFonts w:ascii="Times New Roman" w:hAnsi="Times New Roman"/>
          <w:sz w:val="20"/>
          <w:szCs w:val="20"/>
          <w:lang w:val="es-ES"/>
        </w:rPr>
        <w:t xml:space="preserve">un </w:t>
      </w:r>
      <w:r>
        <w:rPr>
          <w:rFonts w:ascii="Times New Roman" w:hAnsi="Times New Roman"/>
          <w:i/>
          <w:sz w:val="20"/>
          <w:szCs w:val="20"/>
          <w:lang w:val="es-ES"/>
        </w:rPr>
        <w:t>A. Turri</w:t>
      </w:r>
      <w:r>
        <w:rPr>
          <w:rFonts w:ascii="Times New Roman" w:hAnsi="Times New Roman"/>
          <w:i/>
          <w:sz w:val="20"/>
          <w:szCs w:val="20"/>
          <w:lang w:val="es-ES"/>
        </w:rPr>
        <w:t xml:space="preserve">ni </w:t>
      </w:r>
      <w:r>
        <w:rPr>
          <w:rFonts w:ascii="Times New Roman" w:hAnsi="Times New Roman"/>
          <w:sz w:val="20"/>
          <w:szCs w:val="20"/>
          <w:lang w:val="es-ES"/>
        </w:rPr>
        <w:t xml:space="preserve">(2010. gads), “Comparing alternative methodologies for real exchange rate assessment”, </w:t>
      </w:r>
      <w:r>
        <w:rPr>
          <w:rFonts w:ascii="Times New Roman" w:hAnsi="Times New Roman"/>
          <w:i/>
          <w:sz w:val="20"/>
          <w:szCs w:val="20"/>
          <w:lang w:val="es-ES"/>
        </w:rPr>
        <w:t>European Economy</w:t>
      </w:r>
      <w:r>
        <w:rPr>
          <w:rFonts w:ascii="Times New Roman" w:hAnsi="Times New Roman"/>
          <w:sz w:val="20"/>
          <w:szCs w:val="20"/>
          <w:lang w:val="es-ES"/>
        </w:rPr>
        <w:t xml:space="preserve">, </w:t>
      </w:r>
      <w:r>
        <w:rPr>
          <w:rFonts w:ascii="Times New Roman" w:hAnsi="Times New Roman"/>
          <w:i/>
          <w:sz w:val="20"/>
          <w:szCs w:val="20"/>
          <w:lang w:val="es-ES"/>
        </w:rPr>
        <w:t>Discussion Paper</w:t>
      </w:r>
      <w:r>
        <w:rPr>
          <w:rFonts w:ascii="Times New Roman" w:hAnsi="Times New Roman"/>
          <w:sz w:val="20"/>
          <w:szCs w:val="20"/>
          <w:lang w:val="es-ES"/>
        </w:rPr>
        <w:t xml:space="preserve"> Nr. 427/2010.</w:t>
      </w:r>
    </w:p>
  </w:footnote>
  <w:footnote w:id="16">
    <w:p w:rsidR="003D03E9" w:rsidRDefault="00F77AE9">
      <w:pPr>
        <w:spacing w:after="0"/>
        <w:jc w:val="both"/>
        <w:rPr>
          <w:rFonts w:ascii="Times New Roman" w:hAnsi="Times New Roman" w:cs="Times New Roman"/>
          <w:sz w:val="20"/>
          <w:szCs w:val="20"/>
          <w:lang w:val="es-ES"/>
        </w:rPr>
      </w:pPr>
      <w:r>
        <w:rPr>
          <w:rStyle w:val="FootnoteReference"/>
          <w:rFonts w:ascii="Times New Roman" w:hAnsi="Times New Roman"/>
          <w:sz w:val="20"/>
          <w:szCs w:val="20"/>
        </w:rPr>
        <w:footnoteRef/>
      </w:r>
      <w:r>
        <w:rPr>
          <w:rFonts w:ascii="Times New Roman" w:hAnsi="Times New Roman"/>
          <w:sz w:val="20"/>
          <w:szCs w:val="20"/>
          <w:lang w:val="es-ES"/>
        </w:rPr>
        <w:t xml:space="preserve"> Tekošie konti, kas atbilst pamatrādītājiem (tekošā konta normām), ir atvasināti no reducētas formas regresijām, kas</w:t>
      </w:r>
      <w:r>
        <w:rPr>
          <w:rFonts w:ascii="Times New Roman" w:hAnsi="Times New Roman"/>
          <w:sz w:val="20"/>
          <w:szCs w:val="20"/>
          <w:lang w:val="es-ES"/>
        </w:rPr>
        <w:t xml:space="preserve"> aptver uzkrājumu un ieguldījumu saldo galvenos noteicošos faktorus, ieskaitot pamatfaktorus, politikas faktorus un globālos finanšu apstākļus. Metodika ir līdzīga šādai: </w:t>
      </w:r>
      <w:r>
        <w:rPr>
          <w:rFonts w:ascii="Times New Roman" w:hAnsi="Times New Roman"/>
          <w:i/>
          <w:sz w:val="20"/>
          <w:szCs w:val="20"/>
          <w:lang w:val="es-ES"/>
        </w:rPr>
        <w:t>S. Phillips</w:t>
      </w:r>
      <w:r>
        <w:rPr>
          <w:rFonts w:ascii="Times New Roman" w:hAnsi="Times New Roman"/>
          <w:sz w:val="20"/>
          <w:szCs w:val="20"/>
          <w:lang w:val="es-ES"/>
        </w:rPr>
        <w:t xml:space="preserve"> u. c. (2013. gads), “The External Balance Assessment (EBA) Methodology”, </w:t>
      </w:r>
      <w:r>
        <w:rPr>
          <w:rFonts w:ascii="Times New Roman" w:hAnsi="Times New Roman"/>
          <w:i/>
          <w:sz w:val="20"/>
          <w:szCs w:val="20"/>
          <w:lang w:val="es-ES"/>
        </w:rPr>
        <w:t>IMF Working Paper</w:t>
      </w:r>
      <w:r>
        <w:rPr>
          <w:rFonts w:ascii="Times New Roman" w:hAnsi="Times New Roman"/>
          <w:sz w:val="20"/>
          <w:szCs w:val="20"/>
          <w:lang w:val="es-ES"/>
        </w:rPr>
        <w:t xml:space="preserve">, 13/272. Skatīt </w:t>
      </w:r>
      <w:r>
        <w:rPr>
          <w:rFonts w:ascii="Times New Roman" w:hAnsi="Times New Roman"/>
          <w:i/>
          <w:sz w:val="20"/>
          <w:szCs w:val="20"/>
          <w:lang w:val="es-ES"/>
        </w:rPr>
        <w:t>L. Coutinho</w:t>
      </w:r>
      <w:r>
        <w:rPr>
          <w:rFonts w:ascii="Times New Roman" w:hAnsi="Times New Roman"/>
          <w:sz w:val="20"/>
          <w:szCs w:val="20"/>
          <w:lang w:val="es-ES"/>
        </w:rPr>
        <w:t xml:space="preserve"> u. c. (2018. gads), “Methodologies for the assessment of current account benchmarks”, </w:t>
      </w:r>
      <w:r>
        <w:rPr>
          <w:rFonts w:ascii="Times New Roman" w:hAnsi="Times New Roman"/>
          <w:i/>
          <w:sz w:val="20"/>
          <w:szCs w:val="20"/>
          <w:lang w:val="es-ES"/>
        </w:rPr>
        <w:t>European Economy</w:t>
      </w:r>
      <w:r>
        <w:rPr>
          <w:rFonts w:ascii="Times New Roman" w:hAnsi="Times New Roman"/>
          <w:sz w:val="20"/>
          <w:szCs w:val="20"/>
          <w:lang w:val="es-ES"/>
        </w:rPr>
        <w:t xml:space="preserve">, </w:t>
      </w:r>
      <w:r>
        <w:rPr>
          <w:rFonts w:ascii="Times New Roman" w:hAnsi="Times New Roman"/>
          <w:i/>
          <w:sz w:val="20"/>
          <w:szCs w:val="20"/>
          <w:lang w:val="es-ES"/>
        </w:rPr>
        <w:t>Discussion Paper 86</w:t>
      </w:r>
      <w:r>
        <w:rPr>
          <w:rFonts w:ascii="Times New Roman" w:hAnsi="Times New Roman"/>
          <w:sz w:val="20"/>
          <w:szCs w:val="20"/>
          <w:lang w:val="es-ES"/>
        </w:rPr>
        <w:t>, 2018. gads, skatīt šajā BMZ izmantotās metodikas aprakstu tekošā konta aprēķināšanai,</w:t>
      </w:r>
      <w:r>
        <w:rPr>
          <w:rFonts w:ascii="Times New Roman" w:hAnsi="Times New Roman"/>
          <w:sz w:val="20"/>
          <w:szCs w:val="20"/>
          <w:lang w:val="es-ES"/>
        </w:rPr>
        <w:t xml:space="preserve"> kura pamatā ir ekonomikas pamatrādītāji.</w:t>
      </w:r>
    </w:p>
  </w:footnote>
  <w:footnote w:id="17">
    <w:p w:rsidR="003D03E9" w:rsidRDefault="00F77AE9">
      <w:pPr>
        <w:spacing w:after="0"/>
        <w:jc w:val="both"/>
        <w:rPr>
          <w:rFonts w:cstheme="minorHAnsi"/>
          <w:sz w:val="20"/>
          <w:szCs w:val="20"/>
          <w:lang w:val="es-ES"/>
        </w:rPr>
      </w:pPr>
      <w:r>
        <w:rPr>
          <w:rStyle w:val="FootnoteReference"/>
          <w:rFonts w:cstheme="minorHAnsi"/>
          <w:sz w:val="20"/>
          <w:szCs w:val="20"/>
        </w:rPr>
        <w:footnoteRef/>
      </w:r>
      <w:r>
        <w:rPr>
          <w:sz w:val="20"/>
          <w:szCs w:val="20"/>
          <w:lang w:val="es-ES"/>
        </w:rPr>
        <w:t xml:space="preserve"> Attiecībā uz metodikām par tekošā konta robežvērtībām skatīt </w:t>
      </w:r>
      <w:r>
        <w:rPr>
          <w:i/>
          <w:sz w:val="20"/>
          <w:szCs w:val="20"/>
          <w:lang w:val="es-ES"/>
        </w:rPr>
        <w:t>L. Coutinho</w:t>
      </w:r>
      <w:r>
        <w:rPr>
          <w:sz w:val="20"/>
          <w:szCs w:val="20"/>
          <w:lang w:val="es-ES"/>
        </w:rPr>
        <w:t xml:space="preserve"> u. c. (2018. gads); par konkrētai valstij adresētām prudenciālajām robežvērtībām skatīt </w:t>
      </w:r>
      <w:r>
        <w:rPr>
          <w:rFonts w:cstheme="minorHAnsi"/>
          <w:sz w:val="20"/>
          <w:szCs w:val="20"/>
        </w:rPr>
        <w:fldChar w:fldCharType="begin"/>
      </w:r>
      <w:r>
        <w:rPr>
          <w:rFonts w:cstheme="minorHAnsi"/>
          <w:sz w:val="20"/>
          <w:szCs w:val="20"/>
          <w:lang w:val="es-ES"/>
        </w:rPr>
        <w:instrText xml:space="preserve"> NOTEREF _Ref526336022 \h  \* MERGEFORMAT </w:instrText>
      </w:r>
      <w:r>
        <w:rPr>
          <w:rFonts w:cstheme="minorHAnsi"/>
          <w:sz w:val="20"/>
          <w:szCs w:val="20"/>
        </w:rPr>
      </w:r>
      <w:r>
        <w:rPr>
          <w:rFonts w:cstheme="minorHAnsi"/>
          <w:sz w:val="20"/>
          <w:szCs w:val="20"/>
        </w:rPr>
        <w:fldChar w:fldCharType="separate"/>
      </w:r>
      <w:r>
        <w:rPr>
          <w:rFonts w:cstheme="minorHAnsi"/>
          <w:sz w:val="20"/>
          <w:szCs w:val="20"/>
          <w:lang w:val="es-ES"/>
        </w:rPr>
        <w:t>18</w:t>
      </w:r>
      <w:r>
        <w:rPr>
          <w:rFonts w:cstheme="minorHAnsi"/>
          <w:sz w:val="20"/>
          <w:szCs w:val="20"/>
        </w:rPr>
        <w:fldChar w:fldCharType="end"/>
      </w:r>
      <w:r>
        <w:rPr>
          <w:sz w:val="20"/>
          <w:szCs w:val="20"/>
          <w:lang w:val="es-ES"/>
        </w:rPr>
        <w:t xml:space="preserve">. zemsvītras piezīmi. </w:t>
      </w:r>
    </w:p>
  </w:footnote>
  <w:footnote w:id="18">
    <w:p w:rsidR="003D03E9" w:rsidRDefault="00F77AE9">
      <w:pPr>
        <w:spacing w:after="0"/>
        <w:jc w:val="both"/>
        <w:rPr>
          <w:rFonts w:ascii="Times New Roman" w:hAnsi="Times New Roman" w:cs="Times New Roman"/>
          <w:sz w:val="20"/>
          <w:szCs w:val="20"/>
          <w:lang w:val="es-ES"/>
        </w:rPr>
      </w:pPr>
      <w:r>
        <w:rPr>
          <w:rStyle w:val="FootnoteReference"/>
          <w:rFonts w:ascii="Times New Roman" w:hAnsi="Times New Roman"/>
          <w:sz w:val="20"/>
          <w:szCs w:val="20"/>
        </w:rPr>
        <w:footnoteRef/>
      </w:r>
      <w:r>
        <w:rPr>
          <w:rFonts w:ascii="Times New Roman" w:hAnsi="Times New Roman"/>
          <w:sz w:val="20"/>
          <w:szCs w:val="20"/>
          <w:lang w:val="es-ES"/>
        </w:rPr>
        <w:t xml:space="preserve"> </w:t>
      </w:r>
      <w:r>
        <w:rPr>
          <w:rFonts w:ascii="Times New Roman" w:hAnsi="Times New Roman"/>
          <w:i/>
          <w:sz w:val="20"/>
          <w:szCs w:val="20"/>
          <w:lang w:val="es-ES"/>
        </w:rPr>
        <w:t>NIIP</w:t>
      </w:r>
      <w:r>
        <w:rPr>
          <w:rFonts w:ascii="Times New Roman" w:hAnsi="Times New Roman"/>
          <w:sz w:val="20"/>
          <w:szCs w:val="20"/>
          <w:lang w:val="es-ES"/>
        </w:rPr>
        <w:t xml:space="preserve"> saskaņā ar pamatrādītājiem ir iegūti kā tekošā konta normu apkopojums laikā (skatīt arī </w:t>
      </w:r>
      <w:r>
        <w:rPr>
          <w:rFonts w:ascii="Times New Roman" w:hAnsi="Times New Roman" w:cs="Times New Roman"/>
          <w:sz w:val="20"/>
          <w:szCs w:val="20"/>
        </w:rPr>
        <w:fldChar w:fldCharType="begin"/>
      </w:r>
      <w:r>
        <w:rPr>
          <w:rFonts w:ascii="Times New Roman" w:hAnsi="Times New Roman" w:cs="Times New Roman"/>
          <w:sz w:val="20"/>
          <w:szCs w:val="20"/>
          <w:lang w:val="es-ES"/>
        </w:rPr>
        <w:instrText xml:space="preserve"> NOTEREF _Ref526526513 \h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lang w:val="es-ES"/>
        </w:rPr>
        <w:t>16</w:t>
      </w:r>
      <w:r>
        <w:rPr>
          <w:rFonts w:ascii="Times New Roman" w:hAnsi="Times New Roman" w:cs="Times New Roman"/>
          <w:sz w:val="20"/>
          <w:szCs w:val="20"/>
        </w:rPr>
        <w:fldChar w:fldCharType="end"/>
      </w:r>
      <w:r>
        <w:rPr>
          <w:rFonts w:ascii="Times New Roman" w:hAnsi="Times New Roman"/>
          <w:sz w:val="20"/>
          <w:szCs w:val="20"/>
          <w:lang w:val="es-ES"/>
        </w:rPr>
        <w:t xml:space="preserve">. zemsvītras piezīmi). </w:t>
      </w:r>
      <w:r>
        <w:rPr>
          <w:rFonts w:ascii="Times New Roman" w:hAnsi="Times New Roman"/>
          <w:i/>
          <w:sz w:val="20"/>
          <w:szCs w:val="20"/>
          <w:lang w:val="es-ES"/>
        </w:rPr>
        <w:t>NIIP</w:t>
      </w:r>
      <w:r>
        <w:rPr>
          <w:rFonts w:ascii="Times New Roman" w:hAnsi="Times New Roman"/>
          <w:sz w:val="20"/>
          <w:szCs w:val="20"/>
          <w:lang w:val="es-ES"/>
        </w:rPr>
        <w:t xml:space="preserve"> prudenciālās robežvērtības nosaka, maksimāli palielinot signāla stiprumu, prognozējot maksājumu bilances krīzi, ņemot vērā konkrētai valstij adresētu informāciju, ko apkopo, izmantojot datus par</w:t>
      </w:r>
      <w:r>
        <w:rPr>
          <w:rFonts w:ascii="Times New Roman" w:hAnsi="Times New Roman"/>
          <w:sz w:val="20"/>
          <w:szCs w:val="20"/>
          <w:lang w:val="es-ES"/>
        </w:rPr>
        <w:t xml:space="preserve"> ienākumu uz vienu iedzīvotāju. Attiecībā uz </w:t>
      </w:r>
      <w:r>
        <w:rPr>
          <w:rFonts w:ascii="Times New Roman" w:hAnsi="Times New Roman"/>
          <w:i/>
          <w:sz w:val="20"/>
          <w:szCs w:val="20"/>
          <w:lang w:val="es-ES"/>
        </w:rPr>
        <w:t>NIIP</w:t>
      </w:r>
      <w:r>
        <w:rPr>
          <w:rFonts w:ascii="Times New Roman" w:hAnsi="Times New Roman"/>
          <w:sz w:val="20"/>
          <w:szCs w:val="20"/>
          <w:lang w:val="es-ES"/>
        </w:rPr>
        <w:t xml:space="preserve"> krājumu aprēķināšanas metodiku saskaņā ar pamatrādītājiem skatīt </w:t>
      </w:r>
      <w:r>
        <w:rPr>
          <w:rFonts w:ascii="Times New Roman" w:hAnsi="Times New Roman"/>
          <w:i/>
          <w:sz w:val="20"/>
          <w:szCs w:val="20"/>
          <w:lang w:val="es-ES"/>
        </w:rPr>
        <w:t>A. Turrini</w:t>
      </w:r>
      <w:r>
        <w:rPr>
          <w:rFonts w:ascii="Times New Roman" w:hAnsi="Times New Roman"/>
          <w:sz w:val="20"/>
          <w:szCs w:val="20"/>
          <w:lang w:val="es-ES"/>
        </w:rPr>
        <w:t xml:space="preserve"> un </w:t>
      </w:r>
      <w:r>
        <w:rPr>
          <w:rFonts w:ascii="Times New Roman" w:hAnsi="Times New Roman"/>
          <w:i/>
          <w:sz w:val="20"/>
          <w:szCs w:val="20"/>
          <w:lang w:val="es-ES"/>
        </w:rPr>
        <w:t>S. Zeugner</w:t>
      </w:r>
      <w:r>
        <w:rPr>
          <w:rFonts w:ascii="Times New Roman" w:hAnsi="Times New Roman"/>
          <w:sz w:val="20"/>
          <w:szCs w:val="20"/>
          <w:lang w:val="es-ES"/>
        </w:rPr>
        <w:t xml:space="preserve">, “Benchmarks for Net International Investment Positions”, </w:t>
      </w:r>
      <w:r>
        <w:rPr>
          <w:rFonts w:ascii="Times New Roman" w:hAnsi="Times New Roman"/>
          <w:i/>
          <w:sz w:val="20"/>
          <w:szCs w:val="20"/>
          <w:lang w:val="es-ES"/>
        </w:rPr>
        <w:t>European Economy</w:t>
      </w:r>
      <w:r>
        <w:rPr>
          <w:rFonts w:ascii="Times New Roman" w:hAnsi="Times New Roman"/>
          <w:sz w:val="20"/>
          <w:szCs w:val="20"/>
          <w:lang w:val="es-ES"/>
        </w:rPr>
        <w:t xml:space="preserve">, </w:t>
      </w:r>
      <w:r>
        <w:rPr>
          <w:rFonts w:ascii="Times New Roman" w:hAnsi="Times New Roman"/>
          <w:i/>
          <w:sz w:val="20"/>
          <w:szCs w:val="20"/>
          <w:lang w:val="es-ES"/>
        </w:rPr>
        <w:t>Discussion Paper</w:t>
      </w:r>
      <w:r>
        <w:rPr>
          <w:rFonts w:ascii="Times New Roman" w:hAnsi="Times New Roman"/>
          <w:sz w:val="20"/>
          <w:szCs w:val="20"/>
          <w:lang w:val="es-ES"/>
        </w:rPr>
        <w:t xml:space="preserve">, gaidāms. </w:t>
      </w:r>
    </w:p>
  </w:footnote>
  <w:footnote w:id="19">
    <w:p w:rsidR="003D03E9" w:rsidRDefault="00F77AE9">
      <w:pPr>
        <w:spacing w:after="0"/>
        <w:jc w:val="both"/>
        <w:rPr>
          <w:sz w:val="20"/>
          <w:szCs w:val="20"/>
          <w:lang w:val="es-ES"/>
        </w:rPr>
      </w:pPr>
      <w:r>
        <w:rPr>
          <w:rStyle w:val="FootnoteReference"/>
          <w:sz w:val="20"/>
          <w:szCs w:val="20"/>
        </w:rPr>
        <w:footnoteRef/>
      </w:r>
      <w:r>
        <w:rPr>
          <w:sz w:val="20"/>
          <w:szCs w:val="20"/>
          <w:lang w:val="es-ES"/>
        </w:rPr>
        <w:t xml:space="preserve"> To atspoguļo </w:t>
      </w:r>
      <w:r>
        <w:rPr>
          <w:i/>
          <w:sz w:val="20"/>
          <w:szCs w:val="20"/>
          <w:lang w:val="es-ES"/>
        </w:rPr>
        <w:t>NENDI</w:t>
      </w:r>
      <w:r>
        <w:rPr>
          <w:sz w:val="20"/>
          <w:szCs w:val="20"/>
          <w:lang w:val="es-ES"/>
        </w:rPr>
        <w:t xml:space="preserve"> mainīgais lielums, t. i., </w:t>
      </w:r>
      <w:r>
        <w:rPr>
          <w:i/>
          <w:sz w:val="20"/>
          <w:szCs w:val="20"/>
          <w:lang w:val="es-ES"/>
        </w:rPr>
        <w:t>NIIP</w:t>
      </w:r>
      <w:r>
        <w:rPr>
          <w:sz w:val="20"/>
          <w:szCs w:val="20"/>
          <w:lang w:val="es-ES"/>
        </w:rPr>
        <w:t xml:space="preserve"> mīnus instrumenti bez saistību neizpildes riska. </w:t>
      </w:r>
      <w:r>
        <w:rPr>
          <w:rFonts w:ascii="Times New Roman" w:hAnsi="Times New Roman"/>
          <w:sz w:val="20"/>
          <w:szCs w:val="20"/>
          <w:lang w:val="es-ES"/>
        </w:rPr>
        <w:t xml:space="preserve">Pozitīvi ir tas, ka </w:t>
      </w:r>
      <w:r>
        <w:rPr>
          <w:rFonts w:ascii="Times New Roman" w:hAnsi="Times New Roman"/>
          <w:i/>
          <w:sz w:val="20"/>
          <w:szCs w:val="20"/>
          <w:lang w:val="es-ES"/>
        </w:rPr>
        <w:t>NIIP</w:t>
      </w:r>
      <w:r>
        <w:rPr>
          <w:rFonts w:ascii="Times New Roman" w:hAnsi="Times New Roman"/>
          <w:sz w:val="20"/>
          <w:szCs w:val="20"/>
          <w:lang w:val="es-ES"/>
        </w:rPr>
        <w:t xml:space="preserve"> uzlabošanos šajās valstīs 2017. gadā galvenokārt veicināja </w:t>
      </w:r>
      <w:r>
        <w:rPr>
          <w:rFonts w:ascii="Times New Roman" w:hAnsi="Times New Roman"/>
          <w:i/>
          <w:sz w:val="20"/>
          <w:szCs w:val="20"/>
          <w:lang w:val="es-ES"/>
        </w:rPr>
        <w:t>NENDI</w:t>
      </w:r>
      <w:r>
        <w:rPr>
          <w:rFonts w:ascii="Times New Roman" w:hAnsi="Times New Roman"/>
          <w:sz w:val="20"/>
          <w:szCs w:val="20"/>
          <w:lang w:val="es-ES"/>
        </w:rPr>
        <w:t xml:space="preserve"> uzlabojumi.</w:t>
      </w:r>
    </w:p>
  </w:footnote>
  <w:footnote w:id="20">
    <w:p w:rsidR="003D03E9" w:rsidRDefault="00F77AE9">
      <w:pPr>
        <w:spacing w:after="0"/>
        <w:rPr>
          <w:sz w:val="20"/>
          <w:szCs w:val="20"/>
          <w:lang w:val="es-ES"/>
        </w:rPr>
      </w:pPr>
      <w:r>
        <w:rPr>
          <w:rStyle w:val="FootnoteReference"/>
          <w:sz w:val="20"/>
          <w:szCs w:val="20"/>
        </w:rPr>
        <w:footnoteRef/>
      </w:r>
      <w:r>
        <w:rPr>
          <w:sz w:val="20"/>
          <w:szCs w:val="20"/>
          <w:lang w:val="es-ES"/>
        </w:rPr>
        <w:t xml:space="preserve"> </w:t>
      </w:r>
      <w:r>
        <w:rPr>
          <w:i/>
          <w:sz w:val="20"/>
          <w:szCs w:val="20"/>
          <w:lang w:val="es-ES"/>
        </w:rPr>
        <w:t>NENDI</w:t>
      </w:r>
      <w:r>
        <w:rPr>
          <w:sz w:val="20"/>
          <w:szCs w:val="20"/>
          <w:lang w:val="es-ES"/>
        </w:rPr>
        <w:t xml:space="preserve"> nozīme šajā valstu grupā ievērojami atšķiras, </w:t>
      </w:r>
      <w:r>
        <w:rPr>
          <w:sz w:val="20"/>
          <w:szCs w:val="20"/>
          <w:lang w:val="es-ES"/>
        </w:rPr>
        <w:t>atspoguļojot arī šo valstu finanšu centru, piemēram, Luksemburgas un Maltas, nozīmīgumu, vai banku un starptautisko uzņēmumu galveno biroju ārējās parādsaistības, kā tas ir Nīderlandē.</w:t>
      </w:r>
    </w:p>
  </w:footnote>
  <w:footnote w:id="21">
    <w:p w:rsidR="003D03E9" w:rsidRDefault="00F77AE9">
      <w:pPr>
        <w:spacing w:after="0"/>
        <w:jc w:val="both"/>
        <w:rPr>
          <w:sz w:val="20"/>
          <w:szCs w:val="20"/>
          <w:lang w:val="es-ES"/>
        </w:rPr>
      </w:pPr>
      <w:r>
        <w:rPr>
          <w:rStyle w:val="FootnoteReference"/>
          <w:sz w:val="20"/>
          <w:szCs w:val="20"/>
        </w:rPr>
        <w:footnoteRef/>
      </w:r>
      <w:r>
        <w:rPr>
          <w:sz w:val="20"/>
          <w:szCs w:val="20"/>
          <w:lang w:val="es-ES"/>
        </w:rPr>
        <w:t xml:space="preserve"> Skatīt, piemēram, Eiropas Komisija (2018. gads), “Labour markets and </w:t>
      </w:r>
      <w:r>
        <w:rPr>
          <w:sz w:val="20"/>
          <w:szCs w:val="20"/>
          <w:lang w:val="es-ES"/>
        </w:rPr>
        <w:t xml:space="preserve">wage developments in Europe”, </w:t>
      </w:r>
      <w:r>
        <w:rPr>
          <w:i/>
          <w:sz w:val="20"/>
          <w:szCs w:val="20"/>
          <w:lang w:val="es-ES"/>
        </w:rPr>
        <w:t>Annual review 2018</w:t>
      </w:r>
      <w:r>
        <w:rPr>
          <w:sz w:val="20"/>
          <w:szCs w:val="20"/>
          <w:lang w:val="es-ES"/>
        </w:rPr>
        <w:t xml:space="preserve">, un </w:t>
      </w:r>
      <w:r>
        <w:rPr>
          <w:i/>
          <w:sz w:val="20"/>
          <w:szCs w:val="20"/>
          <w:lang w:val="es-ES"/>
        </w:rPr>
        <w:t>Z. Darvas</w:t>
      </w:r>
      <w:r>
        <w:rPr>
          <w:sz w:val="20"/>
          <w:szCs w:val="20"/>
          <w:lang w:val="es-ES"/>
        </w:rPr>
        <w:t xml:space="preserve"> un </w:t>
      </w:r>
      <w:r>
        <w:rPr>
          <w:i/>
          <w:sz w:val="20"/>
          <w:szCs w:val="20"/>
          <w:lang w:val="es-ES"/>
        </w:rPr>
        <w:t>I. Gonçalves Raposo</w:t>
      </w:r>
      <w:r>
        <w:rPr>
          <w:sz w:val="20"/>
          <w:szCs w:val="20"/>
          <w:lang w:val="es-ES"/>
        </w:rPr>
        <w:t xml:space="preserve"> (2018. gads), “The ever-rising labour shortages in Europe”, </w:t>
      </w:r>
      <w:r>
        <w:rPr>
          <w:i/>
          <w:sz w:val="20"/>
          <w:szCs w:val="20"/>
          <w:lang w:val="es-ES"/>
        </w:rPr>
        <w:t>Bruegel Blog Post</w:t>
      </w:r>
      <w:r>
        <w:rPr>
          <w:sz w:val="20"/>
          <w:szCs w:val="20"/>
          <w:lang w:val="es-ES"/>
        </w:rPr>
        <w:t>, 2018. gada 25. janvāris.</w:t>
      </w:r>
    </w:p>
  </w:footnote>
  <w:footnote w:id="22">
    <w:p w:rsidR="003D03E9" w:rsidRDefault="00F77AE9">
      <w:pPr>
        <w:spacing w:after="0"/>
        <w:jc w:val="both"/>
        <w:rPr>
          <w:sz w:val="20"/>
          <w:szCs w:val="20"/>
          <w:lang w:val="es-ES"/>
        </w:rPr>
      </w:pPr>
      <w:r>
        <w:rPr>
          <w:rStyle w:val="FootnoteReference"/>
          <w:sz w:val="20"/>
          <w:szCs w:val="20"/>
        </w:rPr>
        <w:footnoteRef/>
      </w:r>
      <w:r>
        <w:rPr>
          <w:sz w:val="20"/>
          <w:szCs w:val="20"/>
          <w:lang w:val="es-ES"/>
        </w:rPr>
        <w:t xml:space="preserve"> Lai gan peļņas normas sarukums neļauj izmaksu konkurētspējai iet</w:t>
      </w:r>
      <w:r>
        <w:rPr>
          <w:sz w:val="20"/>
          <w:szCs w:val="20"/>
          <w:lang w:val="es-ES"/>
        </w:rPr>
        <w:t>ekmēt tirdzniecības nosacījumus, tādējādi ierobežojot ietekmi uz tirdzniecības plūsmām nozarēs, kuras raksturo produktu diferencēšana un cenu noteikšana atbilstoši tirgus situācijai, noturīga samazināta rentabilitāte laika gaitā izraisītu starptautiski tir</w:t>
      </w:r>
      <w:r>
        <w:rPr>
          <w:sz w:val="20"/>
          <w:szCs w:val="20"/>
          <w:lang w:val="es-ES"/>
        </w:rPr>
        <w:t>gojamu produktu sektora sarukumu.</w:t>
      </w:r>
    </w:p>
  </w:footnote>
  <w:footnote w:id="23">
    <w:p w:rsidR="003D03E9" w:rsidRDefault="00F77AE9">
      <w:pPr>
        <w:spacing w:after="0"/>
        <w:jc w:val="both"/>
        <w:rPr>
          <w:sz w:val="20"/>
          <w:szCs w:val="20"/>
          <w:lang w:val="es-ES"/>
        </w:rPr>
      </w:pPr>
      <w:r>
        <w:rPr>
          <w:rStyle w:val="FootnoteReference"/>
          <w:sz w:val="20"/>
          <w:szCs w:val="20"/>
        </w:rPr>
        <w:footnoteRef/>
      </w:r>
      <w:r>
        <w:rPr>
          <w:sz w:val="20"/>
          <w:szCs w:val="20"/>
          <w:lang w:val="es-ES"/>
        </w:rPr>
        <w:t xml:space="preserve"> Skatīt Eiropas Komisijas 2018. gada rudens prognozi; un SVF (2018. gads), </w:t>
      </w:r>
      <w:r>
        <w:rPr>
          <w:i/>
          <w:sz w:val="20"/>
          <w:szCs w:val="20"/>
          <w:lang w:val="es-ES"/>
        </w:rPr>
        <w:t>World Economic Outlook</w:t>
      </w:r>
      <w:r>
        <w:rPr>
          <w:sz w:val="20"/>
          <w:szCs w:val="20"/>
          <w:lang w:val="es-ES"/>
        </w:rPr>
        <w:t>, 2018. gada oktobris. Eksporta rādītāju salīdzinājumu ar attīstītajām valstīm skatīt pielikuma 2.1. tabulā.</w:t>
      </w:r>
    </w:p>
  </w:footnote>
  <w:footnote w:id="24">
    <w:p w:rsidR="003D03E9" w:rsidRDefault="00F77AE9">
      <w:pPr>
        <w:spacing w:after="0"/>
        <w:jc w:val="both"/>
        <w:rPr>
          <w:sz w:val="20"/>
          <w:szCs w:val="20"/>
          <w:lang w:val="es-ES"/>
        </w:rPr>
      </w:pPr>
      <w:r>
        <w:rPr>
          <w:rStyle w:val="FootnoteReference"/>
          <w:sz w:val="20"/>
          <w:szCs w:val="20"/>
        </w:rPr>
        <w:footnoteRef/>
      </w:r>
      <w:r>
        <w:rPr>
          <w:sz w:val="20"/>
          <w:szCs w:val="20"/>
          <w:lang w:val="es-ES"/>
        </w:rPr>
        <w:t xml:space="preserve"> Eurozonas tek</w:t>
      </w:r>
      <w:r>
        <w:rPr>
          <w:sz w:val="20"/>
          <w:szCs w:val="20"/>
          <w:lang w:val="es-ES"/>
        </w:rPr>
        <w:t>ošā konta rādītāji, kuru pamatā ir maksājumu bilances dati, nesen tika nedaudz pārskatīti lejup, un tagad tie uzrāda pārpalikumu, kas ir zemāks par aptuveni 0,3 un 0,1 procentpunktiem no IKP attiecīgi 2015. un 2016. gadā, salīdzinot ar rādītājiem, kas bija</w:t>
      </w:r>
      <w:r>
        <w:rPr>
          <w:sz w:val="20"/>
          <w:szCs w:val="20"/>
          <w:lang w:val="es-ES"/>
        </w:rPr>
        <w:t xml:space="preserve"> pieejami pirms gada. Tekošā konta saldo eurozonas agregāts pret pārējo pasauli bija 3,2 % no IKP gan 2016., gan 2017. gadā, ievērojot gan maksājumu bilances, gan nacionālo kontu rādītājus. Savukārt eurozonas dalībvalstu tekošo kontu saldo summa sasniedza </w:t>
      </w:r>
      <w:r>
        <w:rPr>
          <w:sz w:val="20"/>
          <w:szCs w:val="20"/>
          <w:lang w:val="es-ES"/>
        </w:rPr>
        <w:t xml:space="preserve">attiecīgi 3,5 % un 4 % no eurozonas IKP 2016. un 2017. gadā. Atšķirības starp eurozonas agregātu un dalībvalstu tekošo kontu saldo summu ir saistītas ar asimetrijas korekcijām dalībvalstu paziņotajos datos. </w:t>
      </w:r>
    </w:p>
  </w:footnote>
  <w:footnote w:id="25">
    <w:p w:rsidR="003D03E9" w:rsidRDefault="00F77AE9">
      <w:pPr>
        <w:spacing w:after="0"/>
        <w:jc w:val="both"/>
        <w:rPr>
          <w:sz w:val="20"/>
          <w:szCs w:val="20"/>
          <w:lang w:val="es-ES"/>
        </w:rPr>
      </w:pPr>
      <w:r>
        <w:rPr>
          <w:rStyle w:val="FootnoteReference"/>
          <w:sz w:val="20"/>
          <w:szCs w:val="20"/>
        </w:rPr>
        <w:footnoteRef/>
      </w:r>
      <w:r>
        <w:rPr>
          <w:sz w:val="20"/>
          <w:szCs w:val="20"/>
          <w:lang w:val="es-ES"/>
        </w:rPr>
        <w:t xml:space="preserve"> Skatīt </w:t>
      </w:r>
      <w:r>
        <w:rPr>
          <w:sz w:val="20"/>
          <w:szCs w:val="20"/>
        </w:rPr>
        <w:fldChar w:fldCharType="begin"/>
      </w:r>
      <w:r>
        <w:rPr>
          <w:sz w:val="20"/>
          <w:szCs w:val="20"/>
          <w:lang w:val="es-ES"/>
        </w:rPr>
        <w:instrText xml:space="preserve"> NOTEREF _Ref526526513 \h  \* MERGEFORM</w:instrText>
      </w:r>
      <w:r>
        <w:rPr>
          <w:sz w:val="20"/>
          <w:szCs w:val="20"/>
          <w:lang w:val="es-ES"/>
        </w:rPr>
        <w:instrText xml:space="preserve">AT </w:instrText>
      </w:r>
      <w:r>
        <w:rPr>
          <w:sz w:val="20"/>
          <w:szCs w:val="20"/>
        </w:rPr>
      </w:r>
      <w:r>
        <w:rPr>
          <w:sz w:val="20"/>
          <w:szCs w:val="20"/>
        </w:rPr>
        <w:fldChar w:fldCharType="separate"/>
      </w:r>
      <w:r>
        <w:rPr>
          <w:sz w:val="20"/>
          <w:szCs w:val="20"/>
          <w:lang w:val="es-ES"/>
        </w:rPr>
        <w:t>16</w:t>
      </w:r>
      <w:r>
        <w:rPr>
          <w:sz w:val="20"/>
          <w:szCs w:val="20"/>
        </w:rPr>
        <w:fldChar w:fldCharType="end"/>
      </w:r>
      <w:r>
        <w:rPr>
          <w:sz w:val="20"/>
          <w:szCs w:val="20"/>
          <w:lang w:val="es-ES"/>
        </w:rPr>
        <w:t>. zemsvītras piezīmi un tajā ietvertās atsauces attiecībā uz metodiku tekošā konta saldo aprēķināšanai saskaņā ar pamatrādītājiem (tekošā konta normu). Arī SVF (</w:t>
      </w:r>
      <w:r>
        <w:rPr>
          <w:i/>
          <w:sz w:val="20"/>
          <w:szCs w:val="20"/>
          <w:lang w:val="es-ES"/>
        </w:rPr>
        <w:t xml:space="preserve">External Sector Report </w:t>
      </w:r>
      <w:r>
        <w:rPr>
          <w:i/>
          <w:sz w:val="20"/>
          <w:szCs w:val="20"/>
          <w:lang w:val="es-ES"/>
        </w:rPr>
        <w:t>2018</w:t>
      </w:r>
      <w:r>
        <w:rPr>
          <w:sz w:val="20"/>
          <w:szCs w:val="20"/>
          <w:lang w:val="es-ES"/>
        </w:rPr>
        <w:t>) ierosina eurozonas tekošā konta normu aptuveni 1,5 % no IKP apmērā.</w:t>
      </w:r>
    </w:p>
  </w:footnote>
  <w:footnote w:id="26">
    <w:p w:rsidR="003D03E9" w:rsidRDefault="00F77AE9">
      <w:pPr>
        <w:spacing w:after="0"/>
        <w:jc w:val="both"/>
        <w:rPr>
          <w:sz w:val="20"/>
          <w:szCs w:val="20"/>
          <w:lang w:val="es-ES"/>
        </w:rPr>
      </w:pPr>
      <w:r>
        <w:rPr>
          <w:rStyle w:val="FootnoteReference"/>
          <w:sz w:val="20"/>
          <w:szCs w:val="20"/>
        </w:rPr>
        <w:footnoteRef/>
      </w:r>
      <w:r>
        <w:rPr>
          <w:sz w:val="20"/>
          <w:szCs w:val="20"/>
          <w:lang w:val="es-ES"/>
        </w:rPr>
        <w:t xml:space="preserve"> Prognoze, kas balstīta nacionālo kontu rādītājos. </w:t>
      </w:r>
    </w:p>
  </w:footnote>
  <w:footnote w:id="27">
    <w:p w:rsidR="003D03E9" w:rsidRDefault="00F77AE9">
      <w:pPr>
        <w:spacing w:after="0"/>
        <w:jc w:val="both"/>
        <w:rPr>
          <w:sz w:val="20"/>
          <w:szCs w:val="20"/>
          <w:lang w:val="es-ES"/>
        </w:rPr>
      </w:pPr>
      <w:r>
        <w:rPr>
          <w:rStyle w:val="FootnoteReference"/>
          <w:sz w:val="20"/>
          <w:szCs w:val="20"/>
        </w:rPr>
        <w:footnoteRef/>
      </w:r>
      <w:r>
        <w:rPr>
          <w:sz w:val="20"/>
          <w:szCs w:val="20"/>
          <w:lang w:val="es-ES"/>
        </w:rPr>
        <w:t xml:space="preserve"> </w:t>
      </w:r>
      <w:r>
        <w:rPr>
          <w:rFonts w:ascii="Times New Roman" w:hAnsi="Times New Roman"/>
          <w:sz w:val="20"/>
          <w:szCs w:val="20"/>
          <w:lang w:val="es-ES"/>
        </w:rPr>
        <w:t xml:space="preserve">Skatīt arī ECB, </w:t>
      </w:r>
      <w:r>
        <w:rPr>
          <w:rFonts w:ascii="Times New Roman" w:hAnsi="Times New Roman"/>
          <w:i/>
          <w:sz w:val="20"/>
          <w:szCs w:val="20"/>
          <w:lang w:val="es-ES"/>
        </w:rPr>
        <w:t>Economic Bulletin</w:t>
      </w:r>
      <w:r>
        <w:rPr>
          <w:rFonts w:ascii="Times New Roman" w:hAnsi="Times New Roman"/>
          <w:sz w:val="20"/>
          <w:szCs w:val="20"/>
          <w:lang w:val="es-ES"/>
        </w:rPr>
        <w:t xml:space="preserve">, 05/2018, 2. izcēlumu. </w:t>
      </w:r>
    </w:p>
  </w:footnote>
  <w:footnote w:id="28">
    <w:p w:rsidR="003D03E9" w:rsidRDefault="00F77AE9">
      <w:pPr>
        <w:spacing w:after="0"/>
        <w:jc w:val="both"/>
        <w:rPr>
          <w:rFonts w:ascii="Times New Roman" w:hAnsi="Times New Roman" w:cs="Times New Roman"/>
          <w:sz w:val="20"/>
          <w:szCs w:val="20"/>
          <w:lang w:val="es-ES"/>
        </w:rPr>
      </w:pPr>
      <w:r>
        <w:rPr>
          <w:rStyle w:val="FootnoteReference"/>
          <w:rFonts w:ascii="Times New Roman" w:hAnsi="Times New Roman"/>
          <w:sz w:val="20"/>
          <w:szCs w:val="20"/>
        </w:rPr>
        <w:footnoteRef/>
      </w:r>
      <w:r>
        <w:rPr>
          <w:rFonts w:ascii="Times New Roman" w:hAnsi="Times New Roman"/>
          <w:sz w:val="20"/>
          <w:szCs w:val="20"/>
          <w:lang w:val="es-ES"/>
        </w:rPr>
        <w:t xml:space="preserve"> Novērtējot enerģijas bilances perspektīvas, būtu jāņem vērā arī pakāpeniskais strukturālais uzlabojums eurozonas enerģijas bilancē pie konkrētā naftas cenas līmeņa, kas saistīts ar energoietilpīgo darbību mazāku nozīmi un ražošanas procesu energoefektivit</w:t>
      </w:r>
      <w:r>
        <w:rPr>
          <w:rFonts w:ascii="Times New Roman" w:hAnsi="Times New Roman"/>
          <w:sz w:val="20"/>
          <w:szCs w:val="20"/>
          <w:lang w:val="es-ES"/>
        </w:rPr>
        <w:t xml:space="preserve">ātes pieaugumu. Skatīt, piemēram, </w:t>
      </w:r>
      <w:r>
        <w:rPr>
          <w:rFonts w:ascii="Times New Roman" w:hAnsi="Times New Roman"/>
          <w:i/>
          <w:sz w:val="20"/>
          <w:szCs w:val="20"/>
          <w:lang w:val="es-ES"/>
        </w:rPr>
        <w:t>IAE</w:t>
      </w:r>
      <w:r>
        <w:rPr>
          <w:rFonts w:ascii="Times New Roman" w:hAnsi="Times New Roman"/>
          <w:sz w:val="20"/>
          <w:szCs w:val="20"/>
          <w:lang w:val="es-ES"/>
        </w:rPr>
        <w:t xml:space="preserve"> (2018), “Energy Efficiency 2017”, Starptautiskā Enerģētikas aģentūra.</w:t>
      </w:r>
    </w:p>
  </w:footnote>
  <w:footnote w:id="29">
    <w:p w:rsidR="003D03E9" w:rsidRDefault="00F77AE9">
      <w:pPr>
        <w:spacing w:after="0"/>
        <w:jc w:val="both"/>
        <w:rPr>
          <w:sz w:val="20"/>
          <w:szCs w:val="20"/>
          <w:lang w:val="es-ES"/>
        </w:rPr>
      </w:pPr>
      <w:r>
        <w:rPr>
          <w:rStyle w:val="FootnoteReference"/>
          <w:sz w:val="20"/>
          <w:szCs w:val="20"/>
        </w:rPr>
        <w:footnoteRef/>
      </w:r>
      <w:r>
        <w:rPr>
          <w:sz w:val="20"/>
          <w:szCs w:val="20"/>
          <w:lang w:val="es-ES"/>
        </w:rPr>
        <w:t xml:space="preserve"> Skatīt Eiropas Komisijas 2019. gada izaugsmes pētījumu un </w:t>
      </w:r>
      <w:r>
        <w:rPr>
          <w:i/>
          <w:sz w:val="20"/>
          <w:szCs w:val="20"/>
          <w:lang w:val="es-ES"/>
        </w:rPr>
        <w:t>B. Pierluigi</w:t>
      </w:r>
      <w:r>
        <w:rPr>
          <w:sz w:val="20"/>
          <w:szCs w:val="20"/>
          <w:lang w:val="es-ES"/>
        </w:rPr>
        <w:t xml:space="preserve"> un </w:t>
      </w:r>
      <w:r>
        <w:rPr>
          <w:i/>
          <w:sz w:val="20"/>
          <w:szCs w:val="20"/>
          <w:lang w:val="es-ES"/>
        </w:rPr>
        <w:t>D. Sondermann</w:t>
      </w:r>
      <w:r>
        <w:rPr>
          <w:sz w:val="20"/>
          <w:szCs w:val="20"/>
          <w:lang w:val="es-ES"/>
        </w:rPr>
        <w:t xml:space="preserve"> (2018), “Macroeconomic imbalances in the euro area:</w:t>
      </w:r>
      <w:r>
        <w:rPr>
          <w:rFonts w:ascii="Times New Roman" w:hAnsi="Times New Roman"/>
          <w:sz w:val="20"/>
          <w:szCs w:val="20"/>
          <w:lang w:val="es-ES"/>
        </w:rPr>
        <w:t xml:space="preserve"> where </w:t>
      </w:r>
      <w:r>
        <w:rPr>
          <w:rFonts w:ascii="Times New Roman" w:hAnsi="Times New Roman"/>
          <w:sz w:val="20"/>
          <w:szCs w:val="20"/>
          <w:lang w:val="es-ES"/>
        </w:rPr>
        <w:t xml:space="preserve">do we stand?” </w:t>
      </w:r>
      <w:r>
        <w:rPr>
          <w:i/>
          <w:sz w:val="20"/>
          <w:szCs w:val="20"/>
          <w:lang w:val="es-ES"/>
        </w:rPr>
        <w:t>ECB Occasional Paper</w:t>
      </w:r>
      <w:r>
        <w:rPr>
          <w:sz w:val="20"/>
          <w:szCs w:val="20"/>
          <w:lang w:val="es-ES"/>
        </w:rPr>
        <w:t xml:space="preserve"> 211/2018.</w:t>
      </w:r>
    </w:p>
  </w:footnote>
  <w:footnote w:id="30">
    <w:p w:rsidR="003D03E9" w:rsidRDefault="00F77AE9">
      <w:pPr>
        <w:spacing w:after="0"/>
        <w:jc w:val="both"/>
        <w:rPr>
          <w:sz w:val="20"/>
          <w:szCs w:val="20"/>
          <w:lang w:val="es-ES"/>
        </w:rPr>
      </w:pPr>
      <w:r>
        <w:rPr>
          <w:rStyle w:val="FootnoteReference"/>
          <w:sz w:val="20"/>
          <w:szCs w:val="20"/>
        </w:rPr>
        <w:footnoteRef/>
      </w:r>
      <w:r>
        <w:rPr>
          <w:sz w:val="20"/>
          <w:szCs w:val="20"/>
          <w:lang w:val="es-ES"/>
        </w:rPr>
        <w:t xml:space="preserve"> Šos faktorus ņem vērā konkrētām valstīm adresētās robežvērtībās, ko sadarbībā ar Ekonomikas politikas komitejas (</w:t>
      </w:r>
      <w:r>
        <w:rPr>
          <w:i/>
          <w:sz w:val="20"/>
          <w:szCs w:val="20"/>
          <w:lang w:val="es-ES"/>
        </w:rPr>
        <w:t>EPC</w:t>
      </w:r>
      <w:r>
        <w:rPr>
          <w:sz w:val="20"/>
          <w:szCs w:val="20"/>
          <w:lang w:val="es-ES"/>
        </w:rPr>
        <w:t>)</w:t>
      </w:r>
      <w:r>
        <w:rPr>
          <w:i/>
          <w:sz w:val="20"/>
          <w:szCs w:val="20"/>
          <w:lang w:val="es-ES"/>
        </w:rPr>
        <w:t xml:space="preserve"> LIME</w:t>
      </w:r>
      <w:r>
        <w:rPr>
          <w:sz w:val="20"/>
          <w:szCs w:val="20"/>
          <w:lang w:val="es-ES"/>
        </w:rPr>
        <w:t xml:space="preserve"> darba grupu izstrādā Eiropas Komisija (Eiropas Komisija, “Benchmarks for the assessmen</w:t>
      </w:r>
      <w:r>
        <w:rPr>
          <w:sz w:val="20"/>
          <w:szCs w:val="20"/>
          <w:lang w:val="es-ES"/>
        </w:rPr>
        <w:t>t of private debt”, paziņojums Ekonomikas politikas komitejai, ARES (2017) 4970814. Pirmā robežvērtība ļauj novērtēt privātā sektora parāda attiecību pret vērtībām, kuras var izskaidrot, balstoties uz ekonomikas pamatrādītājiem. Otrā robežvērtība ietver pr</w:t>
      </w:r>
      <w:r>
        <w:rPr>
          <w:sz w:val="20"/>
          <w:szCs w:val="20"/>
          <w:lang w:val="es-ES"/>
        </w:rPr>
        <w:t>udenciālās robežvērtības, kas balstītas uz signāla stipruma maksimālu palielināšanu, prognozējot banku krīzes, un ietver konkrētai valstij adresētu informāciju par banku kapitalizāciju, valdības parādu un ekonomikas attīstības līmeni. Lielākajā daļā ES dal</w:t>
      </w:r>
      <w:r>
        <w:rPr>
          <w:sz w:val="20"/>
          <w:szCs w:val="20"/>
          <w:lang w:val="es-ES"/>
        </w:rPr>
        <w:t>ībvalstu privātā sektora parāda attiecības pret IKP, kas pārsniedz BMZ rādītāju kopsavilkumā noteikto robežvērtību, pārsniedz arī abas konkrētām valstīm adresētās robežvērtībās.</w:t>
      </w:r>
    </w:p>
  </w:footnote>
  <w:footnote w:id="31">
    <w:p w:rsidR="003D03E9" w:rsidRDefault="00F77AE9">
      <w:pPr>
        <w:spacing w:after="0"/>
        <w:jc w:val="both"/>
        <w:rPr>
          <w:rFonts w:ascii="Times New Roman" w:hAnsi="Times New Roman" w:cs="Times New Roman"/>
          <w:sz w:val="20"/>
          <w:szCs w:val="20"/>
          <w:lang w:val="es-ES"/>
        </w:rPr>
      </w:pPr>
      <w:r>
        <w:rPr>
          <w:rStyle w:val="FootnoteReference"/>
          <w:rFonts w:ascii="Times New Roman" w:hAnsi="Times New Roman"/>
          <w:sz w:val="20"/>
          <w:szCs w:val="20"/>
        </w:rPr>
        <w:footnoteRef/>
      </w:r>
      <w:r>
        <w:rPr>
          <w:rFonts w:ascii="Times New Roman" w:hAnsi="Times New Roman"/>
          <w:sz w:val="20"/>
          <w:szCs w:val="20"/>
          <w:lang w:val="es-ES"/>
        </w:rPr>
        <w:t xml:space="preserve"> </w:t>
      </w:r>
      <w:r>
        <w:rPr>
          <w:sz w:val="20"/>
          <w:szCs w:val="20"/>
          <w:lang w:val="es-ES"/>
        </w:rPr>
        <w:t>Izņēmums ir Čehija un Slovākija. Pirmajā gadījumā finanšu sektora saistību s</w:t>
      </w:r>
      <w:r>
        <w:rPr>
          <w:sz w:val="20"/>
          <w:szCs w:val="20"/>
          <w:lang w:val="es-ES"/>
        </w:rPr>
        <w:t>traujais pieaugums 2017. gadā lielā mērā ir attiecināms uz finanšu darījumiem pirms valūtas kursa saistību termiņa beigām un tādējādi neatspoguļo iekšzemes aizdevumu darbību. Slovākijā pieaugums galvenokārt bija saistīts ar centrālās bankas saistību pieaug</w:t>
      </w:r>
      <w:r>
        <w:rPr>
          <w:sz w:val="20"/>
          <w:szCs w:val="20"/>
          <w:lang w:val="es-ES"/>
        </w:rPr>
        <w:t>umu pret ārpus eurozonas esošo valstu rezidentiem. Tas varētu būt saistīts ar Slovākijas Valsts bankas sniegtajiem rezervju pārvaldības pakalpojumiem, kuriem nav tūlītējas ietekmes uz iekšzemes ekonomiku.</w:t>
      </w:r>
    </w:p>
  </w:footnote>
  <w:footnote w:id="32">
    <w:p w:rsidR="003D03E9" w:rsidRDefault="00F77AE9">
      <w:pPr>
        <w:spacing w:after="0"/>
        <w:jc w:val="both"/>
        <w:rPr>
          <w:sz w:val="20"/>
          <w:szCs w:val="20"/>
          <w:lang w:val="es-ES"/>
        </w:rPr>
      </w:pPr>
      <w:r>
        <w:rPr>
          <w:rStyle w:val="FootnoteReference"/>
          <w:sz w:val="20"/>
          <w:szCs w:val="20"/>
        </w:rPr>
        <w:footnoteRef/>
      </w:r>
      <w:r>
        <w:rPr>
          <w:sz w:val="20"/>
          <w:szCs w:val="20"/>
          <w:lang w:val="es-ES"/>
        </w:rPr>
        <w:t xml:space="preserve"> INA palīgrādītāju kopsavilkumā tiek definēti kā k</w:t>
      </w:r>
      <w:r>
        <w:rPr>
          <w:sz w:val="20"/>
          <w:szCs w:val="20"/>
          <w:lang w:val="es-ES"/>
        </w:rPr>
        <w:t>opējie bruto INA un avansi kā procentuālā daļa no kopējiem bruto aizdevumiem un avansiem (bruto uzskaites vērtība) ziņošanas sektorā “iekšzemes banku grupas un neatkarīgas bankas, ārvalstu kontrolēti meitasuzņēmumi un ārvalstu kontrolētas filiāles, visas i</w:t>
      </w:r>
      <w:r>
        <w:rPr>
          <w:sz w:val="20"/>
          <w:szCs w:val="20"/>
          <w:lang w:val="es-ES"/>
        </w:rPr>
        <w:t>estādes”. Skaitļi ir sniegti 2.1. tabulā.</w:t>
      </w:r>
    </w:p>
  </w:footnote>
  <w:footnote w:id="33">
    <w:p w:rsidR="003D03E9" w:rsidRDefault="00F77AE9">
      <w:pPr>
        <w:spacing w:after="0"/>
        <w:jc w:val="both"/>
        <w:rPr>
          <w:sz w:val="20"/>
          <w:szCs w:val="20"/>
          <w:lang w:val="es-ES"/>
        </w:rPr>
      </w:pPr>
      <w:r>
        <w:rPr>
          <w:rStyle w:val="FootnoteReference"/>
          <w:sz w:val="20"/>
          <w:szCs w:val="20"/>
        </w:rPr>
        <w:footnoteRef/>
      </w:r>
      <w:r>
        <w:rPr>
          <w:sz w:val="20"/>
          <w:szCs w:val="20"/>
          <w:lang w:val="es-ES"/>
        </w:rPr>
        <w:t xml:space="preserve"> Rādītāji par saskaņoto INA īpatsvaru ir pieejami tikai kopš 2014. gada. 17. grafikā ir norādīts bruto ieņēmumus nenesošu parāda instrumentu īpatsvars kopējos bruto parāda instrumentos, kas ir pieejams garākās lai</w:t>
      </w:r>
      <w:r>
        <w:rPr>
          <w:sz w:val="20"/>
          <w:szCs w:val="20"/>
          <w:lang w:val="es-ES"/>
        </w:rPr>
        <w:t xml:space="preserve">krindās un (papildus aizdevumiem) attiecas arī uz citiem parāda instrumentiem, kas ir banku sektora rīcībā. Pēdējais minētais parasti ir nedaudz mazāks nekā INA īpatsvars. Vislielākā atšķirība starp abiem īpatsvariem pašlaik ir 4 procentpunkti (Grieķijā), </w:t>
      </w:r>
      <w:r>
        <w:rPr>
          <w:sz w:val="20"/>
          <w:szCs w:val="20"/>
          <w:lang w:val="es-ES"/>
        </w:rPr>
        <w:t>bet lielākajā daļā dalībvalstu tā ir mazāka par 1 procentpunktu.</w:t>
      </w:r>
    </w:p>
  </w:footnote>
  <w:footnote w:id="34">
    <w:p w:rsidR="003D03E9" w:rsidRDefault="00F77AE9">
      <w:pPr>
        <w:spacing w:after="0"/>
        <w:jc w:val="both"/>
        <w:rPr>
          <w:rFonts w:ascii="Times New Roman" w:hAnsi="Times New Roman" w:cs="Times New Roman"/>
          <w:sz w:val="20"/>
          <w:szCs w:val="20"/>
          <w:lang w:val="es-ES"/>
        </w:rPr>
      </w:pPr>
      <w:r>
        <w:rPr>
          <w:rStyle w:val="FootnoteReference"/>
          <w:rFonts w:ascii="Times New Roman" w:hAnsi="Times New Roman"/>
          <w:sz w:val="20"/>
          <w:szCs w:val="20"/>
        </w:rPr>
        <w:footnoteRef/>
      </w:r>
      <w:r>
        <w:rPr>
          <w:rFonts w:ascii="Times New Roman" w:hAnsi="Times New Roman"/>
          <w:sz w:val="20"/>
          <w:szCs w:val="20"/>
          <w:lang w:val="es-ES"/>
        </w:rPr>
        <w:t xml:space="preserve"> Cenu novērtējumu analīze balstās vidēji uz trim rādītājiem: i) pieejamības cenas ziņā starpība (cenas attiecības pret ienākumiem novirze, ņemot vērā tās ilgtermiņa vidējo lielumu); ii) divi</w:t>
      </w:r>
      <w:r>
        <w:rPr>
          <w:rFonts w:ascii="Times New Roman" w:hAnsi="Times New Roman"/>
          <w:sz w:val="20"/>
          <w:szCs w:val="20"/>
          <w:lang w:val="es-ES"/>
        </w:rPr>
        <w:t xml:space="preserve">denžu starpība (cenas attiecības pret īres maksu novirze no tās ilgtermiņa vidējā lieluma) un iii) aprēķins par mājokļu cenu novirzi no līdzsvara vērtībām, kas balstās uz mājokļu pieprasījuma un piedāvājuma pamatprincipiem. Sk. </w:t>
      </w:r>
      <w:r>
        <w:rPr>
          <w:rFonts w:ascii="Times New Roman" w:hAnsi="Times New Roman"/>
          <w:i/>
          <w:sz w:val="20"/>
          <w:szCs w:val="20"/>
          <w:lang w:val="es-ES"/>
        </w:rPr>
        <w:t xml:space="preserve">N. Philiponnet </w:t>
      </w:r>
      <w:r>
        <w:rPr>
          <w:rFonts w:ascii="Times New Roman" w:hAnsi="Times New Roman"/>
          <w:sz w:val="20"/>
          <w:szCs w:val="20"/>
          <w:lang w:val="es-ES"/>
        </w:rPr>
        <w:t>un</w:t>
      </w:r>
      <w:r>
        <w:rPr>
          <w:rFonts w:ascii="Times New Roman" w:hAnsi="Times New Roman"/>
          <w:i/>
          <w:sz w:val="20"/>
          <w:szCs w:val="20"/>
          <w:lang w:val="es-ES"/>
        </w:rPr>
        <w:t xml:space="preserve"> A. Turrini</w:t>
      </w:r>
      <w:r>
        <w:rPr>
          <w:rFonts w:ascii="Times New Roman" w:hAnsi="Times New Roman"/>
          <w:sz w:val="20"/>
          <w:szCs w:val="20"/>
          <w:lang w:val="es-ES"/>
        </w:rPr>
        <w:t xml:space="preserve"> (2017. g.), “Assessing House Price Developments in the EU” (“Novērtējums par mājokļu cenu attīstību ES”), Eiropas Komisijas diskusiju dokuments Nr. 048, 2017. gada maijs. Alternatīvs rādītājs, kura pamatā ir mājokļu cenu līmeņu attiecība pret mājsaimniecī</w:t>
      </w:r>
      <w:r>
        <w:rPr>
          <w:rFonts w:ascii="Times New Roman" w:hAnsi="Times New Roman"/>
          <w:sz w:val="20"/>
          <w:szCs w:val="20"/>
          <w:lang w:val="es-ES"/>
        </w:rPr>
        <w:t xml:space="preserve">bu izmantojamajiem ienākumiem uz vienu iedzīvotāju, liecina, ka pārāk augsts novērtējums varētu būt Horvātijā, Kiprā un Igaunijā, savukārt Dānijā, Čehijā un Latvijā pārāk augsta novērtējuma pazīmes ir mazāk izteiktas (sk. Eiropas Komisija, </w:t>
      </w:r>
      <w:r>
        <w:rPr>
          <w:rFonts w:ascii="Times New Roman" w:hAnsi="Times New Roman"/>
          <w:i/>
          <w:sz w:val="20"/>
          <w:szCs w:val="20"/>
          <w:lang w:val="es-ES"/>
        </w:rPr>
        <w:t>European Economi</w:t>
      </w:r>
      <w:r>
        <w:rPr>
          <w:rFonts w:ascii="Times New Roman" w:hAnsi="Times New Roman"/>
          <w:i/>
          <w:sz w:val="20"/>
          <w:szCs w:val="20"/>
          <w:lang w:val="es-ES"/>
        </w:rPr>
        <w:t>c Forecast — Winter 2016</w:t>
      </w:r>
      <w:r>
        <w:rPr>
          <w:rFonts w:ascii="Times New Roman" w:hAnsi="Times New Roman"/>
          <w:sz w:val="20"/>
          <w:szCs w:val="20"/>
          <w:lang w:val="es-ES"/>
        </w:rPr>
        <w:t xml:space="preserve"> (“Eiropas ekonomikas 2016. gada ziemas prognoze”), </w:t>
      </w:r>
      <w:r>
        <w:rPr>
          <w:rFonts w:ascii="Times New Roman" w:hAnsi="Times New Roman"/>
          <w:i/>
          <w:sz w:val="20"/>
          <w:szCs w:val="20"/>
          <w:lang w:val="es-ES"/>
        </w:rPr>
        <w:t>European Economy</w:t>
      </w:r>
      <w:r>
        <w:rPr>
          <w:rFonts w:ascii="Times New Roman" w:hAnsi="Times New Roman"/>
          <w:sz w:val="20"/>
          <w:szCs w:val="20"/>
          <w:lang w:val="es-ES"/>
        </w:rPr>
        <w:t>, Iestāžu dokuments Nr. 20, 2016. g. (1.4. izcēlums)).</w:t>
      </w:r>
    </w:p>
  </w:footnote>
  <w:footnote w:id="35">
    <w:p w:rsidR="003D03E9" w:rsidRDefault="00F77AE9">
      <w:pPr>
        <w:spacing w:after="0"/>
        <w:jc w:val="both"/>
        <w:rPr>
          <w:sz w:val="20"/>
          <w:szCs w:val="20"/>
          <w:lang w:val="es-ES"/>
        </w:rPr>
      </w:pPr>
      <w:r>
        <w:rPr>
          <w:rStyle w:val="FootnoteReference"/>
          <w:sz w:val="20"/>
          <w:szCs w:val="20"/>
        </w:rPr>
        <w:footnoteRef/>
      </w:r>
      <w:r>
        <w:rPr>
          <w:sz w:val="20"/>
          <w:szCs w:val="20"/>
          <w:lang w:val="es-ES"/>
        </w:rPr>
        <w:t xml:space="preserve"> Minētajās valstīs 2018. gada pirmajā pusē mājokļu reālo cenu pieauguma temps bija vismaz 2 procentpunktus v</w:t>
      </w:r>
      <w:r>
        <w:rPr>
          <w:sz w:val="20"/>
          <w:szCs w:val="20"/>
          <w:lang w:val="es-ES"/>
        </w:rPr>
        <w:t>irs vai zem gada izaugsmes rādītāja 2017. gadā.</w:t>
      </w:r>
    </w:p>
  </w:footnote>
  <w:footnote w:id="36">
    <w:p w:rsidR="003D03E9" w:rsidRDefault="00F77AE9">
      <w:pPr>
        <w:spacing w:after="0"/>
        <w:jc w:val="both"/>
        <w:rPr>
          <w:rFonts w:ascii="Times New Roman" w:hAnsi="Times New Roman" w:cs="Times New Roman"/>
          <w:sz w:val="20"/>
          <w:szCs w:val="20"/>
          <w:lang w:val="es-ES"/>
        </w:rPr>
      </w:pPr>
      <w:r>
        <w:rPr>
          <w:rStyle w:val="FootnoteReference"/>
          <w:rFonts w:ascii="Times New Roman" w:hAnsi="Times New Roman"/>
          <w:sz w:val="20"/>
          <w:szCs w:val="20"/>
        </w:rPr>
        <w:footnoteRef/>
      </w:r>
      <w:r>
        <w:rPr>
          <w:rFonts w:ascii="Times New Roman" w:hAnsi="Times New Roman"/>
          <w:sz w:val="20"/>
          <w:szCs w:val="20"/>
          <w:lang w:val="es-ES"/>
        </w:rPr>
        <w:t xml:space="preserve"> Ar rādītāju “nabadzības vai sociālās atstumtības riskam pakļauts” (AROPE) tiek raksturots to personu īpatsvars, kuras ir uzskatāmas par neaizsargātām atbilstoši vismaz vienam no šiem trim sociālajiem rādītā</w:t>
      </w:r>
      <w:r>
        <w:rPr>
          <w:rFonts w:ascii="Times New Roman" w:hAnsi="Times New Roman"/>
          <w:sz w:val="20"/>
          <w:szCs w:val="20"/>
          <w:lang w:val="es-ES"/>
        </w:rPr>
        <w:t>jiem: 1) </w:t>
      </w:r>
      <w:r>
        <w:rPr>
          <w:rFonts w:ascii="Times New Roman" w:hAnsi="Times New Roman"/>
          <w:i/>
          <w:sz w:val="20"/>
          <w:szCs w:val="20"/>
          <w:lang w:val="es-ES"/>
        </w:rPr>
        <w:t xml:space="preserve">nabadzības riskam pakļauts </w:t>
      </w:r>
      <w:r>
        <w:rPr>
          <w:rFonts w:ascii="Times New Roman" w:hAnsi="Times New Roman"/>
          <w:sz w:val="20"/>
          <w:szCs w:val="20"/>
          <w:lang w:val="es-ES"/>
        </w:rPr>
        <w:t>(AROP) ir rādītājs, ar ko izsaka monetāro nabadzību salīdzinājumā ar nacionālā ienākuma sadali un ko aprēķina kā to personu īpatsvaru, kuru izmantojamie ienākumi (koriģēti atbilstoši mājsaimniecības sastāvam) ir zemāki p</w:t>
      </w:r>
      <w:r>
        <w:rPr>
          <w:rFonts w:ascii="Times New Roman" w:hAnsi="Times New Roman"/>
          <w:sz w:val="20"/>
          <w:szCs w:val="20"/>
          <w:lang w:val="es-ES"/>
        </w:rPr>
        <w:t>ar 60 % no valsts mediānas; 2) </w:t>
      </w:r>
      <w:r>
        <w:rPr>
          <w:rFonts w:ascii="Times New Roman" w:hAnsi="Times New Roman"/>
          <w:i/>
          <w:sz w:val="20"/>
          <w:szCs w:val="20"/>
          <w:lang w:val="es-ES"/>
        </w:rPr>
        <w:t xml:space="preserve">smaga materiālā nenodrošinātība </w:t>
      </w:r>
      <w:r>
        <w:rPr>
          <w:rFonts w:ascii="Times New Roman" w:hAnsi="Times New Roman"/>
          <w:sz w:val="20"/>
          <w:szCs w:val="20"/>
          <w:lang w:val="es-ES"/>
        </w:rPr>
        <w:t>(SMD) ietver rādītājus, kas saistīti ar resursu nepietiekamību, un izsaka to personu īpatsvaru, kuri atbilst vismaz četriem no deviņiem nenodrošinātības kritērijiem, pamatojoties uz nespēju atļ</w:t>
      </w:r>
      <w:r>
        <w:rPr>
          <w:rFonts w:ascii="Times New Roman" w:hAnsi="Times New Roman"/>
          <w:sz w:val="20"/>
          <w:szCs w:val="20"/>
          <w:lang w:val="es-ES"/>
        </w:rPr>
        <w:t>auties dažu konkrētu veidu izdevumus; 3) </w:t>
      </w:r>
      <w:r>
        <w:rPr>
          <w:rFonts w:ascii="Times New Roman" w:hAnsi="Times New Roman"/>
          <w:i/>
          <w:sz w:val="20"/>
          <w:szCs w:val="20"/>
          <w:lang w:val="es-ES"/>
        </w:rPr>
        <w:t>personas, kas dzīvo mājsaimniecībās, kurās ir ļoti zema darba intensitāte</w:t>
      </w:r>
      <w:r>
        <w:rPr>
          <w:rFonts w:ascii="Times New Roman" w:hAnsi="Times New Roman"/>
          <w:sz w:val="20"/>
          <w:szCs w:val="20"/>
          <w:lang w:val="es-ES"/>
        </w:rPr>
        <w:t>, ir 0–59 gadus vecas personas, kas dzīvo mājsaimniecībās, kurās pieaugušie (vecumā no 18 līdz 59 gadiem) pēdējā gadā ir izmantojuši mazāk par</w:t>
      </w:r>
      <w:r>
        <w:rPr>
          <w:rFonts w:ascii="Times New Roman" w:hAnsi="Times New Roman"/>
          <w:sz w:val="20"/>
          <w:szCs w:val="20"/>
          <w:lang w:val="es-ES"/>
        </w:rPr>
        <w:t xml:space="preserve"> 20 % no sava kopējā nodarbinātības potenciāla. Visās valstīs ienākumu pārskata periods datiem, kas ir šo rādītāju pamatā, ir fiksēts 12 mēnešu periods (piem., iepriekšējais kalendārais vai taksācijas gads, uz ko attiecas dati), izņemot Apvienoto Karalisti</w:t>
      </w:r>
      <w:r>
        <w:rPr>
          <w:rFonts w:ascii="Times New Roman" w:hAnsi="Times New Roman"/>
          <w:sz w:val="20"/>
          <w:szCs w:val="20"/>
          <w:lang w:val="es-ES"/>
        </w:rPr>
        <w:t>, kurā ienākumu pārskata periods ir kārtējais gads, un Īriju, kur apsekojumu veic pastāvīgi un informāciju par ienākumu apkopo par pēdējiem 12 mēnešiem. Šā ziņojuma sagatavošanas brīdī 2017. gada dati bija pieejami par visām valstīm, izņemot Īriju un Apvie</w:t>
      </w:r>
      <w:r>
        <w:rPr>
          <w:rFonts w:ascii="Times New Roman" w:hAnsi="Times New Roman"/>
          <w:sz w:val="20"/>
          <w:szCs w:val="20"/>
          <w:lang w:val="es-ES"/>
        </w:rPr>
        <w:t xml:space="preserve">noto Karalisti. </w:t>
      </w:r>
    </w:p>
  </w:footnote>
  <w:footnote w:id="37">
    <w:p w:rsidR="003D03E9" w:rsidRDefault="00F77AE9">
      <w:pPr>
        <w:spacing w:after="0"/>
        <w:rPr>
          <w:sz w:val="20"/>
          <w:szCs w:val="20"/>
          <w:lang w:val="es-ES"/>
        </w:rPr>
      </w:pPr>
      <w:r>
        <w:rPr>
          <w:rStyle w:val="FootnoteReference"/>
          <w:sz w:val="20"/>
          <w:szCs w:val="20"/>
        </w:rPr>
        <w:footnoteRef/>
      </w:r>
      <w:r>
        <w:rPr>
          <w:sz w:val="20"/>
          <w:szCs w:val="20"/>
          <w:lang w:val="es-ES"/>
        </w:rPr>
        <w:t xml:space="preserve"> Apakšuzņēmēju veiktā ražošana ir process, kurā starptautiskie rezidentuzņēmumi slēdz līgumus ar ārvalstu uzņēmumiem, lai tie ražotu preces viņu vārdā. Tā kā šīs preces pieder rezidentuzņēmumiem, to pārdošanas apjomus reģistrē kā rezident</w:t>
      </w:r>
      <w:r>
        <w:rPr>
          <w:sz w:val="20"/>
          <w:szCs w:val="20"/>
          <w:lang w:val="es-ES"/>
        </w:rPr>
        <w:t>valsts eksportu, lai gan tie nenonāk iekšzemes ekonomikā.</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7AE9" w:rsidRPr="00F77AE9" w:rsidRDefault="00F77AE9" w:rsidP="00F77A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7AE9" w:rsidRPr="00F77AE9" w:rsidRDefault="00F77AE9" w:rsidP="00F77AE9">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7AE9" w:rsidRPr="00F77AE9" w:rsidRDefault="00F77AE9" w:rsidP="00F77AE9">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03E9" w:rsidRDefault="003D03E9"/>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03E9" w:rsidRDefault="003D03E9">
    <w:pPr>
      <w:jc w:val="center"/>
    </w:pPr>
  </w:p>
  <w:p w:rsidR="003D03E9" w:rsidRDefault="003D03E9"/>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03E9" w:rsidRDefault="003D03E9"/>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03E9" w:rsidRDefault="003D03E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03E9" w:rsidRDefault="003D03E9">
    <w:pPr>
      <w:pStyle w:val="Header"/>
      <w:jc w:val="center"/>
    </w:pPr>
  </w:p>
  <w:p w:rsidR="003D03E9" w:rsidRDefault="003D03E9"/>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03E9" w:rsidRDefault="003D03E9"/>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1377C"/>
    <w:multiLevelType w:val="hybridMultilevel"/>
    <w:tmpl w:val="6D8E5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5F1726"/>
    <w:multiLevelType w:val="hybridMultilevel"/>
    <w:tmpl w:val="8AAEDBB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F7A7296"/>
    <w:multiLevelType w:val="hybridMultilevel"/>
    <w:tmpl w:val="445E3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C92108"/>
    <w:multiLevelType w:val="hybridMultilevel"/>
    <w:tmpl w:val="F2A41C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F36DCD"/>
    <w:multiLevelType w:val="hybridMultilevel"/>
    <w:tmpl w:val="74A2F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DE518B"/>
    <w:multiLevelType w:val="hybridMultilevel"/>
    <w:tmpl w:val="05224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E42AE7"/>
    <w:multiLevelType w:val="hybridMultilevel"/>
    <w:tmpl w:val="5464E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1C44E0"/>
    <w:multiLevelType w:val="hybridMultilevel"/>
    <w:tmpl w:val="0D62B1C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47C7184">
      <w:start w:val="2"/>
      <w:numFmt w:val="bullet"/>
      <w:lvlText w:val="-"/>
      <w:lvlJc w:val="left"/>
      <w:pPr>
        <w:ind w:left="1800" w:hanging="360"/>
      </w:pPr>
      <w:rPr>
        <w:rFonts w:ascii="Arial" w:eastAsia="Times New Roman" w:hAnsi="Arial" w:cs="Arial"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F9344DC"/>
    <w:multiLevelType w:val="hybridMultilevel"/>
    <w:tmpl w:val="F7D071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F163E3"/>
    <w:multiLevelType w:val="hybridMultilevel"/>
    <w:tmpl w:val="9CA60DEA"/>
    <w:lvl w:ilvl="0" w:tplc="08090001">
      <w:start w:val="1"/>
      <w:numFmt w:val="bullet"/>
      <w:lvlText w:val=""/>
      <w:lvlJc w:val="left"/>
      <w:pPr>
        <w:ind w:left="1080" w:hanging="7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EFD3823"/>
    <w:multiLevelType w:val="hybridMultilevel"/>
    <w:tmpl w:val="B262E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E14B34"/>
    <w:multiLevelType w:val="hybridMultilevel"/>
    <w:tmpl w:val="A7C23D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46656148"/>
    <w:multiLevelType w:val="hybridMultilevel"/>
    <w:tmpl w:val="2EB428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4F302FEF"/>
    <w:multiLevelType w:val="hybridMultilevel"/>
    <w:tmpl w:val="545CE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DB28BF"/>
    <w:multiLevelType w:val="hybridMultilevel"/>
    <w:tmpl w:val="B0541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068492C"/>
    <w:multiLevelType w:val="hybridMultilevel"/>
    <w:tmpl w:val="F6D0283E"/>
    <w:lvl w:ilvl="0" w:tplc="30BC21FE">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B764E67"/>
    <w:multiLevelType w:val="hybridMultilevel"/>
    <w:tmpl w:val="37808968"/>
    <w:lvl w:ilvl="0" w:tplc="08090001">
      <w:start w:val="1"/>
      <w:numFmt w:val="bullet"/>
      <w:lvlText w:val=""/>
      <w:lvlJc w:val="left"/>
      <w:pPr>
        <w:ind w:left="720" w:hanging="360"/>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BC53B1E"/>
    <w:multiLevelType w:val="hybridMultilevel"/>
    <w:tmpl w:val="5CD00C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8E00856"/>
    <w:multiLevelType w:val="hybridMultilevel"/>
    <w:tmpl w:val="0164C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D741E0B"/>
    <w:multiLevelType w:val="hybridMultilevel"/>
    <w:tmpl w:val="86284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2"/>
  </w:num>
  <w:num w:numId="4">
    <w:abstractNumId w:val="0"/>
  </w:num>
  <w:num w:numId="5">
    <w:abstractNumId w:val="10"/>
  </w:num>
  <w:num w:numId="6">
    <w:abstractNumId w:val="17"/>
  </w:num>
  <w:num w:numId="7">
    <w:abstractNumId w:val="7"/>
  </w:num>
  <w:num w:numId="8">
    <w:abstractNumId w:val="9"/>
  </w:num>
  <w:num w:numId="9">
    <w:abstractNumId w:val="0"/>
  </w:num>
  <w:num w:numId="10">
    <w:abstractNumId w:val="10"/>
  </w:num>
  <w:num w:numId="11">
    <w:abstractNumId w:val="12"/>
  </w:num>
  <w:num w:numId="12">
    <w:abstractNumId w:val="11"/>
  </w:num>
  <w:num w:numId="13">
    <w:abstractNumId w:val="3"/>
  </w:num>
  <w:num w:numId="14">
    <w:abstractNumId w:val="14"/>
  </w:num>
  <w:num w:numId="15">
    <w:abstractNumId w:val="5"/>
  </w:num>
  <w:num w:numId="16">
    <w:abstractNumId w:val="19"/>
  </w:num>
  <w:num w:numId="17">
    <w:abstractNumId w:val="18"/>
  </w:num>
  <w:num w:numId="18">
    <w:abstractNumId w:val="4"/>
  </w:num>
  <w:num w:numId="19">
    <w:abstractNumId w:val="15"/>
  </w:num>
  <w:num w:numId="20">
    <w:abstractNumId w:val="8"/>
  </w:num>
  <w:num w:numId="21">
    <w:abstractNumId w:val="16"/>
  </w:num>
  <w:num w:numId="22">
    <w:abstractNumId w:val="12"/>
  </w:num>
  <w:num w:numId="23">
    <w:abstractNumId w:val="1"/>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8"/>
  <w:hideSpellingErrors/>
  <w:hideGrammaticalErrors/>
  <w:activeWritingStyle w:appName="MSWord" w:lang="en-GB" w:vendorID="64" w:dllVersion="131078" w:nlCheck="1" w:checkStyle="0"/>
  <w:activeWritingStyle w:appName="MSWord" w:lang="fr-FR" w:vendorID="64" w:dllVersion="131078" w:nlCheck="1" w:checkStyle="0"/>
  <w:activeWritingStyle w:appName="MSWord" w:lang="fr-BE" w:vendorID="64" w:dllVersion="131078" w:nlCheck="1" w:checkStyle="0"/>
  <w:activeWritingStyle w:appName="MSWord" w:lang="en-US" w:vendorID="64" w:dllVersion="131078" w:nlCheck="1" w:checkStyle="1"/>
  <w:activeWritingStyle w:appName="MSWord" w:lang="en-IE" w:vendorID="64" w:dllVersion="131078" w:nlCheck="1" w:checkStyle="1"/>
  <w:activeWritingStyle w:appName="MSWord" w:lang="pt-PT" w:vendorID="64" w:dllVersion="131078" w:nlCheck="1" w:checkStyle="0"/>
  <w:activeWritingStyle w:appName="MSWord" w:lang="de-DE" w:vendorID="64" w:dllVersion="131078" w:nlCheck="1" w:checkStyle="0"/>
  <w:activeWritingStyle w:appName="MSWord" w:lang="es-ES" w:vendorID="64" w:dllVersion="131078" w:nlCheck="1" w:checkStyle="0"/>
  <w:revisionView w:markup="0"/>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This document corrects document COM(2018) 758 final of 21.11.2018_x000b_Concerns all language versions. _x000b_Graph A9 is concerned_x000b_The text shall read as follows: "/>
    <w:docVar w:name="LW_COVERPAGE_EXISTS" w:val="True"/>
    <w:docVar w:name="LW_COVERPAGE_GUID" w:val="EDF2423A-9EC5-4A03-BA97-4D613CC35D51"/>
    <w:docVar w:name="LW_COVERPAGE_TYPE" w:val="1"/>
    <w:docVar w:name="LW_CROSSREFERENCE" w:val="{SWD(2018) 466 final}"/>
    <w:docVar w:name="LW_DocType" w:val="NORMAL"/>
    <w:docVar w:name="LW_EMISSION" w:val="31.1.2019"/>
    <w:docVar w:name="LW_EMISSION_ISODATE" w:val="2019-01-31"/>
    <w:docVar w:name="LW_EMISSION_LOCATION" w:val="BRX"/>
    <w:docVar w:name="LW_EMISSION_PREFIX" w:val="Brisel\u275?, "/>
    <w:docVar w:name="LW_EMISSION_SUFFIX" w:val="."/>
    <w:docVar w:name="LW_ID_DOCTYPE_NONLW" w:val="CP-003"/>
    <w:docVar w:name="LW_LANGUE" w:val="LV"/>
    <w:docVar w:name="LW_LEVEL_OF_SENSITIVITY" w:val="Standard treatment"/>
    <w:docVar w:name="LW_NOM.INST" w:val="EIROPAS KOMISIJA"/>
    <w:docVar w:name="LW_NOM.INST_JOINTDOC" w:val="&lt;EMPTY&gt;"/>
    <w:docVar w:name="LW_PART_NBR" w:val="1"/>
    <w:docVar w:name="LW_PART_NBR_TOTAL" w:val="1"/>
    <w:docVar w:name="LW_REF.INST.NEW" w:val="COM"/>
    <w:docVar w:name="LW_REF.INST.NEW_ADOPTED" w:val="&lt;EMPTY&gt;"/>
    <w:docVar w:name="LW_REF.INST.NEW_TEXT" w:val="(2018) 758 final/2"/>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EIROPAS PARLAMENTAM, PADOMEI, EIROPAS CENTR\u256?LAJAI BANKAI UN EIROPAS EKONOMIKAS UN SOCI\u256?LO LIETU KOMITEJAI_x000d__x000d__x000d__x000d__x000d__x000d__x000d__x000d__x000b__x000d__x000d__x000d__x000d__x000d__x000d__x000d__x000d__x000b_Br\u299?din\u257?\u353?anas meh\u257?nisma zi\u326?ojums par 2019. gadu_x000d__x000d__x000d__x000d__x000d__x000d__x000d__x000d__x000b__x000d__x000d__x000d__x000d__x000d__x000d__x000d__x000d__x000b_(sagatavots saska\u326?\u257? ar Regulas (ES) Nr. 1176/2011 par to, k\u257? nov\u275?rst un kori\u291?\u275?t makroekonomisko nel\u299?dzsvarot\u299?bu, 3. un 4. pantu)"/>
    <w:docVar w:name="LW_TYPE.DOC.CP" w:val="KOMISIJAS ZI\u325?OJUMS"/>
  </w:docVars>
  <w:rsids>
    <w:rsidRoot w:val="003D03E9"/>
    <w:rsid w:val="003D03E9"/>
    <w:rsid w:val="00F77AE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60C72152-1A0A-4F9C-B524-95F40DFF2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pPr>
      <w:keepNext/>
      <w:keepLines/>
      <w:spacing w:before="240" w:after="240" w:line="240" w:lineRule="auto"/>
      <w:jc w:val="both"/>
      <w:outlineLvl w:val="0"/>
    </w:pPr>
    <w:rPr>
      <w:rFonts w:ascii="Times New Roman Bold" w:eastAsia="MS Gothic" w:hAnsi="Times New Roman Bold" w:cs="Times New Roman"/>
      <w:b/>
      <w:bCs/>
      <w:smallCaps/>
      <w:noProof/>
      <w:sz w:val="24"/>
      <w:szCs w:val="24"/>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Char1 Char,Footnote Text Char Char Char,Footnote Text Char2 Char Char Char,Footnote Text Char1 Char Char Char Char,Footnote Text Char Char Char Char Char Char,Plonk,Footnote text PFR,Footnote Text Char2 Ch,Footnote text,fn,o"/>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Footnote Text Char1 Char Char,Footnote Text Char Char Char Char,Footnote Text Char2 Char Char Char Char,Footnote Text Char1 Char Char Char Char Char,Footnote Text Char Char Char Char Char Char Char,Plonk Char,Footnote text PFR Char"/>
    <w:basedOn w:val="DefaultParagraphFont"/>
    <w:link w:val="FootnoteText"/>
    <w:uiPriority w:val="99"/>
    <w:rPr>
      <w:sz w:val="20"/>
      <w:szCs w:val="20"/>
    </w:rPr>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character" w:styleId="PageNumber">
    <w:name w:val="page number"/>
    <w:basedOn w:val="DefaultParagraphFont"/>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FootnoteReference">
    <w:name w:val="footnote reference"/>
    <w:aliases w:val="Footnote symbol,Footnote reference number,Times 10 Point,Exposant 3 Point,EN Footnote Reference,note TESI,SUPERS,Nota,Footnote number,Char1,Ref,de nota al pie,EN Footnote text,Footnote Reference_LVL6,E...,numb,HAppel note de bas de p."/>
    <w:basedOn w:val="DefaultParagraphFont"/>
    <w:uiPriority w:val="99"/>
    <w:unhideWhenUsed/>
    <w:qFormat/>
    <w:rPr>
      <w:vertAlign w:val="superscript"/>
    </w:rPr>
  </w:style>
  <w:style w:type="paragraph" w:styleId="ListParagraph">
    <w:name w:val="List Paragraph"/>
    <w:basedOn w:val="Normal"/>
    <w:uiPriority w:val="34"/>
    <w:qFormat/>
    <w:pPr>
      <w:ind w:left="720"/>
      <w:contextualSpacing/>
    </w:pPr>
  </w:style>
  <w:style w:type="table" w:customStyle="1" w:styleId="TableGrid1">
    <w:name w:val="Table Grid1"/>
    <w:basedOn w:val="TableNormal"/>
    <w:next w:val="TableGrid"/>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Revision">
    <w:name w:val="Revision"/>
    <w:hidden/>
    <w:uiPriority w:val="99"/>
    <w:semiHidden/>
    <w:pPr>
      <w:spacing w:after="0" w:line="240" w:lineRule="auto"/>
    </w:pPr>
  </w:style>
  <w:style w:type="paragraph" w:styleId="Caption">
    <w:name w:val="caption"/>
    <w:basedOn w:val="Normal"/>
    <w:next w:val="Normal"/>
    <w:uiPriority w:val="35"/>
    <w:unhideWhenUsed/>
    <w:qFormat/>
    <w:pPr>
      <w:spacing w:line="240" w:lineRule="auto"/>
    </w:pPr>
    <w:rPr>
      <w:b/>
      <w:bCs/>
      <w:color w:val="4F81BD" w:themeColor="accent1"/>
      <w:sz w:val="18"/>
      <w:szCs w:val="18"/>
    </w:rPr>
  </w:style>
  <w:style w:type="character" w:customStyle="1" w:styleId="Heading1Char">
    <w:name w:val="Heading 1 Char"/>
    <w:basedOn w:val="DefaultParagraphFont"/>
    <w:link w:val="Heading1"/>
    <w:rPr>
      <w:rFonts w:ascii="Times New Roman Bold" w:eastAsia="MS Gothic" w:hAnsi="Times New Roman Bold" w:cs="Times New Roman"/>
      <w:b/>
      <w:bCs/>
      <w:smallCaps/>
      <w:noProof/>
      <w:sz w:val="24"/>
      <w:szCs w:val="24"/>
      <w:lang w:eastAsia="en-GB"/>
    </w:rPr>
  </w:style>
  <w:style w:type="paragraph" w:customStyle="1" w:styleId="Default">
    <w:name w:val="Default"/>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paragraph" w:styleId="NormalWeb">
    <w:name w:val="Normal (Web)"/>
    <w:basedOn w:val="Normal"/>
    <w:uiPriority w:val="99"/>
    <w:unhideWhenUsed/>
    <w:pPr>
      <w:spacing w:after="240" w:line="240" w:lineRule="auto"/>
    </w:pPr>
    <w:rPr>
      <w:rFonts w:ascii="Times New Roman" w:eastAsia="Times New Roman" w:hAnsi="Times New Roman"/>
      <w:sz w:val="24"/>
      <w:szCs w:val="24"/>
      <w:lang w:eastAsia="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sz w:val="24"/>
    </w:rPr>
  </w:style>
  <w:style w:type="character" w:customStyle="1" w:styleId="FooterCoverPageChar">
    <w:name w:val="Footer Cover Page Char"/>
    <w:basedOn w:val="DefaultParagraphFont"/>
    <w:link w:val="FooterCoverPage"/>
    <w:rPr>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customStyle="1" w:styleId="FooterSensitivityChar">
    <w:name w:val="Footer Sensitivity Char"/>
    <w:basedOn w:val="DefaultParagraphFont"/>
    <w:link w:val="FooterSensitivity"/>
    <w:rPr>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sz w:val="24"/>
    </w:rPr>
  </w:style>
  <w:style w:type="character" w:customStyle="1" w:styleId="HeaderCoverPageChar">
    <w:name w:val="Header Cover Page Char"/>
    <w:basedOn w:val="DefaultParagraphFont"/>
    <w:link w:val="HeaderCoverPage"/>
    <w:rPr>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character" w:customStyle="1" w:styleId="HeaderSensitivityChar">
    <w:name w:val="Header Sensitivity Char"/>
    <w:basedOn w:val="DefaultParagraphFont"/>
    <w:link w:val="HeaderSensitivity"/>
    <w:rPr>
      <w:b/>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210317">
      <w:bodyDiv w:val="1"/>
      <w:marLeft w:val="0"/>
      <w:marRight w:val="0"/>
      <w:marTop w:val="0"/>
      <w:marBottom w:val="0"/>
      <w:divBdr>
        <w:top w:val="none" w:sz="0" w:space="0" w:color="auto"/>
        <w:left w:val="none" w:sz="0" w:space="0" w:color="auto"/>
        <w:bottom w:val="none" w:sz="0" w:space="0" w:color="auto"/>
        <w:right w:val="none" w:sz="0" w:space="0" w:color="auto"/>
      </w:divBdr>
    </w:div>
    <w:div w:id="601643259">
      <w:bodyDiv w:val="1"/>
      <w:marLeft w:val="0"/>
      <w:marRight w:val="0"/>
      <w:marTop w:val="0"/>
      <w:marBottom w:val="0"/>
      <w:divBdr>
        <w:top w:val="none" w:sz="0" w:space="0" w:color="auto"/>
        <w:left w:val="none" w:sz="0" w:space="0" w:color="auto"/>
        <w:bottom w:val="none" w:sz="0" w:space="0" w:color="auto"/>
        <w:right w:val="none" w:sz="0" w:space="0" w:color="auto"/>
      </w:divBdr>
    </w:div>
    <w:div w:id="705252343">
      <w:bodyDiv w:val="1"/>
      <w:marLeft w:val="0"/>
      <w:marRight w:val="0"/>
      <w:marTop w:val="0"/>
      <w:marBottom w:val="0"/>
      <w:divBdr>
        <w:top w:val="none" w:sz="0" w:space="0" w:color="auto"/>
        <w:left w:val="none" w:sz="0" w:space="0" w:color="auto"/>
        <w:bottom w:val="none" w:sz="0" w:space="0" w:color="auto"/>
        <w:right w:val="none" w:sz="0" w:space="0" w:color="auto"/>
      </w:divBdr>
    </w:div>
    <w:div w:id="799153832">
      <w:bodyDiv w:val="1"/>
      <w:marLeft w:val="0"/>
      <w:marRight w:val="0"/>
      <w:marTop w:val="0"/>
      <w:marBottom w:val="0"/>
      <w:divBdr>
        <w:top w:val="none" w:sz="0" w:space="0" w:color="auto"/>
        <w:left w:val="none" w:sz="0" w:space="0" w:color="auto"/>
        <w:bottom w:val="none" w:sz="0" w:space="0" w:color="auto"/>
        <w:right w:val="none" w:sz="0" w:space="0" w:color="auto"/>
      </w:divBdr>
    </w:div>
    <w:div w:id="856963744">
      <w:bodyDiv w:val="1"/>
      <w:marLeft w:val="0"/>
      <w:marRight w:val="0"/>
      <w:marTop w:val="0"/>
      <w:marBottom w:val="0"/>
      <w:divBdr>
        <w:top w:val="none" w:sz="0" w:space="0" w:color="auto"/>
        <w:left w:val="none" w:sz="0" w:space="0" w:color="auto"/>
        <w:bottom w:val="none" w:sz="0" w:space="0" w:color="auto"/>
        <w:right w:val="none" w:sz="0" w:space="0" w:color="auto"/>
      </w:divBdr>
    </w:div>
    <w:div w:id="1208954805">
      <w:bodyDiv w:val="1"/>
      <w:marLeft w:val="0"/>
      <w:marRight w:val="0"/>
      <w:marTop w:val="0"/>
      <w:marBottom w:val="0"/>
      <w:divBdr>
        <w:top w:val="none" w:sz="0" w:space="0" w:color="auto"/>
        <w:left w:val="none" w:sz="0" w:space="0" w:color="auto"/>
        <w:bottom w:val="none" w:sz="0" w:space="0" w:color="auto"/>
        <w:right w:val="none" w:sz="0" w:space="0" w:color="auto"/>
      </w:divBdr>
    </w:div>
    <w:div w:id="1214191235">
      <w:bodyDiv w:val="1"/>
      <w:marLeft w:val="0"/>
      <w:marRight w:val="0"/>
      <w:marTop w:val="0"/>
      <w:marBottom w:val="0"/>
      <w:divBdr>
        <w:top w:val="none" w:sz="0" w:space="0" w:color="auto"/>
        <w:left w:val="none" w:sz="0" w:space="0" w:color="auto"/>
        <w:bottom w:val="none" w:sz="0" w:space="0" w:color="auto"/>
        <w:right w:val="none" w:sz="0" w:space="0" w:color="auto"/>
      </w:divBdr>
      <w:divsChild>
        <w:div w:id="1497725823">
          <w:marLeft w:val="0"/>
          <w:marRight w:val="0"/>
          <w:marTop w:val="0"/>
          <w:marBottom w:val="0"/>
          <w:divBdr>
            <w:top w:val="none" w:sz="0" w:space="0" w:color="auto"/>
            <w:left w:val="none" w:sz="0" w:space="0" w:color="auto"/>
            <w:bottom w:val="none" w:sz="0" w:space="0" w:color="auto"/>
            <w:right w:val="none" w:sz="0" w:space="0" w:color="auto"/>
          </w:divBdr>
        </w:div>
        <w:div w:id="1752660735">
          <w:marLeft w:val="0"/>
          <w:marRight w:val="0"/>
          <w:marTop w:val="0"/>
          <w:marBottom w:val="0"/>
          <w:divBdr>
            <w:top w:val="none" w:sz="0" w:space="0" w:color="auto"/>
            <w:left w:val="none" w:sz="0" w:space="0" w:color="auto"/>
            <w:bottom w:val="none" w:sz="0" w:space="0" w:color="auto"/>
            <w:right w:val="none" w:sz="0" w:space="0" w:color="auto"/>
          </w:divBdr>
        </w:div>
        <w:div w:id="1168246899">
          <w:marLeft w:val="0"/>
          <w:marRight w:val="0"/>
          <w:marTop w:val="0"/>
          <w:marBottom w:val="0"/>
          <w:divBdr>
            <w:top w:val="none" w:sz="0" w:space="0" w:color="auto"/>
            <w:left w:val="none" w:sz="0" w:space="0" w:color="auto"/>
            <w:bottom w:val="none" w:sz="0" w:space="0" w:color="auto"/>
            <w:right w:val="none" w:sz="0" w:space="0" w:color="auto"/>
          </w:divBdr>
        </w:div>
        <w:div w:id="487214000">
          <w:marLeft w:val="0"/>
          <w:marRight w:val="0"/>
          <w:marTop w:val="0"/>
          <w:marBottom w:val="0"/>
          <w:divBdr>
            <w:top w:val="none" w:sz="0" w:space="0" w:color="auto"/>
            <w:left w:val="none" w:sz="0" w:space="0" w:color="auto"/>
            <w:bottom w:val="none" w:sz="0" w:space="0" w:color="auto"/>
            <w:right w:val="none" w:sz="0" w:space="0" w:color="auto"/>
          </w:divBdr>
        </w:div>
        <w:div w:id="842554123">
          <w:marLeft w:val="0"/>
          <w:marRight w:val="0"/>
          <w:marTop w:val="0"/>
          <w:marBottom w:val="0"/>
          <w:divBdr>
            <w:top w:val="none" w:sz="0" w:space="0" w:color="auto"/>
            <w:left w:val="none" w:sz="0" w:space="0" w:color="auto"/>
            <w:bottom w:val="none" w:sz="0" w:space="0" w:color="auto"/>
            <w:right w:val="none" w:sz="0" w:space="0" w:color="auto"/>
          </w:divBdr>
        </w:div>
        <w:div w:id="1509514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emf"/><Relationship Id="rId47" Type="http://schemas.openxmlformats.org/officeDocument/2006/relationships/image" Target="media/image34.emf"/><Relationship Id="rId50" Type="http://schemas.openxmlformats.org/officeDocument/2006/relationships/image" Target="media/image37.emf"/><Relationship Id="rId55" Type="http://schemas.openxmlformats.org/officeDocument/2006/relationships/image" Target="media/image42.emf"/><Relationship Id="rId63" Type="http://schemas.openxmlformats.org/officeDocument/2006/relationships/image" Target="media/image50.emf"/><Relationship Id="rId68" Type="http://schemas.openxmlformats.org/officeDocument/2006/relationships/header" Target="header4.xml"/><Relationship Id="rId76" Type="http://schemas.openxmlformats.org/officeDocument/2006/relationships/image" Target="media/image57.emf"/><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emf"/><Relationship Id="rId53" Type="http://schemas.openxmlformats.org/officeDocument/2006/relationships/image" Target="media/image40.emf"/><Relationship Id="rId58" Type="http://schemas.openxmlformats.org/officeDocument/2006/relationships/image" Target="media/image45.emf"/><Relationship Id="rId66" Type="http://schemas.openxmlformats.org/officeDocument/2006/relationships/image" Target="media/image53.emf"/><Relationship Id="rId74" Type="http://schemas.openxmlformats.org/officeDocument/2006/relationships/image" Target="media/image55.emf"/><Relationship Id="rId79" Type="http://schemas.openxmlformats.org/officeDocument/2006/relationships/footer" Target="footer7.xml"/><Relationship Id="rId5" Type="http://schemas.openxmlformats.org/officeDocument/2006/relationships/webSettings" Target="webSettings.xml"/><Relationship Id="rId61" Type="http://schemas.openxmlformats.org/officeDocument/2006/relationships/image" Target="media/image48.emf"/><Relationship Id="rId82" Type="http://schemas.openxmlformats.org/officeDocument/2006/relationships/footer" Target="footer9.xm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emf"/><Relationship Id="rId52" Type="http://schemas.openxmlformats.org/officeDocument/2006/relationships/image" Target="media/image39.emf"/><Relationship Id="rId60" Type="http://schemas.openxmlformats.org/officeDocument/2006/relationships/image" Target="media/image47.emf"/><Relationship Id="rId65" Type="http://schemas.openxmlformats.org/officeDocument/2006/relationships/image" Target="media/image52.emf"/><Relationship Id="rId73" Type="http://schemas.openxmlformats.org/officeDocument/2006/relationships/footer" Target="footer6.xml"/><Relationship Id="rId78" Type="http://schemas.openxmlformats.org/officeDocument/2006/relationships/header" Target="header8.xml"/><Relationship Id="rId8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emf"/><Relationship Id="rId48" Type="http://schemas.openxmlformats.org/officeDocument/2006/relationships/image" Target="media/image35.emf"/><Relationship Id="rId56" Type="http://schemas.openxmlformats.org/officeDocument/2006/relationships/image" Target="media/image43.emf"/><Relationship Id="rId64" Type="http://schemas.openxmlformats.org/officeDocument/2006/relationships/image" Target="media/image51.emf"/><Relationship Id="rId69" Type="http://schemas.openxmlformats.org/officeDocument/2006/relationships/header" Target="header5.xml"/><Relationship Id="rId77" Type="http://schemas.openxmlformats.org/officeDocument/2006/relationships/header" Target="header7.xml"/><Relationship Id="rId8" Type="http://schemas.openxmlformats.org/officeDocument/2006/relationships/image" Target="media/image1.emf"/><Relationship Id="rId51" Type="http://schemas.openxmlformats.org/officeDocument/2006/relationships/image" Target="media/image38.emf"/><Relationship Id="rId72" Type="http://schemas.openxmlformats.org/officeDocument/2006/relationships/header" Target="header6.xml"/><Relationship Id="rId80" Type="http://schemas.openxmlformats.org/officeDocument/2006/relationships/footer" Target="footer8.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emf"/><Relationship Id="rId59" Type="http://schemas.openxmlformats.org/officeDocument/2006/relationships/image" Target="media/image46.emf"/><Relationship Id="rId67" Type="http://schemas.openxmlformats.org/officeDocument/2006/relationships/image" Target="media/image54.emf"/><Relationship Id="rId20" Type="http://schemas.openxmlformats.org/officeDocument/2006/relationships/image" Target="media/image7.png"/><Relationship Id="rId41" Type="http://schemas.openxmlformats.org/officeDocument/2006/relationships/image" Target="media/image28.emf"/><Relationship Id="rId54" Type="http://schemas.openxmlformats.org/officeDocument/2006/relationships/image" Target="media/image41.emf"/><Relationship Id="rId62" Type="http://schemas.openxmlformats.org/officeDocument/2006/relationships/image" Target="media/image49.emf"/><Relationship Id="rId70" Type="http://schemas.openxmlformats.org/officeDocument/2006/relationships/footer" Target="footer4.xml"/><Relationship Id="rId75" Type="http://schemas.openxmlformats.org/officeDocument/2006/relationships/image" Target="media/image56.emf"/><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emf"/><Relationship Id="rId57" Type="http://schemas.openxmlformats.org/officeDocument/2006/relationships/image" Target="media/image4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2">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F16D15-1259-482F-9D41-91D730BD3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61</Pages>
  <Words>17144</Words>
  <Characters>118295</Characters>
  <Application>Microsoft Office Word</Application>
  <DocSecurity>0</DocSecurity>
  <Lines>1666</Lines>
  <Paragraphs>279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135160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PAREDES ECHAURI Cristina (SG)</cp:lastModifiedBy>
  <cp:revision>20</cp:revision>
  <cp:lastPrinted>2018-11-16T11:26:00Z</cp:lastPrinted>
  <dcterms:created xsi:type="dcterms:W3CDTF">2019-01-11T11:20:00Z</dcterms:created>
  <dcterms:modified xsi:type="dcterms:W3CDTF">2019-02-04T12:11:00Z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reated using">
    <vt:lpwstr>LW 6.0.1, Build 20180503</vt:lpwstr>
  </property>
  <property fmtid="{D5CDD505-2E9C-101B-9397-08002B2CF9AE}" pid="7" name="Last edited using">
    <vt:lpwstr>LW 6.0.1, Build 20180503</vt:lpwstr>
  </property>
</Properties>
</file>