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CA6" w:rsidRDefault="0031278A" w:rsidP="0031278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1967A36-C571-444B-92F7-686185967782" style="width:450.85pt;height:455.25pt">
            <v:imagedata r:id="rId8" o:title=""/>
          </v:shape>
        </w:pict>
      </w:r>
    </w:p>
    <w:bookmarkEnd w:id="0"/>
    <w:p w:rsidR="00876CA6" w:rsidRDefault="00876CA6">
      <w:pPr>
        <w:jc w:val="both"/>
        <w:rPr>
          <w:rFonts w:ascii="Times New Roman" w:hAnsi="Times New Roman" w:cs="Times New Roman"/>
          <w:noProof/>
        </w:rPr>
        <w:sectPr w:rsidR="00876CA6" w:rsidSect="0031278A">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76CA6">
        <w:tc>
          <w:tcPr>
            <w:tcW w:w="9288" w:type="dxa"/>
            <w:shd w:val="clear" w:color="auto" w:fill="BFBFBF"/>
          </w:tcPr>
          <w:p w:rsidR="00876CA6" w:rsidRDefault="0031278A">
            <w:pPr>
              <w:jc w:val="both"/>
              <w:rPr>
                <w:rFonts w:ascii="Times New Roman" w:hAnsi="Times New Roman" w:cs="Times New Roman"/>
                <w:i/>
                <w:noProof/>
                <w:lang w:val="fi-FI" w:eastAsia="fi-FI" w:bidi="fi-FI"/>
              </w:rPr>
            </w:pPr>
            <w:r>
              <w:rPr>
                <w:rFonts w:ascii="Times New Roman" w:hAnsi="Times New Roman"/>
                <w:i/>
                <w:noProof/>
                <w:lang w:val="fi-FI" w:eastAsia="fi-FI" w:bidi="fi-FI"/>
              </w:rPr>
              <w:lastRenderedPageBreak/>
              <w:t>Kertomus varoitusmekanismista käynnistää makrotalouden epätasapainoa koskevan vuotuisen valvontamenettelyn. Menettelyn tavoitteena on havaita ja korjata epätasapainot, jotka haittaavat jäsenvaltioiden talouksien tai EU:n talouden häiriötöntä toimintaa ja j</w:t>
            </w:r>
            <w:r>
              <w:rPr>
                <w:rFonts w:ascii="Times New Roman" w:hAnsi="Times New Roman"/>
                <w:i/>
                <w:noProof/>
                <w:lang w:val="fi-FI" w:eastAsia="fi-FI" w:bidi="fi-FI"/>
              </w:rPr>
              <w:t xml:space="preserve">otka saattavat vaarantaa talous- ja rahaliiton moitteettoman toiminnan. </w:t>
            </w:r>
          </w:p>
          <w:p w:rsidR="00876CA6" w:rsidRDefault="0031278A">
            <w:pPr>
              <w:jc w:val="both"/>
              <w:rPr>
                <w:rFonts w:ascii="Times New Roman" w:hAnsi="Times New Roman" w:cs="Times New Roman"/>
                <w:noProof/>
                <w:lang w:val="fi-FI" w:eastAsia="fi-FI" w:bidi="fi-FI"/>
              </w:rPr>
            </w:pPr>
            <w:r>
              <w:rPr>
                <w:rFonts w:ascii="Times New Roman" w:hAnsi="Times New Roman"/>
                <w:i/>
                <w:noProof/>
                <w:lang w:val="fi-FI" w:eastAsia="fi-FI" w:bidi="fi-FI"/>
              </w:rPr>
              <w:t>Tässä kertomuksessa käytetään valittuihin indikaattoreihin perustuvaa tulostaulua sekä useita lisäindikaattoreita ja -tietoja, joiden avulla määritetään, onko jäsenvaltioissa politiik</w:t>
            </w:r>
            <w:r>
              <w:rPr>
                <w:rFonts w:ascii="Times New Roman" w:hAnsi="Times New Roman"/>
                <w:i/>
                <w:noProof/>
                <w:lang w:val="fi-FI" w:eastAsia="fi-FI" w:bidi="fi-FI"/>
              </w:rPr>
              <w:t xml:space="preserve">katoimia edellyttäviä epätasapainoja. Kertomuksessa nimetään jäsenvaltiot, joista komission on tarpeen tehdä perusteellinen tarkastelu arvioidakseen, miten makrotalouden riskit kasaantuvat tai purkautuvat kyseisissä jäsenvaltioissa, ja päätelläkseen, onko </w:t>
            </w:r>
            <w:r>
              <w:rPr>
                <w:rFonts w:ascii="Times New Roman" w:hAnsi="Times New Roman"/>
                <w:i/>
                <w:noProof/>
                <w:lang w:val="fi-FI" w:eastAsia="fi-FI" w:bidi="fi-FI"/>
              </w:rPr>
              <w:t>niissä epätasapainoja tai liiallisia epätasapainoja. Komissio ottaa huomioon tästä kertomuksesta Euroopan parlamentin kanssa sekä neuvostossa ja euroryhmässä käydyt keskustelut ja laatii niiden pohjalta kyseisiä jäsenvaltioita koskevat perusteelliset tarka</w:t>
            </w:r>
            <w:r>
              <w:rPr>
                <w:rFonts w:ascii="Times New Roman" w:hAnsi="Times New Roman"/>
                <w:i/>
                <w:noProof/>
                <w:lang w:val="fi-FI" w:eastAsia="fi-FI" w:bidi="fi-FI"/>
              </w:rPr>
              <w:t>stelut. Vakiintuneen käytännön mukaisesti jäsenvaltioista, joissa havaittiin epätasapainotiloja edellisessä perusteellisessa tarkastelussa, tehdään joka tapauksessa uusi perusteellinen tarkastelu. Perusteellisen tarkastelun tulokset vaikuttavat maakohtaisi</w:t>
            </w:r>
            <w:r>
              <w:rPr>
                <w:rFonts w:ascii="Times New Roman" w:hAnsi="Times New Roman"/>
                <w:i/>
                <w:noProof/>
                <w:lang w:val="fi-FI" w:eastAsia="fi-FI" w:bidi="fi-FI"/>
              </w:rPr>
              <w:t>in suosituksiin, jotka laaditaan osana talouspolitiikan eurooppalaista ohjausjaksoa. Perusteelliset tarkastelut on tarkoitus julkaista helmikuussa 2019 ennen maakohtaisten suositusten laatimista.</w:t>
            </w:r>
          </w:p>
        </w:tc>
      </w:tr>
    </w:tbl>
    <w:p w:rsidR="00876CA6" w:rsidRDefault="00876CA6">
      <w:pPr>
        <w:jc w:val="both"/>
        <w:rPr>
          <w:rFonts w:ascii="Times New Roman" w:hAnsi="Times New Roman" w:cs="Times New Roman"/>
          <w:b/>
          <w:bCs/>
          <w:noProof/>
          <w:lang w:val="fi-FI" w:eastAsia="fi-FI" w:bidi="fi-FI"/>
        </w:rPr>
      </w:pPr>
    </w:p>
    <w:p w:rsidR="00876CA6" w:rsidRDefault="0031278A">
      <w:pPr>
        <w:jc w:val="both"/>
        <w:rPr>
          <w:rFonts w:ascii="Times New Roman" w:hAnsi="Times New Roman" w:cs="Times New Roman"/>
          <w:b/>
          <w:bCs/>
          <w:noProof/>
          <w:lang w:val="fi-FI" w:eastAsia="fi-FI" w:bidi="fi-FI"/>
        </w:rPr>
      </w:pPr>
      <w:r>
        <w:rPr>
          <w:rFonts w:ascii="Times New Roman" w:hAnsi="Times New Roman"/>
          <w:b/>
          <w:noProof/>
          <w:lang w:val="fi-FI" w:eastAsia="fi-FI" w:bidi="fi-FI"/>
        </w:rPr>
        <w:t>1.</w:t>
      </w:r>
      <w:r>
        <w:rPr>
          <w:noProof/>
          <w:lang w:val="fi-FI" w:eastAsia="fi-FI" w:bidi="fi-FI"/>
        </w:rPr>
        <w:tab/>
      </w:r>
      <w:r>
        <w:rPr>
          <w:rFonts w:ascii="Times New Roman Bold" w:hAnsi="Times New Roman Bold"/>
          <w:b/>
          <w:smallCaps/>
          <w:noProof/>
          <w:lang w:val="fi-FI" w:eastAsia="fi-FI" w:bidi="fi-FI"/>
        </w:rPr>
        <w:t>Tiivistelmä</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Tällä kertomuksella käynnistetään kahdeksas</w:t>
      </w:r>
      <w:r>
        <w:rPr>
          <w:rFonts w:ascii="Times New Roman" w:hAnsi="Times New Roman"/>
          <w:b/>
          <w:noProof/>
          <w:lang w:val="fi-FI" w:eastAsia="fi-FI" w:bidi="fi-FI"/>
        </w:rPr>
        <w:t xml:space="preserve"> vuotuinen makrotalouden epätasapainoa koskeva menettely (MIP).</w:t>
      </w:r>
      <w:r>
        <w:rPr>
          <w:rFonts w:ascii="Times New Roman" w:hAnsi="Times New Roman"/>
          <w:noProof/>
          <w:vertAlign w:val="superscript"/>
          <w:lang w:val="fi-FI" w:eastAsia="fi-FI" w:bidi="fi-FI"/>
        </w:rPr>
        <w:footnoteReference w:id="1"/>
      </w:r>
      <w:r>
        <w:rPr>
          <w:rFonts w:ascii="Times New Roman" w:hAnsi="Times New Roman"/>
          <w:noProof/>
          <w:lang w:val="fi-FI" w:eastAsia="fi-FI" w:bidi="fi-FI"/>
        </w:rPr>
        <w:t xml:space="preserve"> Menettelyn avulla pyritään havaitsemaan epätasapainot, jotka haittaavat jäsenvaltioiden talouksien toimintaa, ja kannustamaan niiden korjaamiseksi tarvittavien politiikkatoimien toteuttamiseen. Makrotalouden epätasapainoa koskeva menettely toteutetaan osa</w:t>
      </w:r>
      <w:r>
        <w:rPr>
          <w:rFonts w:ascii="Times New Roman" w:hAnsi="Times New Roman"/>
          <w:noProof/>
          <w:lang w:val="fi-FI" w:eastAsia="fi-FI" w:bidi="fi-FI"/>
        </w:rPr>
        <w:t>na talouspolitiikan eurooppalaista ohjausjaksoa. Näin pyritään varmistamaan johdonmukaisuus niiden analyysien ja suositusten kanssa, jotka ovat tulosta muiden talousvalvonnan välineiden käytöstä. Samaan aikaan tämän kertomuksen kanssa hyväksytään vuotuinen</w:t>
      </w:r>
      <w:r>
        <w:rPr>
          <w:rFonts w:ascii="Times New Roman" w:hAnsi="Times New Roman"/>
          <w:noProof/>
          <w:lang w:val="fi-FI" w:eastAsia="fi-FI" w:bidi="fi-FI"/>
        </w:rPr>
        <w:t xml:space="preserve"> kasvuselvitys, jossa tarkastellaan Euroopan taloudellista ja yhteiskunnallista tilannetta sekä asetetaan koko EU:lle laaja-alaisia ensisijaisia politiikkatavoitteita tulevaksi vuodeksi.</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Tässä varoitusmekanismia koskevassa kertomuksessa nimetään jäsenvalti</w:t>
      </w:r>
      <w:r>
        <w:rPr>
          <w:rFonts w:ascii="Times New Roman" w:hAnsi="Times New Roman"/>
          <w:b/>
          <w:noProof/>
          <w:lang w:val="fi-FI" w:eastAsia="fi-FI" w:bidi="fi-FI"/>
        </w:rPr>
        <w:t>ot, joista olisi tehtävä perusteellinen tarkastelu sen arvioimiseksi, onko niissä politiikkatoimia edellyttäviä epätasapainoja.</w:t>
      </w:r>
      <w:r>
        <w:rPr>
          <w:rFonts w:ascii="Times New Roman" w:hAnsi="Times New Roman"/>
          <w:noProof/>
          <w:vertAlign w:val="superscript"/>
          <w:lang w:val="fi-FI" w:eastAsia="fi-FI" w:bidi="fi-FI"/>
        </w:rPr>
        <w:footnoteReference w:id="2"/>
      </w:r>
      <w:r>
        <w:rPr>
          <w:rFonts w:ascii="Times New Roman" w:hAnsi="Times New Roman"/>
          <w:noProof/>
          <w:lang w:val="fi-FI" w:eastAsia="fi-FI" w:bidi="fi-FI"/>
        </w:rPr>
        <w:t xml:space="preserve"> Varoitusmekanismia koskeva kertomus on talouden epätasapainojen tarkasteluväline, joka julkaistaan aina talouspolitiikan vuotui</w:t>
      </w:r>
      <w:r>
        <w:rPr>
          <w:rFonts w:ascii="Times New Roman" w:hAnsi="Times New Roman"/>
          <w:noProof/>
          <w:lang w:val="fi-FI" w:eastAsia="fi-FI" w:bidi="fi-FI"/>
        </w:rPr>
        <w:t>sen koordinointikierroksen alussa. Se pohjautuu talouspoliittisiin päätelmiin, jotka tehdään ohjeellisiin kynnysarvoihin suhteutettujen indikaattoreiden sekä tiettyjen lisäindikaattoreiden perusteella. Varoitusmekanismia koskeva kertomus sisältää myös anal</w:t>
      </w:r>
      <w:r>
        <w:rPr>
          <w:rFonts w:ascii="Times New Roman" w:hAnsi="Times New Roman"/>
          <w:noProof/>
          <w:lang w:val="fi-FI" w:eastAsia="fi-FI" w:bidi="fi-FI"/>
        </w:rPr>
        <w:t>yysin siitä, miten jäsenvaltioiden epätasapainot vaikuttavat koko euroalueeseen ja missä määrin ne edellyttävät koordinoituja politiikkatoimia euroalueen jäsenvaltioiden keskinäisten riippuvuussuhteiden vuoksi.</w:t>
      </w:r>
      <w:r>
        <w:rPr>
          <w:rFonts w:ascii="Times New Roman" w:hAnsi="Times New Roman"/>
          <w:noProof/>
          <w:vertAlign w:val="superscript"/>
          <w:lang w:val="fi-FI" w:eastAsia="fi-FI" w:bidi="fi-FI"/>
        </w:rPr>
        <w:footnoteReference w:id="3"/>
      </w:r>
      <w:r>
        <w:rPr>
          <w:rFonts w:ascii="Times New Roman" w:hAnsi="Times New Roman"/>
          <w:noProof/>
          <w:lang w:val="fi-FI" w:eastAsia="fi-FI" w:bidi="fi-FI"/>
        </w:rPr>
        <w:t xml:space="preserve"> Tältä osin tässä kertomuksessa esitetty anal</w:t>
      </w:r>
      <w:r>
        <w:rPr>
          <w:rFonts w:ascii="Times New Roman" w:hAnsi="Times New Roman"/>
          <w:noProof/>
          <w:lang w:val="fi-FI" w:eastAsia="fi-FI" w:bidi="fi-FI"/>
        </w:rPr>
        <w:t xml:space="preserve">yysi täydentää arviointia, </w:t>
      </w:r>
      <w:r>
        <w:rPr>
          <w:rFonts w:ascii="Times New Roman" w:hAnsi="Times New Roman"/>
          <w:noProof/>
          <w:lang w:val="fi-FI" w:eastAsia="fi-FI" w:bidi="fi-FI"/>
        </w:rPr>
        <w:lastRenderedPageBreak/>
        <w:t>joka on esitetty euroalueen talouden analyysia koskevassa Euroopan komission yksiköiden valmisteluasiakirjassa, joka liittyy komission suositukseen neuvoston suositukseksi euroalueen talouspolitiikasta.</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Varoitusmekanismia koskeva</w:t>
      </w:r>
      <w:r>
        <w:rPr>
          <w:rFonts w:ascii="Times New Roman" w:hAnsi="Times New Roman"/>
          <w:b/>
          <w:noProof/>
          <w:lang w:val="fi-FI" w:eastAsia="fi-FI" w:bidi="fi-FI"/>
        </w:rPr>
        <w:t xml:space="preserve">n kertomuksen arviointi on tehty olosuhteissa, joissa talouskasvu on edelleen laajapohjaista, vaikka hidastumista on tapahtunut jonkin verran. </w:t>
      </w:r>
      <w:r>
        <w:rPr>
          <w:rFonts w:ascii="Times New Roman" w:hAnsi="Times New Roman"/>
          <w:noProof/>
          <w:lang w:val="fi-FI" w:eastAsia="fi-FI" w:bidi="fi-FI"/>
        </w:rPr>
        <w:t>Euroopan komission syksyn 2018 talousennusteen mukaan reaalisen BKT:n kasvu on sekä EU:ssa että euroalueella 2,1 </w:t>
      </w:r>
      <w:r>
        <w:rPr>
          <w:rFonts w:ascii="Times New Roman" w:hAnsi="Times New Roman"/>
          <w:noProof/>
          <w:lang w:val="fi-FI" w:eastAsia="fi-FI" w:bidi="fi-FI"/>
        </w:rPr>
        <w:t>prosenttia vuonna 2018 ja 1,9 prosenttia vuonna 2019. Näin ollen se hidastuu hieman verrattuna 2,4 prosentin kasvuun vuonna 2017. Positiivista kasvua on odotettavissa kaikissa jäsenvaltioissa. Työllisyystilanteen odotetaan paranevan entisestään ja johtavan</w:t>
      </w:r>
      <w:r>
        <w:rPr>
          <w:rFonts w:ascii="Times New Roman" w:hAnsi="Times New Roman"/>
          <w:noProof/>
          <w:lang w:val="fi-FI" w:eastAsia="fi-FI" w:bidi="fi-FI"/>
        </w:rPr>
        <w:t xml:space="preserve"> vähitellen pysyvämpään palkkojen nousuun, joka tukisi kulutusta ja ajan mittaan myös pohjainflaation kehittymistä kohti rahaviranomaisten inflaatiotavoitetta. Investointien kasvun odotetaan pysyvän vahvana huolimatta hienoisesta hidastumisesta. Toisaalta </w:t>
      </w:r>
      <w:r>
        <w:rPr>
          <w:rFonts w:ascii="Times New Roman" w:hAnsi="Times New Roman"/>
          <w:noProof/>
          <w:lang w:val="fi-FI" w:eastAsia="fi-FI" w:bidi="fi-FI"/>
        </w:rPr>
        <w:t>on viitteitä siitä, että nettoviennin vaikutus kasvuun heikkenee, sillä epävarmuus kauppapoliittisesta toimintaympäristöstä ja euron viimeaikaisen vahvistumisen vaikutuksista on lisääntynyt. Kaiken kaikkiaan kasvunäkymät perustuvat edelleen vankkoihin peru</w:t>
      </w:r>
      <w:r>
        <w:rPr>
          <w:rFonts w:ascii="Times New Roman" w:hAnsi="Times New Roman"/>
          <w:noProof/>
          <w:lang w:val="fi-FI" w:eastAsia="fi-FI" w:bidi="fi-FI"/>
        </w:rPr>
        <w:t>stekijöihin, kuten yleisesti ottaen vahvoihin työmarkkinoihin, kasvua tukeviin luottoehtoihin sekä pankkien ja rahoitusalan ulkopuolisten yritysten parempiin taseisiin ja voittoihin. Kasvunäkymien odotetaan kuitenkin heikentyvän suhdannekierron edetessä ky</w:t>
      </w:r>
      <w:r>
        <w:rPr>
          <w:rFonts w:ascii="Times New Roman" w:hAnsi="Times New Roman"/>
          <w:noProof/>
          <w:lang w:val="fi-FI" w:eastAsia="fi-FI" w:bidi="fi-FI"/>
        </w:rPr>
        <w:t>psään vaiheeseen maailman tärkeimmillä alueilla</w:t>
      </w:r>
      <w:r>
        <w:rPr>
          <w:rFonts w:ascii="Times New Roman" w:hAnsi="Times New Roman"/>
          <w:noProof/>
          <w:vertAlign w:val="superscript"/>
          <w:lang w:val="fi-FI" w:eastAsia="fi-FI" w:bidi="fi-FI"/>
        </w:rPr>
        <w:footnoteReference w:id="4"/>
      </w:r>
      <w:r>
        <w:rPr>
          <w:rFonts w:ascii="Times New Roman" w:hAnsi="Times New Roman"/>
          <w:noProof/>
          <w:lang w:val="fi-FI" w:eastAsia="fi-FI" w:bidi="fi-FI"/>
        </w:rPr>
        <w:t xml:space="preserve">. </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Makrotalouden epätasapainojen korjaaminen EU:ssa edistyy nimellisen BKT:n kasvun vahvistumisen ansiosta, mutta lisääntynyt epävarmuus synkentää keskipitkän aikavälin näkymiä.</w:t>
      </w:r>
      <w:r>
        <w:rPr>
          <w:rFonts w:ascii="Times New Roman" w:hAnsi="Times New Roman"/>
          <w:noProof/>
          <w:lang w:val="fi-FI" w:eastAsia="fi-FI" w:bidi="fi-FI"/>
        </w:rPr>
        <w:t xml:space="preserve"> Talouden laajentuminen ja vähi</w:t>
      </w:r>
      <w:r>
        <w:rPr>
          <w:rFonts w:ascii="Times New Roman" w:hAnsi="Times New Roman"/>
          <w:noProof/>
          <w:lang w:val="fi-FI" w:eastAsia="fi-FI" w:bidi="fi-FI"/>
        </w:rPr>
        <w:t>tellen tavoitetta lähentyvät inflaatioasteet auttavat supistamaan velkasuhteita. Yksityisen ja julkisen sektorin velkamäärät ovat kuitenkin edelleen ennätyksellisen korkealla tasolla, ja rahoitusalalla on edelleen taseiden heikkouksia. Inflaation lähentymi</w:t>
      </w:r>
      <w:r>
        <w:rPr>
          <w:rFonts w:ascii="Times New Roman" w:hAnsi="Times New Roman"/>
          <w:noProof/>
          <w:lang w:val="fi-FI" w:eastAsia="fi-FI" w:bidi="fi-FI"/>
        </w:rPr>
        <w:t>nen asteittain kohti EKP:n tavoitetta vahvistaisi mahdollisuutta rahapolitiikan normalisointiin, mikä vaikuttaisi lainakustannuksiin, varallisuushintoihin ja taseisiin. Tätä taustaa vasten useat laukaisevat tekijät voisivat johtaa riskiasenteiden kääntymis</w:t>
      </w:r>
      <w:r>
        <w:rPr>
          <w:rFonts w:ascii="Times New Roman" w:hAnsi="Times New Roman"/>
          <w:noProof/>
          <w:lang w:val="fi-FI" w:eastAsia="fi-FI" w:bidi="fi-FI"/>
        </w:rPr>
        <w:t>een ja luottamusvaikutusten kohdistumiseen niihin jäsenvaltioihin, joissa julkisen talouden tai rahoitusalan näkymät ovat heikentyneet tai jotka kärsivät negatiivisista tuotantohäiriöistä (muun muassa liittyen Yhdistyneen kuningaskunnan eroamiseen EU:sta).</w:t>
      </w:r>
      <w:r>
        <w:rPr>
          <w:rFonts w:ascii="Times New Roman" w:hAnsi="Times New Roman"/>
          <w:noProof/>
          <w:lang w:val="fi-FI" w:eastAsia="fi-FI" w:bidi="fi-FI"/>
        </w:rPr>
        <w:t xml:space="preserve"> EU:n ulkoinen ympäristö aiheuttaa useita heikkenemisriskejä, jotka liittyvät erityisesti protektionistisiin kauppapoliittisiin toimenpiteisiin, geopoliittisilla jännitteillä erityisesti energian hintoihin oleviin vaikutuksiin, Yhdysvaltojen finanssipoliit</w:t>
      </w:r>
      <w:r>
        <w:rPr>
          <w:rFonts w:ascii="Times New Roman" w:hAnsi="Times New Roman"/>
          <w:noProof/>
          <w:lang w:val="fi-FI" w:eastAsia="fi-FI" w:bidi="fi-FI"/>
        </w:rPr>
        <w:t>tisen elvytyksen päättymiseen rahapolitiikan kiristämisen yhteydessä sekä pääomavirtoihin ja valuuttakursseihin kohdistuviin vaikutuksiin, jotka ovat seurausta rahapolitiikan asynkronisesta normalisoinnista maailmantalouden eri alueilla</w:t>
      </w:r>
      <w:r>
        <w:rPr>
          <w:rFonts w:ascii="Times New Roman" w:hAnsi="Times New Roman"/>
          <w:noProof/>
          <w:vertAlign w:val="superscript"/>
          <w:lang w:val="fi-FI" w:eastAsia="fi-FI" w:bidi="fi-FI"/>
        </w:rPr>
        <w:footnoteReference w:id="5"/>
      </w:r>
      <w:r>
        <w:rPr>
          <w:rFonts w:ascii="Times New Roman" w:hAnsi="Times New Roman"/>
          <w:noProof/>
          <w:lang w:val="fi-FI" w:eastAsia="fi-FI" w:bidi="fi-FI"/>
        </w:rPr>
        <w:t>. Edellä mainittuje</w:t>
      </w:r>
      <w:r>
        <w:rPr>
          <w:rFonts w:ascii="Times New Roman" w:hAnsi="Times New Roman"/>
          <w:noProof/>
          <w:lang w:val="fi-FI" w:eastAsia="fi-FI" w:bidi="fi-FI"/>
        </w:rPr>
        <w:t>n riskilähteiden välinen vuorovaikutus kallistaa riskien tasapainoa huonompaan suuntaan ja lisää entisestään näkymien epävarmuutta tilanteessa, jossa mahdollisuus vaimentaa häiriöitä yksityisen ja julkisen sektorin säästöillä on rajallinen useissa jäsenval</w:t>
      </w:r>
      <w:r>
        <w:rPr>
          <w:rFonts w:ascii="Times New Roman" w:hAnsi="Times New Roman"/>
          <w:noProof/>
          <w:lang w:val="fi-FI" w:eastAsia="fi-FI" w:bidi="fi-FI"/>
        </w:rPr>
        <w:t>tioissa.</w:t>
      </w:r>
    </w:p>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lastRenderedPageBreak/>
        <w:t>Kertomuksessa esitetyn horisontaalisen analyysin perusteella voidaan tehdä muun muassa seuraavat päätelmät:</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Vaihtotaseiden tasapainottamista on jatkettava.</w:t>
      </w:r>
      <w:r>
        <w:rPr>
          <w:rFonts w:ascii="Times New Roman" w:hAnsi="Times New Roman"/>
          <w:noProof/>
          <w:lang w:val="fi-FI" w:eastAsia="fi-FI" w:bidi="fi-FI"/>
        </w:rPr>
        <w:t xml:space="preserve"> Suuret vaihtotaseen alijäämät on korjattu useimmissa jäsenvaltioissa, mutta joissakin tapau</w:t>
      </w:r>
      <w:r>
        <w:rPr>
          <w:rFonts w:ascii="Times New Roman" w:hAnsi="Times New Roman"/>
          <w:noProof/>
          <w:lang w:val="fi-FI" w:eastAsia="fi-FI" w:bidi="fi-FI"/>
        </w:rPr>
        <w:t>ksissa ulkoisten rahoitusasemien osalta olisi noudatettava suurempaa varovaisuutta, jotta ulkomaisen nettovelkakannan vähentämisvauhti pysyisi asianmukaisena. Joidenkin suurimpien vaihtotaseen ylijäämien supistumista on ollut nähtävissä vasta hiljattain, j</w:t>
      </w:r>
      <w:r>
        <w:rPr>
          <w:rFonts w:ascii="Times New Roman" w:hAnsi="Times New Roman"/>
          <w:noProof/>
          <w:lang w:val="fi-FI" w:eastAsia="fi-FI" w:bidi="fi-FI"/>
        </w:rPr>
        <w:t>a niiden supistuminen on pysynyt vaatimattomana. Useiden jäsenvaltioiden vaihtotaselukuihin vaikuttavat yhä enemmän monikansallisten yhtiöiden ja kansainvälisesti suuntautuneiden palvelusektorien toimintaan liittyvät valtioiden rajat ylittävät liiketoimet,</w:t>
      </w:r>
      <w:r>
        <w:rPr>
          <w:rFonts w:ascii="Times New Roman" w:hAnsi="Times New Roman"/>
          <w:noProof/>
          <w:lang w:val="fi-FI" w:eastAsia="fi-FI" w:bidi="fi-FI"/>
        </w:rPr>
        <w:t xml:space="preserve"> jotka vaikuttavat sekä kauppa- että tulotaseisiin.</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Ulkoiset varantoasemat ovat edelleen epätasapainossa, ja sopeutus on asteittaista. </w:t>
      </w:r>
      <w:r>
        <w:rPr>
          <w:rFonts w:ascii="Times New Roman" w:hAnsi="Times New Roman"/>
          <w:noProof/>
          <w:lang w:val="fi-FI" w:eastAsia="fi-FI" w:bidi="fi-FI"/>
        </w:rPr>
        <w:t>Niiden jäsenvaltioiden, joilla on aiemmin ollut suuria vaihtotaseen alijäämiä, merkittävät negatiiviset ulkomaiset nettov</w:t>
      </w:r>
      <w:r>
        <w:rPr>
          <w:rFonts w:ascii="Times New Roman" w:hAnsi="Times New Roman"/>
          <w:noProof/>
          <w:lang w:val="fi-FI" w:eastAsia="fi-FI" w:bidi="fi-FI"/>
        </w:rPr>
        <w:t>arallisuusasemat ovat korjautumassa lähes tasapainossa olevien tai ylijäämäisten ulkomaisten rahoitusvirtojen ja uudelleen käynnistyneen nimellisen BKT:n kasvun ansiosta. Tätä kehitystä on pidettävä yllä velkojen supistamiseksi varovaisemmalle tasolle. Ulk</w:t>
      </w:r>
      <w:r>
        <w:rPr>
          <w:rFonts w:ascii="Times New Roman" w:hAnsi="Times New Roman"/>
          <w:noProof/>
          <w:lang w:val="fi-FI" w:eastAsia="fi-FI" w:bidi="fi-FI"/>
        </w:rPr>
        <w:t xml:space="preserve">omaiset nettovarallisuusasemat jatkavat kasvuaan niissä maissa, joissa on suuria ylijäämiä. </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Kustannuskilpailukyvyn edellytykset heikkenevät useissa jäsenvaltioissa ja tukevat kaiken kaikkiaan vähemmän symmetrisempää tasapainottamista. </w:t>
      </w:r>
      <w:r>
        <w:rPr>
          <w:rFonts w:ascii="Times New Roman" w:hAnsi="Times New Roman"/>
          <w:noProof/>
          <w:lang w:val="fi-FI" w:eastAsia="fi-FI" w:bidi="fi-FI"/>
        </w:rPr>
        <w:t>Vuodesta 2016 lähtie</w:t>
      </w:r>
      <w:r>
        <w:rPr>
          <w:rFonts w:ascii="Times New Roman" w:hAnsi="Times New Roman"/>
          <w:noProof/>
          <w:lang w:val="fi-FI" w:eastAsia="fi-FI" w:bidi="fi-FI"/>
        </w:rPr>
        <w:t>n yksikkötyökustannusten nousu on kiihtynyt useimmissa jäsenvaltioissa. Erityisen voimakasta nousu on ollut monissa Keski- ja Itä-Euroopan jäsenvaltioissa tarjonnan pullonkaulojen vuoksi. Kriisin jälkeen kustannuskilpailukyky on parantunut nopeammin euroal</w:t>
      </w:r>
      <w:r>
        <w:rPr>
          <w:rFonts w:ascii="Times New Roman" w:hAnsi="Times New Roman"/>
          <w:noProof/>
          <w:lang w:val="fi-FI" w:eastAsia="fi-FI" w:bidi="fi-FI"/>
        </w:rPr>
        <w:t>ueen nettovelallismaissa kuin nettovelkojamaissa. Viime aikoina nettovelallismaiden kustannuskilpailukykydynamiikan tuottama etu on kuitenkin suhteellisesti tarkasteltuna heikentynyt työmarkkinoiden kiristymisen ja tuottavuuden hitaamman parantumisen vuoks</w:t>
      </w:r>
      <w:r>
        <w:rPr>
          <w:rFonts w:ascii="Times New Roman" w:hAnsi="Times New Roman"/>
          <w:noProof/>
          <w:lang w:val="fi-FI" w:eastAsia="fi-FI" w:bidi="fi-FI"/>
        </w:rPr>
        <w:t>i, kun taas nettovelkojamaissa kireät työmarkkinat eivät ole toistaiseksi johtaneet palkkojen nousun merkittävään kiihtymiseen. Tämä viimeaikainen kustannuskilpailukyvyn kehitys ei ilmene täysin hintakilpailukyvyn vastaavana heikkenemisenä, mikä voi johtua</w:t>
      </w:r>
      <w:r>
        <w:rPr>
          <w:rFonts w:ascii="Times New Roman" w:hAnsi="Times New Roman"/>
          <w:noProof/>
          <w:lang w:val="fi-FI" w:eastAsia="fi-FI" w:bidi="fi-FI"/>
        </w:rPr>
        <w:t xml:space="preserve"> alhaisempien hintamarginaalien kompensoivasta vaikutuksesta. Tämä vaikutus voisi olla yksi niistä syistä, joiden vuoksi ei ole alustavaa näyttöä siitä, että kustannuskilpailukykytappiot olisivat jo heikentäneet vientimarkkinaosuuksien kasvua, mutta vaikut</w:t>
      </w:r>
      <w:r>
        <w:rPr>
          <w:rFonts w:ascii="Times New Roman" w:hAnsi="Times New Roman"/>
          <w:noProof/>
          <w:lang w:val="fi-FI" w:eastAsia="fi-FI" w:bidi="fi-FI"/>
        </w:rPr>
        <w:t>uksia voi tulla näkyviin, jos tällaiset suuntaukset jatkuvat.</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Yksityisen sektorin velkaantuminen vähenee yhä enemmän nimelliskasvun siivittämänä. </w:t>
      </w:r>
      <w:r>
        <w:rPr>
          <w:rFonts w:ascii="Times New Roman" w:hAnsi="Times New Roman"/>
          <w:noProof/>
          <w:lang w:val="fi-FI" w:eastAsia="fi-FI" w:bidi="fi-FI"/>
        </w:rPr>
        <w:t>Yksityisen velan suhde BKT:hen pienenee useammissa jäsenvaltioissa vuotta aikaisempaan tilanteeseen verrattuna</w:t>
      </w:r>
      <w:r>
        <w:rPr>
          <w:rFonts w:ascii="Times New Roman" w:hAnsi="Times New Roman"/>
          <w:noProof/>
          <w:lang w:val="fi-FI" w:eastAsia="fi-FI" w:bidi="fi-FI"/>
        </w:rPr>
        <w:t>. Tämä johtuu nopeammasta nimellisen BKT:n kasvusta, sillä aktiivista velkaantumisen purkamista, eli velan vähentämistä nimellismääräisesti, tapahtuu vain muutamissa maissa ja se on vaimeaa. Aktiivista velkaantumisen purkamista tapahtuu pääasiassa yritysse</w:t>
      </w:r>
      <w:r>
        <w:rPr>
          <w:rFonts w:ascii="Times New Roman" w:hAnsi="Times New Roman"/>
          <w:noProof/>
          <w:lang w:val="fi-FI" w:eastAsia="fi-FI" w:bidi="fi-FI"/>
        </w:rPr>
        <w:t>ktorilla, sillä kotitalouksien lainanotto on lisääntynyt. Velkaantumisen purkaminen on edelleen nopeampaa yrityssektorilla kuin kotitaloussektorilla myös siitä syystä, että velkamäärät on suurempia yrityssektorilla ja näin ollen nimellisen BKT:n kasvun vai</w:t>
      </w:r>
      <w:r>
        <w:rPr>
          <w:rFonts w:ascii="Times New Roman" w:hAnsi="Times New Roman"/>
          <w:noProof/>
          <w:lang w:val="fi-FI" w:eastAsia="fi-FI" w:bidi="fi-FI"/>
        </w:rPr>
        <w:t xml:space="preserve">kutus velkasuhteeseen on vahvempi. </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Maissa, joissa julkisen velan määrä on suuri, viranomaiset ovat vasta hiljattain ryhtyneet purkamaan velkaantumista, ja se etenee hitaasti.</w:t>
      </w:r>
      <w:r>
        <w:rPr>
          <w:rFonts w:ascii="Times New Roman" w:hAnsi="Times New Roman"/>
          <w:noProof/>
          <w:lang w:val="fi-FI" w:eastAsia="fi-FI" w:bidi="fi-FI"/>
        </w:rPr>
        <w:t xml:space="preserve"> Vaikka nimelliskasvun käynnistyminen uudelleen ja alhaisemmat korkomenot ovat os</w:t>
      </w:r>
      <w:r>
        <w:rPr>
          <w:rFonts w:ascii="Times New Roman" w:hAnsi="Times New Roman"/>
          <w:noProof/>
          <w:lang w:val="fi-FI" w:eastAsia="fi-FI" w:bidi="fi-FI"/>
        </w:rPr>
        <w:t xml:space="preserve">altaan johtaneet siihen, että julkisen talouden velka suhteessa BKT:hen on supistunut useimmissa jäsenvaltioissa, myötäsyklistä elvyttävää finanssipolitiikkaa harjoitetaan yhä useammassa maassa, mikä vaikuttaa mahdollisuuksiin lieventää häiriöitä huonoina </w:t>
      </w:r>
      <w:r>
        <w:rPr>
          <w:rFonts w:ascii="Times New Roman" w:hAnsi="Times New Roman"/>
          <w:noProof/>
          <w:lang w:val="fi-FI" w:eastAsia="fi-FI" w:bidi="fi-FI"/>
        </w:rPr>
        <w:t xml:space="preserve">aikoina. </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EU:n pankkisektorin olosuhteet ovat kohentumassa, mutta kannattavuus on edelleen heikko ja järjestämättömiä lainoja on vieläkin runsaasti joissakin jäsenvaltioissa. </w:t>
      </w:r>
      <w:r>
        <w:rPr>
          <w:rFonts w:ascii="Times New Roman" w:hAnsi="Times New Roman"/>
          <w:noProof/>
          <w:lang w:val="fi-FI" w:eastAsia="fi-FI" w:bidi="fi-FI"/>
        </w:rPr>
        <w:t xml:space="preserve">Kannattavuus on parantunut erityisesti niissä maissa, joissa pankkisektorille on </w:t>
      </w:r>
      <w:r>
        <w:rPr>
          <w:rFonts w:ascii="Times New Roman" w:hAnsi="Times New Roman"/>
          <w:noProof/>
          <w:lang w:val="fi-FI" w:eastAsia="fi-FI" w:bidi="fi-FI"/>
        </w:rPr>
        <w:t>tunnusomaista heikko kannattavuus. Järjestämättömien lainojen osuudet ovat pienentyneet entisestään erityisesti niissä jäsenvaltioissa, joissa niiden määrä on suurin. Vakavaraisuussuhteet ovat edelleen parantuneet useimmissa maissa. Pankkien pääoman arvost</w:t>
      </w:r>
      <w:r>
        <w:rPr>
          <w:rFonts w:ascii="Times New Roman" w:hAnsi="Times New Roman"/>
          <w:noProof/>
          <w:lang w:val="fi-FI" w:eastAsia="fi-FI" w:bidi="fi-FI"/>
        </w:rPr>
        <w:t xml:space="preserve">ukset nousivat vuoden 2018 alkuun asti, minkä jälkeen niitä korjattiin alaspäin. </w:t>
      </w:r>
    </w:p>
    <w:p w:rsidR="00876CA6" w:rsidRDefault="0031278A">
      <w:pPr>
        <w:numPr>
          <w:ilvl w:val="0"/>
          <w:numId w:val="14"/>
        </w:numPr>
        <w:contextualSpacing/>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Asuntojen hintojen nousu on kiihtynyt ja kääntynyt positiiviseksi yhä useammissa jäsenvaltioissa, ja useammissa maissa on mahdollisia merkkejä yliarvostuksesta. </w:t>
      </w:r>
      <w:r>
        <w:rPr>
          <w:rFonts w:ascii="Times New Roman" w:hAnsi="Times New Roman"/>
          <w:noProof/>
          <w:lang w:val="fi-FI" w:eastAsia="fi-FI" w:bidi="fi-FI"/>
        </w:rPr>
        <w:t>Samaan aikaan</w:t>
      </w:r>
      <w:r>
        <w:rPr>
          <w:rFonts w:ascii="Times New Roman" w:hAnsi="Times New Roman"/>
          <w:noProof/>
          <w:lang w:val="fi-FI" w:eastAsia="fi-FI" w:bidi="fi-FI"/>
        </w:rPr>
        <w:t xml:space="preserve"> asuntojen hintojen nousu on hiljattain hidastunut maissa, joissa on eniten näyttöä yliarvostuksesta. Sitä vastoin hintojen nousun on havaittu kiihtyneen voimakkaasti erityisesti niissä maissa, joissa ei tällä hetkellä ole lainkaan näyttöä yliarvostuksesta</w:t>
      </w:r>
      <w:r>
        <w:rPr>
          <w:rFonts w:ascii="Times New Roman" w:hAnsi="Times New Roman"/>
          <w:noProof/>
          <w:lang w:val="fi-FI" w:eastAsia="fi-FI" w:bidi="fi-FI"/>
        </w:rPr>
        <w:t xml:space="preserve"> tai näyttö on kohtuullista. </w:t>
      </w:r>
    </w:p>
    <w:p w:rsidR="00876CA6" w:rsidRDefault="0031278A">
      <w:pPr>
        <w:numPr>
          <w:ilvl w:val="0"/>
          <w:numId w:val="1"/>
        </w:num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Työmarkkinoiden kohentuminen jatkuu edelleen, ja palkat ovat vähitellen kääntymässä uudelleen nousuun. </w:t>
      </w:r>
      <w:r>
        <w:rPr>
          <w:rFonts w:ascii="Times New Roman" w:hAnsi="Times New Roman"/>
          <w:noProof/>
          <w:lang w:val="fi-FI" w:eastAsia="fi-FI" w:bidi="fi-FI"/>
        </w:rPr>
        <w:t>Työttömyysasteet laskevat edelleen muun muassa nuorten ja pitkäaikaistyöttömien osalta, mutta joissakin jäsenvaltioissa työ</w:t>
      </w:r>
      <w:r>
        <w:rPr>
          <w:rFonts w:ascii="Times New Roman" w:hAnsi="Times New Roman"/>
          <w:noProof/>
          <w:lang w:val="fi-FI" w:eastAsia="fi-FI" w:bidi="fi-FI"/>
        </w:rPr>
        <w:t>ttömyys on edelleen korkealla tasolla ja työvoimaosuus alhainen, tosin usein kasvussa. Sosiaalinen ahdinko on hellittämässä, vaikka pitkäaikainen työttömyys ja pienet tulot ovat pitkään olleet yleisiä monissa maissa</w:t>
      </w:r>
      <w:r>
        <w:rPr>
          <w:rFonts w:ascii="Times New Roman" w:hAnsi="Times New Roman"/>
          <w:noProof/>
          <w:vertAlign w:val="superscript"/>
          <w:lang w:val="fi-FI" w:eastAsia="fi-FI" w:bidi="fi-FI"/>
        </w:rPr>
        <w:footnoteReference w:id="6"/>
      </w:r>
      <w:r>
        <w:rPr>
          <w:rFonts w:ascii="Times New Roman" w:hAnsi="Times New Roman"/>
          <w:noProof/>
          <w:lang w:val="fi-FI" w:eastAsia="fi-FI" w:bidi="fi-FI"/>
        </w:rPr>
        <w:t xml:space="preserve">. Euroalueen tasolla palkkojen nousu on </w:t>
      </w:r>
      <w:r>
        <w:rPr>
          <w:rFonts w:ascii="Times New Roman" w:hAnsi="Times New Roman"/>
          <w:noProof/>
          <w:lang w:val="fi-FI" w:eastAsia="fi-FI" w:bidi="fi-FI"/>
        </w:rPr>
        <w:t>edelleen heikompaa kuin mitä nykyisillä työttömyystasoilla voitaisiin aiempien vuosien tietojen perusteella odottaa. Palkkojen nousu EU:n jäsenvaltioissa on kuitenkin vähitellen käynnistymässä uudelleen eri nopeuksilla, jotka kuvastavat työmarkkinoiden kir</w:t>
      </w:r>
      <w:r>
        <w:rPr>
          <w:rFonts w:ascii="Times New Roman" w:hAnsi="Times New Roman"/>
          <w:noProof/>
          <w:lang w:val="fi-FI" w:eastAsia="fi-FI" w:bidi="fi-FI"/>
        </w:rPr>
        <w:t xml:space="preserve">eyttä ja joissakin maissa vallitsevia työvoimatarjonnan pullonkauloja. </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Euroalueen tasapainottaminen vaatii edelleen huolellista harkintaa. </w:t>
      </w:r>
      <w:r>
        <w:rPr>
          <w:rFonts w:ascii="Times New Roman" w:hAnsi="Times New Roman"/>
          <w:noProof/>
          <w:lang w:val="fi-FI" w:eastAsia="fi-FI" w:bidi="fi-FI"/>
        </w:rPr>
        <w:t>Euroalueen vaihtotaseen ylijäämä vakiintui vuonna 2016 ja on pysytellyt kutakuinkin vakaana sen jälkeen. Se on maail</w:t>
      </w:r>
      <w:r>
        <w:rPr>
          <w:rFonts w:ascii="Times New Roman" w:hAnsi="Times New Roman"/>
          <w:noProof/>
          <w:lang w:val="fi-FI" w:eastAsia="fi-FI" w:bidi="fi-FI"/>
        </w:rPr>
        <w:t>man suurin ja ylittää talouden perustekijöiden mukaiset tasot. Euroalueen maiden keskinäisten kytkösten ja heijastusvaikutusten vuoksi euroalueen maissa tarvitaan asianmukaista politiikkojen yhdistelmää sen varmistamiseksi, että palautuva kasvu jatkuu kest</w:t>
      </w:r>
      <w:r>
        <w:rPr>
          <w:rFonts w:ascii="Times New Roman" w:hAnsi="Times New Roman"/>
          <w:noProof/>
          <w:lang w:val="fi-FI" w:eastAsia="fi-FI" w:bidi="fi-FI"/>
        </w:rPr>
        <w:t xml:space="preserve">ävällä tavalla ja on makrotalouden vakauden mukaista. Nettovelallismaissa ulkomaisen ja kotimaisen velan suurten määrien supistaminen edellyttää maltillisten vaihtotaseiden ylläpitämistä ja velan asianmukaisen supistamisvauhdin varmistamista vaarantamatta </w:t>
      </w:r>
      <w:r>
        <w:rPr>
          <w:rFonts w:ascii="Times New Roman" w:hAnsi="Times New Roman"/>
          <w:noProof/>
          <w:lang w:val="fi-FI" w:eastAsia="fi-FI" w:bidi="fi-FI"/>
        </w:rPr>
        <w:t>kasvupotentiaalin lisäämistä koskevaa tavoitetta ja pyrkien välttämään finanssipolitiikan myötäsyklisen kiristämisen riskiä huonoina aikoina. Nettovelkojamaissa jatkuvien suurten ylijäämien korjaaminen investointeja edistävillä ja pysähtyneen palkkakehityk</w:t>
      </w:r>
      <w:r>
        <w:rPr>
          <w:rFonts w:ascii="Times New Roman" w:hAnsi="Times New Roman"/>
          <w:noProof/>
          <w:lang w:val="fi-FI" w:eastAsia="fi-FI" w:bidi="fi-FI"/>
        </w:rPr>
        <w:t>sen uudelleen käynnistävillä politiikoilla tukisi kasvupotentiaalia ja vähentäisi kasvunäkymien riippuvaisuutta ulkomaisesta kysynnästä. Tekstikehyksessä 2 käsitellään tarkemmin epätasapainojen vaikutusta euroalueella.</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Kaiken kaikkiaan olemassa oleviin epä</w:t>
      </w:r>
      <w:r>
        <w:rPr>
          <w:rFonts w:ascii="Times New Roman" w:hAnsi="Times New Roman"/>
          <w:b/>
          <w:noProof/>
          <w:lang w:val="fi-FI" w:eastAsia="fi-FI" w:bidi="fi-FI"/>
        </w:rPr>
        <w:t xml:space="preserve">tasapainoihin liittyvät riskit heikkenevät edelleen talouden laajentumisen myötä, mutta varantoepätasapainoihin liittyy edelleen heikkouksia ja näkyvissä on merkkejä mahdollisista kestämättömistä suuntauksista. </w:t>
      </w:r>
      <w:r>
        <w:rPr>
          <w:rFonts w:ascii="Times New Roman" w:hAnsi="Times New Roman"/>
          <w:noProof/>
          <w:lang w:val="fi-FI" w:eastAsia="fi-FI" w:bidi="fi-FI"/>
        </w:rPr>
        <w:t>Mahdolliset riskilähteet ovat suurin piirtein</w:t>
      </w:r>
      <w:r>
        <w:rPr>
          <w:rFonts w:ascii="Times New Roman" w:hAnsi="Times New Roman"/>
          <w:noProof/>
          <w:lang w:val="fi-FI" w:eastAsia="fi-FI" w:bidi="fi-FI"/>
        </w:rPr>
        <w:t xml:space="preserve"> samat kuin varoitusmekanismia koskevassa vuoden 2018 kertomuksessa todetut. Suuria ylijäämiä on edelleen, ja kilpailukyvyn kehitys puolestaan tukee tasapainottamista vähemmän. Yksityisen sektorin velkaantumisen purkaminen on hyötynyt talouden laajentumise</w:t>
      </w:r>
      <w:r>
        <w:rPr>
          <w:rFonts w:ascii="Times New Roman" w:hAnsi="Times New Roman"/>
          <w:noProof/>
          <w:lang w:val="fi-FI" w:eastAsia="fi-FI" w:bidi="fi-FI"/>
        </w:rPr>
        <w:t>sta, mutta se on edelleen epätasaista. On olemassa suuria velkakantoja, joiden purkaminen ei etene riittävän nopeasti. Yksityisen ja erityisesti julkisen sektorin velkaantumisen aktiivisen purkamisen vähentyminen herättää kysymyksen siitä, voiko velkaantum</w:t>
      </w:r>
      <w:r>
        <w:rPr>
          <w:rFonts w:ascii="Times New Roman" w:hAnsi="Times New Roman"/>
          <w:noProof/>
          <w:lang w:val="fi-FI" w:eastAsia="fi-FI" w:bidi="fi-FI"/>
        </w:rPr>
        <w:t>isen vähentäminen perustua yhä enemmän potentiaalisen BKT:n kasvuun tulevaisuudessa. Tämä haaste korostaa tarvetta jatkaa useissa EU:n jäsenvaltioissa viime vuosina käynnistettyä uudistusprosessia ja pitää asialistan kärjessä sellaiset politiikat ja uudist</w:t>
      </w:r>
      <w:r>
        <w:rPr>
          <w:rFonts w:ascii="Times New Roman" w:hAnsi="Times New Roman"/>
          <w:noProof/>
          <w:lang w:val="fi-FI" w:eastAsia="fi-FI" w:bidi="fi-FI"/>
        </w:rPr>
        <w:t>ukset, joilla pyritään lisäämään kasvupotentiaalia</w:t>
      </w:r>
      <w:r>
        <w:rPr>
          <w:rFonts w:ascii="Times New Roman" w:hAnsi="Times New Roman"/>
          <w:noProof/>
          <w:vertAlign w:val="superscript"/>
          <w:lang w:val="fi-FI" w:eastAsia="fi-FI" w:bidi="fi-FI"/>
        </w:rPr>
        <w:footnoteReference w:id="7"/>
      </w:r>
      <w:r>
        <w:rPr>
          <w:rFonts w:ascii="Times New Roman" w:hAnsi="Times New Roman"/>
          <w:noProof/>
          <w:lang w:val="fi-FI" w:eastAsia="fi-FI" w:bidi="fi-FI"/>
        </w:rPr>
        <w:t>. Koska keskipitkän aikavälin näkymät ovat yhä epävarmemmat, yksityisen ja julkisen sektorin pyrkimykset vähentää velkaantumista taloudellisen laajentumisen jatkuessa ovat tärkeitä myös liikkumavaran luomi</w:t>
      </w:r>
      <w:r>
        <w:rPr>
          <w:rFonts w:ascii="Times New Roman" w:hAnsi="Times New Roman"/>
          <w:noProof/>
          <w:lang w:val="fi-FI" w:eastAsia="fi-FI" w:bidi="fi-FI"/>
        </w:rPr>
        <w:t xml:space="preserve">seksi negatiivisten tuotantohäiriöiden lieventämistä varten tilanteessa, jossa taloudelliset olosuhteet eivät ole enää yhtä suotuisat ja riskit toteutuvat. Samanaikaisesti monissa maissa on merkkejä mahdollisesta ylikuumenemisesta. Ne liittyvät pääasiassa </w:t>
      </w:r>
      <w:r>
        <w:rPr>
          <w:rFonts w:ascii="Times New Roman" w:hAnsi="Times New Roman"/>
          <w:noProof/>
          <w:lang w:val="fi-FI" w:eastAsia="fi-FI" w:bidi="fi-FI"/>
        </w:rPr>
        <w:t>nopeasti kasvaviin yksikkötyökustannuksiin, jotka heikentävät kustannuskilpailukykyä, ja asuntojen dynaamiseen hintojen nousuun jo suhteellisen korkeilta lähtötasoilta. Kun otetaan huomioon, että suurin osa virtojen epätasapainoista on korjattu ja varantoe</w:t>
      </w:r>
      <w:r>
        <w:rPr>
          <w:rFonts w:ascii="Times New Roman" w:hAnsi="Times New Roman"/>
          <w:noProof/>
          <w:lang w:val="fi-FI" w:eastAsia="fi-FI" w:bidi="fi-FI"/>
        </w:rPr>
        <w:t>pätasapainojen vakavuus vähenee asteittain, sekä mahdolliset merkit ylikuumenemisesta useissa maissa, makrotalouden epätasapainoa koskevan menettelyn valvonnassa kiinnitetään vähitellen enemmän huomiota mahdollisesti kestämättömien suuntausten seurantaan e</w:t>
      </w:r>
      <w:r>
        <w:rPr>
          <w:rFonts w:ascii="Times New Roman" w:hAnsi="Times New Roman"/>
          <w:noProof/>
          <w:lang w:val="fi-FI" w:eastAsia="fi-FI" w:bidi="fi-FI"/>
        </w:rPr>
        <w:t>nnakoivasta näkökulmasta sekä sellaisten riskien ehkäisemiseen, jotka saattavat kiteytyä keskipitkällä aikavälillä.</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Useiden varoitusmekanismia koskevassa kertomuksessa yksilöityjen jäsenvaltioiden osalta perusteellisiin tarkasteluihin sisältyy yksityiskoht</w:t>
      </w:r>
      <w:r>
        <w:rPr>
          <w:rFonts w:ascii="Times New Roman" w:hAnsi="Times New Roman"/>
          <w:b/>
          <w:noProof/>
          <w:lang w:val="fi-FI" w:eastAsia="fi-FI" w:bidi="fi-FI"/>
        </w:rPr>
        <w:t>aisempi ja kattavampi analyysi.</w:t>
      </w:r>
      <w:r>
        <w:rPr>
          <w:rFonts w:ascii="Times New Roman" w:hAnsi="Times New Roman"/>
          <w:noProof/>
          <w:lang w:val="fi-FI" w:eastAsia="fi-FI" w:bidi="fi-FI"/>
        </w:rPr>
        <w:t xml:space="preserve"> Kuten edellisillä vuotuisilla kierroksilla, perusteelliset tarkastelut sisällytetään maaraportteihin, joissa esitetään komission yksiköiden analyysi EU:n jäsenvaltioiden taloudellisista ja sosiaalisista haasteista. Perusteel</w:t>
      </w:r>
      <w:r>
        <w:rPr>
          <w:rFonts w:ascii="Times New Roman" w:hAnsi="Times New Roman"/>
          <w:noProof/>
          <w:lang w:val="fi-FI" w:eastAsia="fi-FI" w:bidi="fi-FI"/>
        </w:rPr>
        <w:t xml:space="preserve">lisissa tarkasteluissa esitettävä komission analyysi perustuu laajaan tietoaineistoon ja komission yhteistyössä neuvoston komiteoiden ja työryhmien kanssa kehittämiin asiaankuuluviin tieto- ja arviointikehyksiin. Perusteellisissa tarkasteluissa esitettävä </w:t>
      </w:r>
      <w:r>
        <w:rPr>
          <w:rFonts w:ascii="Times New Roman" w:hAnsi="Times New Roman"/>
          <w:noProof/>
          <w:lang w:val="fi-FI" w:eastAsia="fi-FI" w:bidi="fi-FI"/>
        </w:rPr>
        <w:t>analyysi muodostaa perustan jäsenvaltioissa vallitsevien epätasapainojen tai liiallisten epätasapainojen tunnistamiselle sekä jäsenvaltioille annettujen maakohtaisten suositusten mahdolliselle päivittämiselle.</w:t>
      </w:r>
      <w:r>
        <w:rPr>
          <w:rFonts w:ascii="Times New Roman" w:hAnsi="Times New Roman"/>
          <w:noProof/>
          <w:vertAlign w:val="superscript"/>
          <w:lang w:val="fi-FI" w:eastAsia="fi-FI" w:bidi="fi-FI"/>
        </w:rPr>
        <w:footnoteReference w:id="8"/>
      </w:r>
      <w:r>
        <w:rPr>
          <w:rFonts w:ascii="Times New Roman" w:hAnsi="Times New Roman"/>
          <w:noProof/>
          <w:lang w:val="fi-FI" w:eastAsia="fi-FI" w:bidi="fi-FI"/>
        </w:rPr>
        <w:t xml:space="preserve"> Maat, joiden osalta on havaittu epätasapainoj</w:t>
      </w:r>
      <w:r>
        <w:rPr>
          <w:rFonts w:ascii="Times New Roman" w:hAnsi="Times New Roman"/>
          <w:noProof/>
          <w:lang w:val="fi-FI" w:eastAsia="fi-FI" w:bidi="fi-FI"/>
        </w:rPr>
        <w:t>a tai liiallisia epätasapainoja, ovat nyt ja jatkossa erityisseurannan kohteena. Näin varmistetaan makrotalouden epätasapainoa koskevan menettelyn puitteissa toteutettujen politiikkatoimien jatkuva seuranta.</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Perusteelliset tarkastelut laaditaan jäsenvaltioista, joissa on jo havaittu epätasapainoja tai liiallisia epätasapainoja. </w:t>
      </w:r>
      <w:r>
        <w:rPr>
          <w:rFonts w:ascii="Times New Roman" w:hAnsi="Times New Roman"/>
          <w:noProof/>
          <w:lang w:val="fi-FI" w:eastAsia="fi-FI" w:bidi="fi-FI"/>
        </w:rPr>
        <w:t>Varovaisuuteen perustuvan vakiintuneen käytännön mukaisesti perusteelliset tarkastelut laaditaan sen arvioimiseksi, ovatko olemassa ol</w:t>
      </w:r>
      <w:r>
        <w:rPr>
          <w:rFonts w:ascii="Times New Roman" w:hAnsi="Times New Roman"/>
          <w:noProof/>
          <w:lang w:val="fi-FI" w:eastAsia="fi-FI" w:bidi="fi-FI"/>
        </w:rPr>
        <w:t>evat epätasapainot purkautumassa, jatkumassa vai pahenemassa, ja niissä otetaan asianmukaisesti huomioon toteutetut korjaavat politiikkatoimet. Näin ollen perusteellinen tarkastelu tehdään niistä 11 jäsenvaltiosta, joissa havaittiin epätasapainoja vuonna 2</w:t>
      </w:r>
      <w:r>
        <w:rPr>
          <w:rFonts w:ascii="Times New Roman" w:hAnsi="Times New Roman"/>
          <w:noProof/>
          <w:lang w:val="fi-FI" w:eastAsia="fi-FI" w:bidi="fi-FI"/>
        </w:rPr>
        <w:t>018 tehdyssä perusteellisessa tarkastelussa.</w:t>
      </w:r>
      <w:r>
        <w:rPr>
          <w:rFonts w:ascii="Times New Roman" w:hAnsi="Times New Roman"/>
          <w:noProof/>
          <w:vertAlign w:val="superscript"/>
          <w:lang w:val="fi-FI" w:eastAsia="fi-FI" w:bidi="fi-FI"/>
        </w:rPr>
        <w:footnoteReference w:id="9"/>
      </w:r>
      <w:r>
        <w:rPr>
          <w:rFonts w:ascii="Times New Roman" w:hAnsi="Times New Roman"/>
          <w:noProof/>
          <w:lang w:val="fi-FI" w:eastAsia="fi-FI" w:bidi="fi-FI"/>
        </w:rPr>
        <w:t xml:space="preserve"> Nämä jäsenvaltiot ovat </w:t>
      </w:r>
      <w:r>
        <w:rPr>
          <w:rFonts w:ascii="Times New Roman" w:hAnsi="Times New Roman"/>
          <w:b/>
          <w:noProof/>
          <w:lang w:val="fi-FI" w:eastAsia="fi-FI" w:bidi="fi-FI"/>
        </w:rPr>
        <w:t>Alankomaat, Bulgaria, Espanja, Irlanti, Italia, Kroatia, Kypros, Portugali, Ranska, Ruotsi</w:t>
      </w:r>
      <w:r>
        <w:rPr>
          <w:rFonts w:ascii="Times New Roman" w:hAnsi="Times New Roman"/>
          <w:noProof/>
          <w:lang w:val="fi-FI" w:eastAsia="fi-FI" w:bidi="fi-FI"/>
        </w:rPr>
        <w:t xml:space="preserve"> ja </w:t>
      </w:r>
      <w:r>
        <w:rPr>
          <w:rFonts w:ascii="Times New Roman" w:hAnsi="Times New Roman"/>
          <w:b/>
          <w:noProof/>
          <w:lang w:val="fi-FI" w:eastAsia="fi-FI" w:bidi="fi-FI"/>
        </w:rPr>
        <w:t>Saksa</w:t>
      </w:r>
      <w:r>
        <w:rPr>
          <w:rFonts w:ascii="Times New Roman" w:hAnsi="Times New Roman"/>
          <w:noProof/>
          <w:lang w:val="fi-FI" w:eastAsia="fi-FI" w:bidi="fi-FI"/>
        </w:rPr>
        <w:t>.</w:t>
      </w:r>
    </w:p>
    <w:p w:rsidR="00876CA6" w:rsidRDefault="0031278A">
      <w:pPr>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Perusteelliset tarkastelut tehdään myös Kreikasta, joka on ensimmäistä kertaa </w:t>
      </w:r>
      <w:r>
        <w:rPr>
          <w:rFonts w:ascii="Times New Roman" w:hAnsi="Times New Roman"/>
          <w:b/>
          <w:noProof/>
          <w:lang w:val="fi-FI" w:eastAsia="fi-FI" w:bidi="fi-FI"/>
        </w:rPr>
        <w:t>makrotalouden epätasapainoa koskevan menettelyn mukaisen valvonnan kohteena, sekä Romaniasta. Kreikasta</w:t>
      </w:r>
      <w:r>
        <w:rPr>
          <w:noProof/>
          <w:lang w:val="fi-FI" w:eastAsia="fi-FI" w:bidi="fi-FI"/>
        </w:rPr>
        <w:t>, joka oli aikaisemmin makrotalouden epätasapainoa koskevan menettelyn mukaisen valvonnan ulkopuolella, koska se oli rahoitustukeen liittyvän makrotaloud</w:t>
      </w:r>
      <w:r>
        <w:rPr>
          <w:noProof/>
          <w:lang w:val="fi-FI" w:eastAsia="fi-FI" w:bidi="fi-FI"/>
        </w:rPr>
        <w:t>en sopeutusohjelman kohteena elokuuhun 2018 asti, tehdään perusteellinen tarkastelu varoitusmekanismia koskevan kertomuksen analyysin perusteella</w:t>
      </w:r>
      <w:r>
        <w:rPr>
          <w:rFonts w:ascii="Times New Roman" w:hAnsi="Times New Roman"/>
          <w:noProof/>
          <w:vertAlign w:val="superscript"/>
          <w:lang w:val="fi-FI" w:eastAsia="fi-FI" w:bidi="fi-FI"/>
        </w:rPr>
        <w:footnoteReference w:id="10"/>
      </w:r>
      <w:r>
        <w:rPr>
          <w:noProof/>
          <w:lang w:val="fi-FI" w:eastAsia="fi-FI" w:bidi="fi-FI"/>
        </w:rPr>
        <w:t>.</w:t>
      </w:r>
      <w:r>
        <w:rPr>
          <w:rFonts w:ascii="Times New Roman" w:hAnsi="Times New Roman"/>
          <w:noProof/>
          <w:lang w:val="fi-FI" w:eastAsia="fi-FI" w:bidi="fi-FI"/>
        </w:rPr>
        <w:t xml:space="preserve"> Varoitusmekanismia koskevan kertomuksen analyysi ei viittaa merkittäviin lisäriskeihin verrattuna viimeisiss</w:t>
      </w:r>
      <w:r>
        <w:rPr>
          <w:rFonts w:ascii="Times New Roman" w:hAnsi="Times New Roman"/>
          <w:noProof/>
          <w:lang w:val="fi-FI" w:eastAsia="fi-FI" w:bidi="fi-FI"/>
        </w:rPr>
        <w:t>ä saatavilla olevissa perusteellisissa tarkasteluissa havaittuihin riskeihin useissa sellaisissa jäsenvaltioissa, joiden osalta makrotalouden epätasapainoa koskevan menettelyn mukainen valvonta on lopetettu viime vuosina, nimittäin Sloveniassa (jossa ei ha</w:t>
      </w:r>
      <w:r>
        <w:rPr>
          <w:rFonts w:ascii="Times New Roman" w:hAnsi="Times New Roman"/>
          <w:noProof/>
          <w:lang w:val="fi-FI" w:eastAsia="fi-FI" w:bidi="fi-FI"/>
        </w:rPr>
        <w:t>vaittu epätasapainoja vuonna 2018), Suomessa (valvonta lopetettiin vuonna 2017), Belgiassa ja Unkarissa (valvonta lopetettiin vuonna 2016). Olosuhteet eivät ole muuttuneet merkittävästi myöskään Itävallassa vuoden 2016 perusteellisessa tarkastelussa esitet</w:t>
      </w:r>
      <w:r>
        <w:rPr>
          <w:rFonts w:ascii="Times New Roman" w:hAnsi="Times New Roman"/>
          <w:noProof/>
          <w:lang w:val="fi-FI" w:eastAsia="fi-FI" w:bidi="fi-FI"/>
        </w:rPr>
        <w:t>ystä arvioinnista, jonka perusteella ei havaittu epätasapainoja. Myös Viron tilannetta arvioitiin vuonna 2016 perusteellisessa tarkastelussa, jossa pääteltiin, että epätasapainoja ei ollut. Vaikka yksikkötyökustannukset ovat tämän jälkeen kasvaneet voimakk</w:t>
      </w:r>
      <w:r>
        <w:rPr>
          <w:rFonts w:ascii="Times New Roman" w:hAnsi="Times New Roman"/>
          <w:noProof/>
          <w:lang w:val="fi-FI" w:eastAsia="fi-FI" w:bidi="fi-FI"/>
        </w:rPr>
        <w:t>aasti, kasvulla ei ole ollut merkittäviä vaikutuksia ulkoiseen tasapainoon eikä ole pakottavaa syytä tehdä Virosta uutta perusteellista tarkastelua. Siitä huolimatta tiivis seuranta on tarpeen tulevassa maaraportissa. Sen sijaan vaikuttaa aiheelliselta ana</w:t>
      </w:r>
      <w:r>
        <w:rPr>
          <w:rFonts w:ascii="Times New Roman" w:hAnsi="Times New Roman"/>
          <w:noProof/>
          <w:lang w:val="fi-FI" w:eastAsia="fi-FI" w:bidi="fi-FI"/>
        </w:rPr>
        <w:t xml:space="preserve">lysoida </w:t>
      </w:r>
      <w:r>
        <w:rPr>
          <w:rFonts w:ascii="Times New Roman" w:hAnsi="Times New Roman"/>
          <w:b/>
          <w:noProof/>
          <w:lang w:val="fi-FI" w:eastAsia="fi-FI" w:bidi="fi-FI"/>
        </w:rPr>
        <w:t>Romanian</w:t>
      </w:r>
      <w:r>
        <w:rPr>
          <w:rFonts w:ascii="Times New Roman" w:hAnsi="Times New Roman"/>
          <w:noProof/>
          <w:lang w:val="fi-FI" w:eastAsia="fi-FI" w:bidi="fi-FI"/>
        </w:rPr>
        <w:t xml:space="preserve"> tilannetta perusteellisessa tarkastelussa, jotta voidaan arvioida kehitystä ja jo aikaisemmissa perusteellisissa tarkasteluissa (vuosina 2015 ja 2016) havaittujen riskialttiiden kehityssuuntausten uusimista, erityisesti kilpailukyvyn ja ul</w:t>
      </w:r>
      <w:r>
        <w:rPr>
          <w:rFonts w:ascii="Times New Roman" w:hAnsi="Times New Roman"/>
          <w:noProof/>
          <w:lang w:val="fi-FI" w:eastAsia="fi-FI" w:bidi="fi-FI"/>
        </w:rPr>
        <w:t>koisen tasapainon osalta.  Asuntomarkkinoiden kehitykseen useissa maissa liittyvät riskit (Belgia, Itävalta, Luxemburg, Tanska, Tšekki, Unkari ja Yhdistynyt kuningaskunta) ja kilpailukyvyn kehitykseen liittyvät riskit (Latvia, Liettua, Tšekki, Unkari ja Vi</w:t>
      </w:r>
      <w:r>
        <w:rPr>
          <w:rFonts w:ascii="Times New Roman" w:hAnsi="Times New Roman"/>
          <w:noProof/>
          <w:lang w:val="fi-FI" w:eastAsia="fi-FI" w:bidi="fi-FI"/>
        </w:rPr>
        <w:t>ro) näyttävät edellyttävän tarkempaa analyysia maaraporteissa</w:t>
      </w:r>
      <w:r>
        <w:rPr>
          <w:rFonts w:ascii="Times New Roman" w:hAnsi="Times New Roman"/>
          <w:noProof/>
          <w:vertAlign w:val="superscript"/>
          <w:lang w:val="fi-FI" w:eastAsia="fi-FI" w:bidi="fi-FI"/>
        </w:rPr>
        <w:footnoteReference w:id="11"/>
      </w:r>
      <w:r>
        <w:rPr>
          <w:rFonts w:ascii="Times New Roman" w:hAnsi="Times New Roman"/>
          <w:noProof/>
          <w:lang w:val="fi-FI" w:eastAsia="fi-FI" w:bidi="fi-FI"/>
        </w:rPr>
        <w:t>. Varoitusmekanismia koskevassa kertomuksessa edellytetään näin ollen, että perusteellinen tarkastelu tehdään kaiken kaikkiaan 13 jäsenvaltiosta, kun edellisellä kierroksella se tehtiin 12 jäsen</w:t>
      </w:r>
      <w:r>
        <w:rPr>
          <w:rFonts w:ascii="Times New Roman" w:hAnsi="Times New Roman"/>
          <w:noProof/>
          <w:lang w:val="fi-FI" w:eastAsia="fi-FI" w:bidi="fi-FI"/>
        </w:rPr>
        <w:t>valtiosta.</w:t>
      </w:r>
    </w:p>
    <w:p w:rsidR="00876CA6" w:rsidRDefault="0031278A">
      <w:pPr>
        <w:rPr>
          <w:rFonts w:ascii="Times New Roman" w:hAnsi="Times New Roman" w:cs="Times New Roman"/>
          <w:noProof/>
          <w:lang w:val="fi-FI" w:eastAsia="fi-FI" w:bidi="fi-FI"/>
        </w:rPr>
      </w:pPr>
      <w:r>
        <w:rPr>
          <w:rFonts w:ascii="Times New Roman" w:hAnsi="Times New Roman" w:cs="Times New Roman"/>
          <w:noProof/>
          <w:lang w:val="fi-FI" w:eastAsia="fi-FI" w:bidi="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876CA6" w:rsidRPr="0031278A">
        <w:tc>
          <w:tcPr>
            <w:tcW w:w="9288" w:type="dxa"/>
            <w:shd w:val="clear" w:color="auto" w:fill="BFBFBF"/>
          </w:tcPr>
          <w:p w:rsidR="00876CA6" w:rsidRDefault="0031278A">
            <w:pPr>
              <w:spacing w:after="60"/>
              <w:jc w:val="both"/>
              <w:rPr>
                <w:b/>
                <w:noProof/>
                <w:lang w:val="fi-FI" w:eastAsia="fi-FI" w:bidi="fi-FI"/>
              </w:rPr>
            </w:pPr>
            <w:r>
              <w:rPr>
                <w:noProof/>
                <w:lang w:val="fi-FI" w:eastAsia="fi-FI" w:bidi="fi-FI"/>
              </w:rPr>
              <w:br w:type="page"/>
            </w:r>
            <w:r>
              <w:rPr>
                <w:noProof/>
                <w:lang w:val="fi-FI" w:eastAsia="fi-FI" w:bidi="fi-FI"/>
              </w:rPr>
              <w:br w:type="page"/>
            </w:r>
            <w:r>
              <w:rPr>
                <w:noProof/>
                <w:lang w:val="fi-FI" w:eastAsia="fi-FI" w:bidi="fi-FI"/>
              </w:rPr>
              <w:br w:type="page"/>
            </w:r>
            <w:r>
              <w:rPr>
                <w:rFonts w:ascii="Times New Roman" w:hAnsi="Times New Roman"/>
                <w:b/>
                <w:i/>
                <w:noProof/>
                <w:lang w:val="fi-FI" w:eastAsia="fi-FI" w:bidi="fi-FI"/>
              </w:rPr>
              <w:t xml:space="preserve">Tekstikehys 1: </w:t>
            </w:r>
            <w:r>
              <w:rPr>
                <w:b/>
                <w:noProof/>
                <w:lang w:val="fi-FI" w:eastAsia="fi-FI" w:bidi="fi-FI"/>
              </w:rPr>
              <w:t>Makrotalouden epätasapainoa koskevan menettelyn tulostaulun lisäindikaattoreihin tehdyt muutokset</w:t>
            </w:r>
          </w:p>
          <w:p w:rsidR="00876CA6" w:rsidRDefault="0031278A">
            <w:pPr>
              <w:spacing w:before="120" w:after="60" w:line="240" w:lineRule="auto"/>
              <w:jc w:val="both"/>
              <w:rPr>
                <w:noProof/>
                <w:lang w:val="fi-FI" w:eastAsia="fi-FI" w:bidi="fi-FI"/>
              </w:rPr>
            </w:pPr>
            <w:r>
              <w:rPr>
                <w:b/>
                <w:noProof/>
                <w:lang w:val="fi-FI" w:eastAsia="fi-FI" w:bidi="fi-FI"/>
              </w:rPr>
              <w:t>Makrotalouden epätasapainoa koskevan menettelyn tulostaulua täydennetään joukolla lisäindikaattoreita.</w:t>
            </w:r>
            <w:r>
              <w:rPr>
                <w:noProof/>
                <w:lang w:val="fi-FI" w:eastAsia="fi-FI" w:bidi="fi-FI"/>
              </w:rPr>
              <w:t xml:space="preserve"> Kuten makrotalouden epät</w:t>
            </w:r>
            <w:r>
              <w:rPr>
                <w:noProof/>
                <w:lang w:val="fi-FI" w:eastAsia="fi-FI" w:bidi="fi-FI"/>
              </w:rPr>
              <w:t>asapainoa koskevasta menettelystä annetussa asetuksessa (asetus (EU) N:o 1176/2011) säädetään, tulostaulusta tehtävät talouspoliittiset päätelmät perustuvat sekä tulostaulun pääindikaattoreihin että asiaankuuluviin lisäindikaattoreihin ja -tietoihin. Makro</w:t>
            </w:r>
            <w:r>
              <w:rPr>
                <w:noProof/>
                <w:lang w:val="fi-FI" w:eastAsia="fi-FI" w:bidi="fi-FI"/>
              </w:rPr>
              <w:t>talouden epätasapainoa koskevan menettelyn mukaisen valvonnan aloittamisen jälkeen joukko lisäindikaattoreita on täydentänyt pääindikaattoreita talouspoliittisia päätelmiä tehtäessä. Pääindikaattoreista poiketen lisäindikaattoreille ei ole asetettu kynnysa</w:t>
            </w:r>
            <w:r>
              <w:rPr>
                <w:noProof/>
                <w:lang w:val="fi-FI" w:eastAsia="fi-FI" w:bidi="fi-FI"/>
              </w:rPr>
              <w:t>rvoja (ks. taulukko 2.1).</w:t>
            </w:r>
          </w:p>
          <w:p w:rsidR="00876CA6" w:rsidRDefault="0031278A">
            <w:pPr>
              <w:spacing w:before="120" w:after="60" w:line="240" w:lineRule="auto"/>
              <w:jc w:val="both"/>
              <w:rPr>
                <w:noProof/>
                <w:lang w:val="fi-FI" w:eastAsia="fi-FI" w:bidi="fi-FI"/>
              </w:rPr>
            </w:pPr>
            <w:r>
              <w:rPr>
                <w:b/>
                <w:noProof/>
                <w:lang w:val="fi-FI" w:eastAsia="fi-FI" w:bidi="fi-FI"/>
              </w:rPr>
              <w:t xml:space="preserve">Makrotalouden epätasapainoa koskevasta menettelystä annetussa asetuksessa edellytetään, että komissio tarkastelee makrotalouden epätasapainoa koskevan menettelyn tulostaulua säännöllisesti uudelleen ja tarvittaessa muuttaa sitä. </w:t>
            </w:r>
            <w:r>
              <w:rPr>
                <w:noProof/>
                <w:lang w:val="fi-FI" w:eastAsia="fi-FI" w:bidi="fi-FI"/>
              </w:rPr>
              <w:t>T</w:t>
            </w:r>
            <w:r>
              <w:rPr>
                <w:noProof/>
                <w:lang w:val="fi-FI" w:eastAsia="fi-FI" w:bidi="fi-FI"/>
              </w:rPr>
              <w:t>ulostaulua on muutettu useaan otteeseen makrotalouden epätasapainoa koskevan menettelyn aloittamisen jälkeen. Vuonna 2012 lisättiin rahoitusalaa koskeva pääindikaattori (rahoitusalan kaikki vastuut). Vuonna 2013 tarkistettiin useiden tulostaulun pääindikaa</w:t>
            </w:r>
            <w:r>
              <w:rPr>
                <w:noProof/>
                <w:lang w:val="fi-FI" w:eastAsia="fi-FI" w:bidi="fi-FI"/>
              </w:rPr>
              <w:t>ttoreiden määritelmiä (reaalinen efektiivinen valuuttakurssi, yksityisen sektorin velka ja luottovirrat) ja lisättiin joitakin lisäindikaattoreita (mukaan lukien joukko sosiaalisia ja työllisyyteen liittyviä indikaattoreita). Vuonna 2015 lisättiin työllisy</w:t>
            </w:r>
            <w:r>
              <w:rPr>
                <w:noProof/>
                <w:lang w:val="fi-FI" w:eastAsia="fi-FI" w:bidi="fi-FI"/>
              </w:rPr>
              <w:t xml:space="preserve">yttä koskevia pääindikaattoreita. Kaiken kaikkiaan muutokset ovat olleet kohdennettuja ja rajoitettuja. </w:t>
            </w:r>
          </w:p>
          <w:p w:rsidR="00876CA6" w:rsidRDefault="0031278A">
            <w:pPr>
              <w:spacing w:before="120" w:after="60" w:line="240" w:lineRule="auto"/>
              <w:jc w:val="both"/>
              <w:rPr>
                <w:noProof/>
                <w:lang w:val="fi-FI" w:eastAsia="fi-FI" w:bidi="fi-FI"/>
              </w:rPr>
            </w:pPr>
            <w:r>
              <w:rPr>
                <w:b/>
                <w:noProof/>
                <w:lang w:val="fi-FI" w:eastAsia="fi-FI" w:bidi="fi-FI"/>
              </w:rPr>
              <w:t>Tämä varoitusmekanismia koskeva kertomus sisältää joitakin muutoksia lisäindikaattoreihin. Niiden tarkoituksena on mahdollistaa hyötyminen käytettäviss</w:t>
            </w:r>
            <w:r>
              <w:rPr>
                <w:b/>
                <w:noProof/>
                <w:lang w:val="fi-FI" w:eastAsia="fi-FI" w:bidi="fi-FI"/>
              </w:rPr>
              <w:t>ä olevien tilastojen parantumisesta ja varmistaa indikaattoreiden tarkoituksenmukaisuus.</w:t>
            </w:r>
            <w:r>
              <w:rPr>
                <w:noProof/>
                <w:lang w:val="fi-FI" w:eastAsia="fi-FI" w:bidi="fi-FI"/>
              </w:rPr>
              <w:t xml:space="preserve"> Näillä viimeisimmillä lisäindikaattoreihin tehdyillä muutoksilla pyritään hyötymään maksutasetta ja pankkisektoriin liittyviä tietoja (erityisesti järjestämättömiä lai</w:t>
            </w:r>
            <w:r>
              <w:rPr>
                <w:noProof/>
                <w:lang w:val="fi-FI" w:eastAsia="fi-FI" w:bidi="fi-FI"/>
              </w:rPr>
              <w:t>noja) koskevien tilastojen parantumisesta sekä mahdollistamaan sellaisten indikaattoreiden sisällyttäminen tulostauluun, joita jo käytetään laajalti varoitusmekanismia koskevan kertomuksen ja perusteellisten tarkastelujen analyyseissa. Euroopan parlamentti</w:t>
            </w:r>
            <w:r>
              <w:rPr>
                <w:noProof/>
                <w:lang w:val="fi-FI" w:eastAsia="fi-FI" w:bidi="fi-FI"/>
              </w:rPr>
              <w:t>a ja neuvostoa (mukaan lukien sen asiantuntijakomiteat) kuultiin asianmukaisesti tulostauluun tehtävistä muutoksista ja Euroopan järjestelmäriskikomitealle tiedotettiin niistä, kuten aiempienkin muutosten yhteydessä. Muutokset voidaan tiivistää seuraavasti</w:t>
            </w:r>
            <w:r>
              <w:rPr>
                <w:noProof/>
                <w:vertAlign w:val="superscript"/>
                <w:lang w:val="fi-FI" w:eastAsia="fi-FI" w:bidi="fi-FI"/>
              </w:rPr>
              <w:footnoteReference w:id="12"/>
            </w:r>
            <w:r>
              <w:rPr>
                <w:noProof/>
                <w:lang w:val="fi-FI" w:eastAsia="fi-FI" w:bidi="fi-FI"/>
              </w:rPr>
              <w:t>:</w:t>
            </w:r>
          </w:p>
          <w:p w:rsidR="00876CA6" w:rsidRDefault="0031278A">
            <w:pPr>
              <w:numPr>
                <w:ilvl w:val="0"/>
                <w:numId w:val="21"/>
              </w:numPr>
              <w:spacing w:before="120" w:after="60" w:line="240" w:lineRule="auto"/>
              <w:ind w:left="284" w:hanging="284"/>
              <w:jc w:val="both"/>
              <w:rPr>
                <w:rFonts w:ascii="Times New Roman" w:hAnsi="Times New Roman" w:cs="Times New Roman"/>
                <w:noProof/>
                <w:lang w:val="fi-FI" w:eastAsia="fi-FI" w:bidi="fi-FI"/>
              </w:rPr>
            </w:pPr>
            <w:r>
              <w:rPr>
                <w:rFonts w:ascii="Times New Roman" w:hAnsi="Times New Roman"/>
                <w:i/>
                <w:noProof/>
                <w:lang w:val="fi-FI" w:eastAsia="fi-FI" w:bidi="fi-FI"/>
              </w:rPr>
              <w:t>Ulkomainen nettovelka</w:t>
            </w:r>
            <w:r>
              <w:rPr>
                <w:noProof/>
                <w:lang w:val="fi-FI" w:eastAsia="fi-FI" w:bidi="fi-FI"/>
              </w:rPr>
              <w:t xml:space="preserve"> korvataan </w:t>
            </w:r>
            <w:r>
              <w:rPr>
                <w:rFonts w:ascii="Times New Roman" w:hAnsi="Times New Roman"/>
                <w:i/>
                <w:noProof/>
                <w:lang w:val="fi-FI" w:eastAsia="fi-FI" w:bidi="fi-FI"/>
              </w:rPr>
              <w:t>ulkomaisella nettovarallisuusasemalla ilman maksukyvyttömyysriskittömiä instrumentteja</w:t>
            </w:r>
            <w:r>
              <w:rPr>
                <w:noProof/>
                <w:lang w:val="fi-FI" w:eastAsia="fi-FI" w:bidi="fi-FI"/>
              </w:rPr>
              <w:t xml:space="preserve"> (NENDI), jotta saadaan parempi kuva ulkoisista varannoista (sekä varat että velat), joihin liittyy maksukyvyttömyysriskejä.</w:t>
            </w:r>
            <w:r>
              <w:rPr>
                <w:rFonts w:ascii="Times New Roman" w:hAnsi="Times New Roman"/>
                <w:noProof/>
                <w:lang w:val="fi-FI" w:eastAsia="fi-FI" w:bidi="fi-FI"/>
              </w:rPr>
              <w:t xml:space="preserve"> Uusi indik</w:t>
            </w:r>
            <w:r>
              <w:rPr>
                <w:rFonts w:ascii="Times New Roman" w:hAnsi="Times New Roman"/>
                <w:noProof/>
                <w:lang w:val="fi-FI" w:eastAsia="fi-FI" w:bidi="fi-FI"/>
              </w:rPr>
              <w:t xml:space="preserve">aattori hyötyy maksutasetilastoja koskevista tarkistetuista menetelmistä (maksutasekäsikirjan viidennestä painoksesta sen kuudenteen painokseen), joiden avulla voidaan eritellä ulkomaiset varat ja velat tarkemmin. </w:t>
            </w:r>
            <w:r>
              <w:rPr>
                <w:noProof/>
                <w:lang w:val="fi-FI" w:eastAsia="fi-FI" w:bidi="fi-FI"/>
              </w:rPr>
              <w:t xml:space="preserve">Ulkomaiseen nettovelkaan verrattuna NENDI </w:t>
            </w:r>
            <w:r>
              <w:rPr>
                <w:noProof/>
                <w:lang w:val="fi-FI" w:eastAsia="fi-FI" w:bidi="fi-FI"/>
              </w:rPr>
              <w:t xml:space="preserve">i) ei sisällä yrityksen sisäisiin suoriin ulkomaisiin sijoituksiin kuuluvia nettovelkoja, jotka joissakin tapauksissa muodostavat suuren osan valtioiden rajat ylittävistä veloista ilman, että niihin liittyy maksukykyongelmia; ii) sisältää rahasto-osuudet, </w:t>
            </w:r>
            <w:r>
              <w:rPr>
                <w:noProof/>
                <w:lang w:val="fi-FI" w:eastAsia="fi-FI" w:bidi="fi-FI"/>
              </w:rPr>
              <w:t>jotka ovat joskus erittäin suuri erä ja joiden vakuutena on enimmäkseen joukkovelkakirjoja; ja iii) sisältää myös nettojohdannaiset. Eri näkökulmasta katsottuna NENDI on ulkomaisen nettovarallisuusaseman osa, joka ei sisällä oman pääoman ehtoisia osia, toi</w:t>
            </w:r>
            <w:r>
              <w:rPr>
                <w:noProof/>
                <w:lang w:val="fi-FI" w:eastAsia="fi-FI" w:bidi="fi-FI"/>
              </w:rPr>
              <w:t xml:space="preserve">sin sanoen suorien ulkomaisten sijoitusten muodossa annettavaa omaa pääomaa ja kantaosakkeita ja suorina ulkomaisina sijoituksina annettavia yritysten sisäisiä valtioiden rajat ylittäviä velkoja. </w:t>
            </w:r>
          </w:p>
          <w:p w:rsidR="00876CA6" w:rsidRDefault="0031278A">
            <w:pPr>
              <w:numPr>
                <w:ilvl w:val="0"/>
                <w:numId w:val="21"/>
              </w:numPr>
              <w:spacing w:before="120" w:after="60" w:line="240" w:lineRule="auto"/>
              <w:ind w:left="284" w:hanging="284"/>
              <w:jc w:val="both"/>
              <w:rPr>
                <w:rFonts w:ascii="Times New Roman" w:hAnsi="Times New Roman" w:cs="Times New Roman"/>
                <w:noProof/>
                <w:lang w:val="fi-FI" w:eastAsia="fi-FI" w:bidi="fi-FI"/>
              </w:rPr>
            </w:pPr>
            <w:r>
              <w:rPr>
                <w:rFonts w:ascii="Times New Roman" w:hAnsi="Times New Roman"/>
                <w:i/>
                <w:noProof/>
                <w:lang w:val="fi-FI" w:eastAsia="fi-FI" w:bidi="fi-FI"/>
              </w:rPr>
              <w:t>Rahoitusalan konsolidoimatonta velkaantumisastetta</w:t>
            </w:r>
            <w:r>
              <w:rPr>
                <w:rFonts w:ascii="Times New Roman" w:hAnsi="Times New Roman"/>
                <w:noProof/>
                <w:lang w:val="fi-FI" w:eastAsia="fi-FI" w:bidi="fi-FI"/>
              </w:rPr>
              <w:t xml:space="preserve"> koskeva kansantalouden tilinpidosta saatava indikaattori korvataan indikaattorilla </w:t>
            </w:r>
            <w:r>
              <w:rPr>
                <w:rFonts w:ascii="Times New Roman" w:hAnsi="Times New Roman"/>
                <w:i/>
                <w:noProof/>
                <w:lang w:val="fi-FI" w:eastAsia="fi-FI" w:bidi="fi-FI"/>
              </w:rPr>
              <w:t>konsolidoitu pankkisektorin velkaantumisaste, koti- ja ulkomaiset yritykset</w:t>
            </w:r>
            <w:r>
              <w:rPr>
                <w:rFonts w:ascii="Times New Roman" w:hAnsi="Times New Roman"/>
                <w:noProof/>
                <w:lang w:val="fi-FI" w:eastAsia="fi-FI" w:bidi="fi-FI"/>
              </w:rPr>
              <w:t>. Se saadaan EKP:n konsolidoiduista pankkitiedoista. Uuden indikaattorin taloudellinen tulkinta o</w:t>
            </w:r>
            <w:r>
              <w:rPr>
                <w:rFonts w:ascii="Times New Roman" w:hAnsi="Times New Roman"/>
                <w:noProof/>
                <w:lang w:val="fi-FI" w:eastAsia="fi-FI" w:bidi="fi-FI"/>
              </w:rPr>
              <w:t xml:space="preserve">n selvempi, sitä voidaan vertailla eri maiden välillä, ja se perustuu johdonmukaisesti kirjanpitoarvoihin, vaikka se kattaakin vain pankkisektorin. </w:t>
            </w:r>
          </w:p>
          <w:p w:rsidR="00876CA6" w:rsidRDefault="0031278A">
            <w:pPr>
              <w:numPr>
                <w:ilvl w:val="0"/>
                <w:numId w:val="21"/>
              </w:numPr>
              <w:spacing w:before="120" w:after="60" w:line="240" w:lineRule="auto"/>
              <w:ind w:left="284" w:hanging="284"/>
              <w:jc w:val="both"/>
              <w:rPr>
                <w:rFonts w:ascii="Times New Roman" w:hAnsi="Times New Roman" w:cs="Times New Roman"/>
                <w:noProof/>
                <w:lang w:val="fi-FI" w:eastAsia="fi-FI" w:bidi="fi-FI"/>
              </w:rPr>
            </w:pPr>
            <w:r>
              <w:rPr>
                <w:rFonts w:ascii="Times New Roman" w:hAnsi="Times New Roman"/>
                <w:noProof/>
                <w:lang w:val="fi-FI" w:eastAsia="fi-FI" w:bidi="fi-FI"/>
              </w:rPr>
              <w:t>Tulostauluun lisätään kaksi indikaattoria, joita käytetään säännöllisesti makrotalouden epätasapainoa koske</w:t>
            </w:r>
            <w:r>
              <w:rPr>
                <w:rFonts w:ascii="Times New Roman" w:hAnsi="Times New Roman"/>
                <w:noProof/>
                <w:lang w:val="fi-FI" w:eastAsia="fi-FI" w:bidi="fi-FI"/>
              </w:rPr>
              <w:t xml:space="preserve">van menettelyyn sisältyvissä analyyseissa: </w:t>
            </w:r>
            <w:r>
              <w:rPr>
                <w:rFonts w:ascii="Times New Roman" w:hAnsi="Times New Roman"/>
                <w:i/>
                <w:noProof/>
                <w:lang w:val="fi-FI" w:eastAsia="fi-FI" w:bidi="fi-FI"/>
              </w:rPr>
              <w:t>kotitalouksien velka (konsolidoitu)</w:t>
            </w:r>
            <w:r>
              <w:rPr>
                <w:rFonts w:ascii="Times New Roman" w:hAnsi="Times New Roman"/>
                <w:noProof/>
                <w:lang w:val="fi-FI" w:eastAsia="fi-FI" w:bidi="fi-FI"/>
              </w:rPr>
              <w:t xml:space="preserve">, jolla täydennetään yksityisen sektorin velkaa koskevaa pääindikaattoria; ja </w:t>
            </w:r>
            <w:r>
              <w:rPr>
                <w:rFonts w:ascii="Times New Roman" w:hAnsi="Times New Roman"/>
                <w:i/>
                <w:noProof/>
                <w:lang w:val="fi-FI" w:eastAsia="fi-FI" w:bidi="fi-FI"/>
              </w:rPr>
              <w:t>järjestämättömien lainojen bruttomäärä</w:t>
            </w:r>
            <w:r>
              <w:rPr>
                <w:rFonts w:ascii="Times New Roman" w:hAnsi="Times New Roman"/>
                <w:noProof/>
                <w:lang w:val="fi-FI" w:eastAsia="fi-FI" w:bidi="fi-FI"/>
              </w:rPr>
              <w:t>, joka tarjoaa täydentävää tietoa yksityisen sektorin velan ar</w:t>
            </w:r>
            <w:r>
              <w:rPr>
                <w:rFonts w:ascii="Times New Roman" w:hAnsi="Times New Roman"/>
                <w:noProof/>
                <w:lang w:val="fi-FI" w:eastAsia="fi-FI" w:bidi="fi-FI"/>
              </w:rPr>
              <w:t xml:space="preserve">vioimiseksi. Viimeksi mainitun indikaattorin lisääminen on mahdollista, sillä EKP:n konsolidoiduissa pankkitilastoissa on saatavilla vertailukelpoisia maakohtaisia tietoja vuodesta 2015 alkaen. </w:t>
            </w:r>
          </w:p>
          <w:p w:rsidR="00876CA6" w:rsidRDefault="0031278A">
            <w:pPr>
              <w:numPr>
                <w:ilvl w:val="0"/>
                <w:numId w:val="21"/>
              </w:numPr>
              <w:spacing w:before="120" w:after="60" w:line="240" w:lineRule="auto"/>
              <w:ind w:left="284" w:hanging="284"/>
              <w:jc w:val="both"/>
              <w:rPr>
                <w:rFonts w:ascii="Times New Roman" w:hAnsi="Times New Roman" w:cs="Times New Roman"/>
                <w:b/>
                <w:noProof/>
                <w:lang w:val="fi-FI" w:eastAsia="fi-FI" w:bidi="fi-FI"/>
              </w:rPr>
            </w:pPr>
            <w:r>
              <w:rPr>
                <w:rFonts w:ascii="Times New Roman" w:hAnsi="Times New Roman"/>
                <w:noProof/>
                <w:lang w:val="fi-FI" w:eastAsia="fi-FI" w:bidi="fi-FI"/>
              </w:rPr>
              <w:t>Jotta tulostaulu säilyisi tarkoituksenmukaisena ja rajallisen</w:t>
            </w:r>
            <w:r>
              <w:rPr>
                <w:rFonts w:ascii="Times New Roman" w:hAnsi="Times New Roman"/>
                <w:noProof/>
                <w:lang w:val="fi-FI" w:eastAsia="fi-FI" w:bidi="fi-FI"/>
              </w:rPr>
              <w:t>a, indikaattoreiden kokonaismäärä on edelleen 28. Kaksi aiemmin mukana ollutta lisäindikaattoria on jätetty pois: i) nimellisten yksikkötyökustannusten kymmenen vuoden muutos (koska se on päällekkäinen tietojen kanssa, jotka koskevat pääindikaattoreihin ku</w:t>
            </w:r>
            <w:r>
              <w:rPr>
                <w:rFonts w:ascii="Times New Roman" w:hAnsi="Times New Roman"/>
                <w:noProof/>
                <w:lang w:val="fi-FI" w:eastAsia="fi-FI" w:bidi="fi-FI"/>
              </w:rPr>
              <w:t>uluvan yksikkötyökustannusten kolmen vuoden muutosta ja lisäindikaattoreihin kuuluvan yksikkötyökustannusten kymmenen vuoden muutosta suhteessa euroalueeseen); ii) konsolidoimaton yksityisen sektorin velka (joka on korvattu yksityisen sektorin konsolidoitu</w:t>
            </w:r>
            <w:r>
              <w:rPr>
                <w:rFonts w:ascii="Times New Roman" w:hAnsi="Times New Roman"/>
                <w:noProof/>
                <w:lang w:val="fi-FI" w:eastAsia="fi-FI" w:bidi="fi-FI"/>
              </w:rPr>
              <w:t>a velkaa koskevalla pääindikaattorilla).</w:t>
            </w:r>
          </w:p>
        </w:tc>
      </w:tr>
    </w:tbl>
    <w:p w:rsidR="00876CA6" w:rsidRDefault="00876CA6">
      <w:pPr>
        <w:rPr>
          <w:rFonts w:ascii="Times New Roman Bold" w:eastAsia="MS Gothic" w:hAnsi="Times New Roman Bold" w:cs="Times New Roman" w:hint="eastAsia"/>
          <w:b/>
          <w:bCs/>
          <w:smallCaps/>
          <w:noProof/>
          <w:lang w:val="fi-FI" w:eastAsia="fi-FI" w:bidi="fi-FI"/>
        </w:rPr>
      </w:pPr>
    </w:p>
    <w:p w:rsidR="00876CA6" w:rsidRDefault="0031278A">
      <w:pPr>
        <w:rPr>
          <w:rFonts w:ascii="Times New Roman Bold" w:eastAsia="MS Gothic" w:hAnsi="Times New Roman Bold" w:cs="Times New Roman" w:hint="eastAsia"/>
          <w:b/>
          <w:bCs/>
          <w:smallCaps/>
          <w:noProof/>
          <w:lang w:val="fi-FI" w:eastAsia="fi-FI" w:bidi="fi-FI"/>
        </w:rPr>
      </w:pPr>
      <w:r>
        <w:rPr>
          <w:rFonts w:ascii="Times New Roman Bold" w:hAnsi="Times New Roman Bold"/>
          <w:b/>
          <w:smallCaps/>
          <w:noProof/>
          <w:lang w:val="fi-FI" w:eastAsia="fi-FI" w:bidi="fi-FI"/>
        </w:rPr>
        <w:t>2.</w:t>
      </w:r>
      <w:r>
        <w:rPr>
          <w:noProof/>
          <w:lang w:val="fi-FI" w:eastAsia="fi-FI" w:bidi="fi-FI"/>
        </w:rPr>
        <w:tab/>
      </w:r>
      <w:r>
        <w:rPr>
          <w:rFonts w:ascii="Times New Roman Bold" w:hAnsi="Times New Roman Bold"/>
          <w:b/>
          <w:smallCaps/>
          <w:noProof/>
          <w:lang w:val="fi-FI" w:eastAsia="fi-FI" w:bidi="fi-FI"/>
        </w:rPr>
        <w:t>Epätasapainot, riskit ja sopeutus: kehityksen pääpiirteet eri maissa</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Varoitusmekanismia koskeva kertomus perustuu talouspoliittisiin päätelmiin, jotka on tehty makrotalouden epätasapainoa koskevan menettelyn </w:t>
      </w:r>
      <w:r>
        <w:rPr>
          <w:rFonts w:ascii="Times New Roman" w:hAnsi="Times New Roman"/>
          <w:b/>
          <w:noProof/>
          <w:lang w:val="fi-FI" w:eastAsia="fi-FI" w:bidi="fi-FI"/>
        </w:rPr>
        <w:t>tulostauluun sisältyvien indikaattorien pohjalta. Kyseisen tulostaulun avulla saadaan alustavaa näyttöä mahdollisista riskeistä ja haavoittuvuuksista.</w:t>
      </w:r>
      <w:r>
        <w:rPr>
          <w:rFonts w:ascii="Times New Roman" w:hAnsi="Times New Roman"/>
          <w:noProof/>
          <w:lang w:val="fi-FI" w:eastAsia="fi-FI" w:bidi="fi-FI"/>
        </w:rPr>
        <w:t xml:space="preserve"> Tulostauluun sisältyy 14 indikaattoria, joille on asetettu ohjeelliset kynnysarvot. Ne kuvaavat muun muas</w:t>
      </w:r>
      <w:r>
        <w:rPr>
          <w:rFonts w:ascii="Times New Roman" w:hAnsi="Times New Roman"/>
          <w:noProof/>
          <w:lang w:val="fi-FI" w:eastAsia="fi-FI" w:bidi="fi-FI"/>
        </w:rPr>
        <w:t>sa ulkoista rahoitusasemaa, kilpailukykyä, yksityisen sektorin velkaa, asuntomarkkinoita, pankkisektoria ja työllisyyttä. Tietojen vakauden ja maiden yhdenmukaisen kohtelun varmistamiseksi tulostaulu perustuu toteutunutta tilannetta kuvaaviin laadukkaisiin</w:t>
      </w:r>
      <w:r>
        <w:rPr>
          <w:rFonts w:ascii="Times New Roman" w:hAnsi="Times New Roman"/>
          <w:noProof/>
          <w:lang w:val="fi-FI" w:eastAsia="fi-FI" w:bidi="fi-FI"/>
        </w:rPr>
        <w:t xml:space="preserve"> tilastotietoihin. Näin ollen tässä kertomuksessa käytettävän tulostaulun tiedot ulottuvat vuoteen 2017 asti. Makrotalouden epätasapainoa koskevasta menettelystä annetun asetuksen (asetus (EU) N:o 1176/2011) mukaisesti tulostaulun arvoja ei lueta mekaanise</w:t>
      </w:r>
      <w:r>
        <w:rPr>
          <w:rFonts w:ascii="Times New Roman" w:hAnsi="Times New Roman"/>
          <w:noProof/>
          <w:lang w:val="fi-FI" w:eastAsia="fi-FI" w:bidi="fi-FI"/>
        </w:rPr>
        <w:t>sti varoitusmekanismia koskevaan kertomukseen sisältyvissä arvioinneissa, vaan niiden pohjalta tehdään talouspoliittisia päätelmiä, joiden avulla voidaan paremmin ymmärtää yleistä taloudellista tilannetta ja ottaa huomioon maakohtaiset näkökohdat.</w:t>
      </w:r>
      <w:r>
        <w:rPr>
          <w:rFonts w:ascii="Times New Roman" w:hAnsi="Times New Roman"/>
          <w:noProof/>
          <w:vertAlign w:val="superscript"/>
          <w:lang w:val="fi-FI" w:eastAsia="fi-FI" w:bidi="fi-FI"/>
        </w:rPr>
        <w:footnoteReference w:id="13"/>
      </w:r>
      <w:r>
        <w:rPr>
          <w:rFonts w:ascii="Times New Roman" w:hAnsi="Times New Roman"/>
          <w:noProof/>
          <w:lang w:val="fi-FI" w:eastAsia="fi-FI" w:bidi="fi-FI"/>
        </w:rPr>
        <w:t xml:space="preserve"> Tulosta</w:t>
      </w:r>
      <w:r>
        <w:rPr>
          <w:rFonts w:ascii="Times New Roman" w:hAnsi="Times New Roman"/>
          <w:noProof/>
          <w:lang w:val="fi-FI" w:eastAsia="fi-FI" w:bidi="fi-FI"/>
        </w:rPr>
        <w:t>ulun pohjalta tehtäviä päätelmiä täydennetään lisäindikaattoreilla. Varoitusmekanismia koskevassa kertomuksessa tehdyssä arvioinnissa otetaan huomioon myös tuoreemmat tiedot ja lisätiedot, arviointikehyksistä saadut tiedot sekä perusteellisissa tarkastelui</w:t>
      </w:r>
      <w:r>
        <w:rPr>
          <w:rFonts w:ascii="Times New Roman" w:hAnsi="Times New Roman"/>
          <w:noProof/>
          <w:lang w:val="fi-FI" w:eastAsia="fi-FI" w:bidi="fi-FI"/>
        </w:rPr>
        <w:t>ssa ja asiaankuuluvissa analyyseissa tehdyt havainnot ja komission yksiköiden syksyn 2018 talousennuste.</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Vuotta 2017 koskevat tulostaulun indikaattoreiden arvot viittaavat jatkuviin varantoepätasapainoihin, jotka ovat kuitenkin asteittain väistymässä. </w:t>
      </w:r>
      <w:r>
        <w:rPr>
          <w:rFonts w:ascii="Times New Roman" w:hAnsi="Times New Roman"/>
          <w:noProof/>
          <w:lang w:val="fi-FI" w:eastAsia="fi-FI" w:bidi="fi-FI"/>
        </w:rPr>
        <w:t>Tulo</w:t>
      </w:r>
      <w:r>
        <w:rPr>
          <w:rFonts w:ascii="Times New Roman" w:hAnsi="Times New Roman"/>
          <w:noProof/>
          <w:lang w:val="fi-FI" w:eastAsia="fi-FI" w:bidi="fi-FI"/>
        </w:rPr>
        <w:t>staulun kynnysarvot ylittyvät edelleen usein julkisen velan, ulkomaisen nettovarallisuusaseman ja yksityisen velan tapauksessa (kuvio 1).</w:t>
      </w:r>
      <w:r>
        <w:rPr>
          <w:rFonts w:ascii="Times New Roman" w:hAnsi="Times New Roman"/>
          <w:noProof/>
          <w:vertAlign w:val="superscript"/>
          <w:lang w:val="fi-FI" w:eastAsia="fi-FI" w:bidi="fi-FI"/>
        </w:rPr>
        <w:footnoteReference w:id="14"/>
      </w:r>
      <w:r>
        <w:rPr>
          <w:rFonts w:ascii="Times New Roman" w:hAnsi="Times New Roman"/>
          <w:noProof/>
          <w:lang w:val="fi-FI" w:eastAsia="fi-FI" w:bidi="fi-FI"/>
        </w:rPr>
        <w:t xml:space="preserve"> Niiden jäsenvaltioiden lukumäärä, joiden tulokset ylittävät näille kolmelle indikaattorille asetetut kynnysarvot, on </w:t>
      </w:r>
      <w:r>
        <w:rPr>
          <w:rFonts w:ascii="Times New Roman" w:hAnsi="Times New Roman"/>
          <w:noProof/>
          <w:lang w:val="fi-FI" w:eastAsia="fi-FI" w:bidi="fi-FI"/>
        </w:rPr>
        <w:t>vain hieman pienempi kuin aikaisemmissa tulostauluissa. Tämä vahvistaa sen, että nämä varantoepätasapainot ovat pitkäaikaisia ja että niitä sopeutetaan vain asteittain. Suurimmassa osassa tapauksista, joissa vaihtotase ylittää kynnysarvon, on kyse pitkäaik</w:t>
      </w:r>
      <w:r>
        <w:rPr>
          <w:rFonts w:ascii="Times New Roman" w:hAnsi="Times New Roman"/>
          <w:noProof/>
          <w:lang w:val="fi-FI" w:eastAsia="fi-FI" w:bidi="fi-FI"/>
        </w:rPr>
        <w:t>aisesta suuresta ylijäämästä; kynnysarvon ylittävien arvojen yleistyminen vuonna 2017 johtuu suurten alijäämien suuremmasta määrästä. Meneillään oleva työllisyyden elpyminen näkyy niiden jäsenvaltioiden määrän vähenemisenä, joiden tulokset ylittävät työttö</w:t>
      </w:r>
      <w:r>
        <w:rPr>
          <w:rFonts w:ascii="Times New Roman" w:hAnsi="Times New Roman"/>
          <w:noProof/>
          <w:lang w:val="fi-FI" w:eastAsia="fi-FI" w:bidi="fi-FI"/>
        </w:rPr>
        <w:t>myysasteelle asetetun kynnysarvon. Vähennykset ovat yleisempiä nuoriso- ja pitkäaikaistyöttömyyttä kuvaavien indikaattoreiden osalta, sillä ne ovat yleensä herkempiä työmarkkinatilanteelle. Huolimatta asuntojen hintojen laajasta ja voimakkaasta elpymisestä</w:t>
      </w:r>
      <w:r>
        <w:rPr>
          <w:rFonts w:ascii="Times New Roman" w:hAnsi="Times New Roman"/>
          <w:noProof/>
          <w:lang w:val="fi-FI" w:eastAsia="fi-FI" w:bidi="fi-FI"/>
        </w:rPr>
        <w:t xml:space="preserve"> kaikkialla Euroopassa, tulostaulun mukaan aiempaa harvemmat jäsenvaltiot ylittävät asuntojen hintojen nousulle asetetun kynnysarvon, sillä joissakin maissa hieman kynnysarvon yläpuolella olleet lukemat ovat sittemmin laskeneet sen alapuolelle. Niiden maid</w:t>
      </w:r>
      <w:r>
        <w:rPr>
          <w:rFonts w:ascii="Times New Roman" w:hAnsi="Times New Roman"/>
          <w:noProof/>
          <w:lang w:val="fi-FI" w:eastAsia="fi-FI" w:bidi="fi-FI"/>
        </w:rPr>
        <w:t>en määrä, joissa yksikkötyökustannusten kasvu ylittää kynnysarvon, on pysynyt yleisesti ottaen vakaana, kun taas aiempaa harvemmat maat ylittävät todellisen efektiivisen valuuttakurssin kynnysarvot, ja tällöin kyse on vain tapauksista, joissa reaalinen val</w:t>
      </w:r>
      <w:r>
        <w:rPr>
          <w:rFonts w:ascii="Times New Roman" w:hAnsi="Times New Roman"/>
          <w:noProof/>
          <w:lang w:val="fi-FI" w:eastAsia="fi-FI" w:bidi="fi-FI"/>
        </w:rPr>
        <w:t xml:space="preserve">uuttakurssi laskee alemman kynnysarvon alapuolelle. Niiden jäsenvaltioiden määrä, joissa vientimarkkinaosuuksien menetykset ylittävät kynnysarvon, on vähentynyt entisestään. </w:t>
      </w:r>
    </w:p>
    <w:p w:rsidR="00876CA6" w:rsidRDefault="0031278A">
      <w:pPr>
        <w:keepNext/>
        <w:spacing w:before="120" w:after="120" w:line="240" w:lineRule="auto"/>
        <w:jc w:val="center"/>
        <w:rPr>
          <w:rFonts w:ascii="Times New Roman" w:eastAsia="MS Mincho" w:hAnsi="Times New Roman" w:cs="Times New Roman"/>
          <w:b/>
          <w:bCs/>
          <w:noProof/>
          <w:sz w:val="24"/>
          <w:szCs w:val="20"/>
          <w:lang w:val="fi-FI" w:eastAsia="fi-FI" w:bidi="fi-FI"/>
        </w:rPr>
      </w:pPr>
      <w:r>
        <w:rPr>
          <w:rFonts w:ascii="Times New Roman" w:hAnsi="Times New Roman"/>
          <w:b/>
          <w:noProof/>
          <w:sz w:val="24"/>
          <w:lang w:val="fi-FI" w:eastAsia="fi-FI" w:bidi="fi-FI"/>
        </w:rPr>
        <w:t xml:space="preserve">Kuvio </w:t>
      </w:r>
      <w:r>
        <w:rPr>
          <w:rFonts w:ascii="Times New Roman" w:eastAsia="MS Mincho" w:hAnsi="Times New Roman" w:cs="Times New Roman"/>
          <w:b/>
          <w:bCs/>
          <w:noProof/>
          <w:sz w:val="24"/>
          <w:szCs w:val="20"/>
          <w:lang w:val="fi-FI" w:eastAsia="fi-FI" w:bidi="fi-FI"/>
        </w:rPr>
        <w:fldChar w:fldCharType="begin" w:fldLock="1"/>
      </w:r>
      <w:r>
        <w:rPr>
          <w:rFonts w:ascii="Times New Roman" w:eastAsia="MS Mincho" w:hAnsi="Times New Roman" w:cs="Times New Roman"/>
          <w:b/>
          <w:bCs/>
          <w:noProof/>
          <w:sz w:val="24"/>
          <w:szCs w:val="20"/>
          <w:lang w:val="fi-FI" w:eastAsia="fi-FI" w:bidi="fi-FI"/>
        </w:rPr>
        <w:instrText xml:space="preserve"> SEQ Graph \* ARABIC </w:instrText>
      </w:r>
      <w:r>
        <w:rPr>
          <w:rFonts w:ascii="Times New Roman" w:eastAsia="MS Mincho" w:hAnsi="Times New Roman" w:cs="Times New Roman"/>
          <w:b/>
          <w:bCs/>
          <w:noProof/>
          <w:sz w:val="24"/>
          <w:szCs w:val="20"/>
          <w:lang w:val="fi-FI" w:eastAsia="fi-FI" w:bidi="fi-FI"/>
        </w:rPr>
        <w:fldChar w:fldCharType="separate"/>
      </w:r>
      <w:r>
        <w:rPr>
          <w:rFonts w:ascii="Times New Roman" w:eastAsia="MS Mincho" w:hAnsi="Times New Roman" w:cs="Times New Roman"/>
          <w:b/>
          <w:bCs/>
          <w:noProof/>
          <w:sz w:val="24"/>
          <w:szCs w:val="20"/>
          <w:lang w:val="fi-FI" w:eastAsia="fi-FI" w:bidi="fi-FI"/>
        </w:rPr>
        <w:t>1</w:t>
      </w:r>
      <w:r>
        <w:rPr>
          <w:rFonts w:ascii="Times New Roman" w:eastAsia="MS Mincho" w:hAnsi="Times New Roman" w:cs="Times New Roman"/>
          <w:b/>
          <w:bCs/>
          <w:noProof/>
          <w:sz w:val="24"/>
          <w:szCs w:val="20"/>
          <w:lang w:val="fi-FI" w:eastAsia="fi-FI" w:bidi="fi-FI"/>
        </w:rPr>
        <w:fldChar w:fldCharType="end"/>
      </w:r>
      <w:r>
        <w:rPr>
          <w:rFonts w:ascii="Times New Roman" w:hAnsi="Times New Roman"/>
          <w:b/>
          <w:noProof/>
          <w:sz w:val="24"/>
          <w:lang w:val="fi-FI" w:eastAsia="fi-FI" w:bidi="fi-FI"/>
        </w:rPr>
        <w:t xml:space="preserve">: Niiden maiden määrä, joilla tulostaulun </w:t>
      </w:r>
      <w:r>
        <w:rPr>
          <w:rFonts w:ascii="Times New Roman" w:hAnsi="Times New Roman"/>
          <w:b/>
          <w:noProof/>
          <w:sz w:val="24"/>
          <w:lang w:val="fi-FI" w:eastAsia="fi-FI" w:bidi="fi-FI"/>
        </w:rPr>
        <w:t>indikaattorin arvo ylittää kynnysarvon</w:t>
      </w:r>
    </w:p>
    <w:p w:rsidR="00876CA6" w:rsidRDefault="0031278A">
      <w:pPr>
        <w:keepNext/>
        <w:spacing w:before="120" w:after="120" w:line="240" w:lineRule="auto"/>
        <w:jc w:val="center"/>
        <w:rPr>
          <w:rFonts w:ascii="Times New Roman" w:eastAsia="MS Mincho" w:hAnsi="Times New Roman" w:cs="Times New Roman"/>
          <w:b/>
          <w:bCs/>
          <w:noProof/>
          <w:sz w:val="24"/>
          <w:szCs w:val="20"/>
          <w:lang w:val="fi-FI" w:eastAsia="fi-FI" w:bidi="fi-FI"/>
        </w:rPr>
      </w:pPr>
      <w:r>
        <w:rPr>
          <w:noProof/>
          <w:lang w:eastAsia="en-GB"/>
        </w:rPr>
        <w:drawing>
          <wp:inline distT="0" distB="0" distL="0" distR="0">
            <wp:extent cx="5760720" cy="27444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44494"/>
                    </a:xfrm>
                    <a:prstGeom prst="rect">
                      <a:avLst/>
                    </a:prstGeom>
                    <a:noFill/>
                    <a:ln>
                      <a:noFill/>
                    </a:ln>
                  </pic:spPr>
                </pic:pic>
              </a:graphicData>
            </a:graphic>
          </wp:inline>
        </w:drawing>
      </w:r>
    </w:p>
    <w:p w:rsidR="00876CA6" w:rsidRDefault="0031278A">
      <w:pPr>
        <w:spacing w:before="120" w:after="0" w:line="240" w:lineRule="auto"/>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w:t>
      </w:r>
    </w:p>
    <w:p w:rsidR="00876CA6" w:rsidRDefault="0031278A">
      <w:pPr>
        <w:spacing w:after="0" w:line="240" w:lineRule="auto"/>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 xml:space="preserve">Huom. </w:t>
      </w:r>
      <w:r>
        <w:rPr>
          <w:rFonts w:ascii="Times New Roman" w:hAnsi="Times New Roman"/>
          <w:noProof/>
          <w:sz w:val="20"/>
          <w:lang w:val="fi-FI" w:eastAsia="fi-FI" w:bidi="fi-FI"/>
        </w:rPr>
        <w:t>Niiden maiden määrä, joilla tulostaulun indikaattorin arvo ylittää kynnysarvon, perustuu tulostauluun sellaisena kuin se julkaistiin yhdessä vastaavan vuotuisen varoitusmekanismia koskevan ker</w:t>
      </w:r>
      <w:r>
        <w:rPr>
          <w:rFonts w:ascii="Times New Roman" w:hAnsi="Times New Roman"/>
          <w:noProof/>
          <w:sz w:val="20"/>
          <w:lang w:val="fi-FI" w:eastAsia="fi-FI" w:bidi="fi-FI"/>
        </w:rPr>
        <w:t>tomuksen kanssa. Tietoihin tämän jälkeen tehdyt mahdolliset tarkistukset voivat aiheuttaa sen, että tulostaulun indikaattorien uusimpien arvojen perusteella laskettu kynnysarvon ylittävien arvojen määrä poikkeaa yllä olevassa kuviossa ilmoitetusta määrästä</w:t>
      </w:r>
      <w:r>
        <w:rPr>
          <w:rFonts w:ascii="Times New Roman" w:hAnsi="Times New Roman"/>
          <w:noProof/>
          <w:sz w:val="20"/>
          <w:lang w:val="fi-FI" w:eastAsia="fi-FI" w:bidi="fi-FI"/>
        </w:rPr>
        <w:t>.</w:t>
      </w:r>
    </w:p>
    <w:p w:rsidR="00876CA6" w:rsidRDefault="00876CA6">
      <w:pPr>
        <w:spacing w:after="0" w:line="240" w:lineRule="auto"/>
        <w:jc w:val="both"/>
        <w:rPr>
          <w:rFonts w:ascii="Times New Roman" w:eastAsia="Times New Roman" w:hAnsi="Times New Roman" w:cs="Times New Roman"/>
          <w:noProof/>
          <w:szCs w:val="24"/>
          <w:lang w:val="fi-FI" w:eastAsia="fi-FI" w:bidi="fi-FI"/>
        </w:rPr>
      </w:pPr>
    </w:p>
    <w:p w:rsidR="00876CA6" w:rsidRDefault="00876CA6">
      <w:pPr>
        <w:spacing w:after="0" w:line="240" w:lineRule="auto"/>
        <w:jc w:val="both"/>
        <w:rPr>
          <w:rFonts w:ascii="Times New Roman" w:eastAsia="Times New Roman" w:hAnsi="Times New Roman" w:cs="Times New Roman"/>
          <w:noProof/>
          <w:szCs w:val="24"/>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Useimmissa EU:n jäsenvaltioissa vaihtotaseet ovat edelleen tasapainossa tai ylijäämäisiä, ja joissakin maissa on edelleen suuria vaihtotaseen ylijäämiä, jotka supistuvat parhaimmillaankin vain hyvin vähän.</w:t>
      </w:r>
      <w:r>
        <w:rPr>
          <w:rFonts w:ascii="Times New Roman" w:hAnsi="Times New Roman"/>
          <w:noProof/>
          <w:lang w:val="fi-FI" w:eastAsia="fi-FI" w:bidi="fi-FI"/>
        </w:rPr>
        <w:t xml:space="preserve"> Kaiken kaikkiaan viimeaikaiset muutokset vaihtotaseissa ovat olleet suhteellisen pieniä (</w:t>
      </w:r>
      <w:r>
        <w:rPr>
          <w:rFonts w:ascii="Times New Roman" w:eastAsia="Times New Roman" w:hAnsi="Times New Roman" w:cs="Times New Roman"/>
          <w:noProof/>
          <w:lang w:val="fi-FI" w:eastAsia="fi-FI" w:bidi="fi-FI"/>
        </w:rPr>
        <w:fldChar w:fldCharType="begin" w:fldLock="1"/>
      </w:r>
      <w:r>
        <w:rPr>
          <w:rFonts w:ascii="Times New Roman" w:eastAsia="Times New Roman" w:hAnsi="Times New Roman" w:cs="Times New Roman"/>
          <w:noProof/>
          <w:lang w:val="fi-FI" w:eastAsia="fi-FI" w:bidi="fi-FI"/>
        </w:rPr>
        <w:instrText xml:space="preserve"> REF _Ref525667599 \h  \* MERGEFORMAT </w:instrText>
      </w:r>
      <w:r>
        <w:rPr>
          <w:rFonts w:ascii="Times New Roman" w:eastAsia="Times New Roman" w:hAnsi="Times New Roman" w:cs="Times New Roman"/>
          <w:noProof/>
          <w:lang w:val="fi-FI" w:eastAsia="fi-FI" w:bidi="fi-FI"/>
        </w:rPr>
      </w:r>
      <w:r>
        <w:rPr>
          <w:rFonts w:ascii="Times New Roman" w:eastAsia="Times New Roman" w:hAnsi="Times New Roman" w:cs="Times New Roman"/>
          <w:noProof/>
          <w:lang w:val="fi-FI" w:eastAsia="fi-FI" w:bidi="fi-FI"/>
        </w:rPr>
        <w:fldChar w:fldCharType="separate"/>
      </w:r>
      <w:r>
        <w:rPr>
          <w:rFonts w:ascii="Times New Roman" w:eastAsia="Times New Roman" w:hAnsi="Times New Roman" w:cs="Times New Roman"/>
          <w:noProof/>
          <w:lang w:val="fi-FI" w:eastAsia="fi-FI" w:bidi="fi-FI"/>
        </w:rPr>
        <w:t>Kuvio 3</w:t>
      </w:r>
      <w:r>
        <w:rPr>
          <w:rFonts w:ascii="Times New Roman" w:eastAsia="Times New Roman" w:hAnsi="Times New Roman" w:cs="Times New Roman"/>
          <w:noProof/>
          <w:lang w:val="fi-FI" w:eastAsia="fi-FI" w:bidi="fi-FI"/>
        </w:rPr>
        <w:fldChar w:fldCharType="end"/>
      </w:r>
      <w:r>
        <w:rPr>
          <w:rFonts w:ascii="Times New Roman" w:hAnsi="Times New Roman"/>
          <w:noProof/>
          <w:lang w:val="fi-FI" w:eastAsia="fi-FI" w:bidi="fi-FI"/>
        </w:rPr>
        <w:t>). Suurin osa merkittävistä ja kestämättömistä vaihtot</w:t>
      </w:r>
      <w:r>
        <w:rPr>
          <w:rFonts w:ascii="Times New Roman" w:hAnsi="Times New Roman"/>
          <w:noProof/>
          <w:lang w:val="fi-FI" w:eastAsia="fi-FI" w:bidi="fi-FI"/>
        </w:rPr>
        <w:t>aseen alijäämistä oli korjattu jo vuosikymmenen alkuvuosiin mennessä, ja vaihtotaseet olivat muuttuneet ylijäämäisiksi tai tasapainoisiksi. Vaihtotaseet ovat säilyneet tällä tasolla ja usein kasvaneet marginaalisesti viime vuosien aikana. Nettovelkojamaide</w:t>
      </w:r>
      <w:r>
        <w:rPr>
          <w:rFonts w:ascii="Times New Roman" w:hAnsi="Times New Roman"/>
          <w:noProof/>
          <w:lang w:val="fi-FI" w:eastAsia="fi-FI" w:bidi="fi-FI"/>
        </w:rPr>
        <w:t>n suuret ylijäämät ovat kokonaisuudessaan muuttuneet vähän tai jopa kasvaneet. Suhdannetekijät vaikuttavat vaihtotaseeseen vain rajoitetusti: toteutuneiden ja suhdannekorjattujen vaihtotaseiden ero on yleensä vähäinen, ja se pienenee tuotantokuilujen kaven</w:t>
      </w:r>
      <w:r>
        <w:rPr>
          <w:rFonts w:ascii="Times New Roman" w:hAnsi="Times New Roman"/>
          <w:noProof/>
          <w:lang w:val="fi-FI" w:eastAsia="fi-FI" w:bidi="fi-FI"/>
        </w:rPr>
        <w:t>tuessa (kuvio 2)</w:t>
      </w:r>
      <w:r>
        <w:rPr>
          <w:noProof/>
          <w:vertAlign w:val="superscript"/>
          <w:lang w:val="fi-FI" w:eastAsia="fi-FI" w:bidi="fi-FI"/>
        </w:rPr>
        <w:footnoteReference w:id="15"/>
      </w:r>
      <w:r>
        <w:rPr>
          <w:rFonts w:ascii="Times New Roman" w:hAnsi="Times New Roman"/>
          <w:noProof/>
          <w:lang w:val="fi-FI" w:eastAsia="fi-FI" w:bidi="fi-FI"/>
        </w:rPr>
        <w:t>.</w:t>
      </w:r>
      <w:r>
        <w:rPr>
          <w:noProof/>
          <w:lang w:val="fi-FI" w:eastAsia="fi-FI" w:bidi="fi-FI"/>
        </w:rPr>
        <w:t xml:space="preserve"> </w:t>
      </w:r>
      <w:r>
        <w:rPr>
          <w:rFonts w:ascii="Times New Roman" w:hAnsi="Times New Roman"/>
          <w:noProof/>
          <w:lang w:val="fi-FI" w:eastAsia="fi-FI" w:bidi="fi-FI"/>
        </w:rPr>
        <w:t>Useimpien EU-maiden viimeaikaiset vaihtotasetulokset ovat parempia kuin mitä perustekijöiden (esimerkiksi väestön ikääntyminen ja tulotaso asukasta kohden) perusteella voitaisiin odottaa.</w:t>
      </w:r>
      <w:r>
        <w:rPr>
          <w:rFonts w:ascii="Times New Roman" w:hAnsi="Times New Roman"/>
          <w:noProof/>
          <w:vertAlign w:val="superscript"/>
          <w:lang w:val="fi-FI" w:eastAsia="fi-FI" w:bidi="fi-FI"/>
        </w:rPr>
        <w:footnoteReference w:id="16"/>
      </w:r>
      <w:r>
        <w:rPr>
          <w:rFonts w:ascii="Times New Roman" w:hAnsi="Times New Roman"/>
          <w:noProof/>
          <w:lang w:val="fi-FI" w:eastAsia="fi-FI" w:bidi="fi-FI"/>
        </w:rPr>
        <w:t xml:space="preserve"> Viimeaikaiset toteutuneet vaihtotaseet saattavat</w:t>
      </w:r>
      <w:r>
        <w:rPr>
          <w:rFonts w:ascii="Times New Roman" w:hAnsi="Times New Roman"/>
          <w:noProof/>
          <w:lang w:val="fi-FI" w:eastAsia="fi-FI" w:bidi="fi-FI"/>
        </w:rPr>
        <w:t xml:space="preserve"> joissakin tapauksissa kuitenkin olla vielä riittämättömiä ulkomaisen nettovelan supistamiseksi riittävän nopeasti. Pitkälti tasapainossa olevat vaihtotaseet vuonna 2017 olivat aiempaa vähemmän seurausta suhdannetilanteesta, sillä jäsenvaltioiden negatiivi</w:t>
      </w:r>
      <w:r>
        <w:rPr>
          <w:rFonts w:ascii="Times New Roman" w:hAnsi="Times New Roman"/>
          <w:noProof/>
          <w:lang w:val="fi-FI" w:eastAsia="fi-FI" w:bidi="fi-FI"/>
        </w:rPr>
        <w:t>set tuotantokuilut ovat kaventumassa tai kääntymässä positiivisiksi. Öljyn hinnan nousun vuoksi energiataseessa tapahtunut kehitys on heikentänyt yleistä tasetta lähes kaikkialla, mutta usein vain hieman (ks. energiatasetta koskevat tiedot liitteessä oleva</w:t>
      </w:r>
      <w:r>
        <w:rPr>
          <w:rFonts w:ascii="Times New Roman" w:hAnsi="Times New Roman"/>
          <w:noProof/>
          <w:lang w:val="fi-FI" w:eastAsia="fi-FI" w:bidi="fi-FI"/>
        </w:rPr>
        <w:t>ssa taulukossa 2.1).</w:t>
      </w:r>
    </w:p>
    <w:p w:rsidR="00876CA6" w:rsidRDefault="0031278A">
      <w:pPr>
        <w:numPr>
          <w:ilvl w:val="0"/>
          <w:numId w:val="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Jäsenvaltioista Kyproksella on suurin vaihtotaseen alijäämä, joka ylittää makrotalouden epätasapainoa koskevan menettelyn kynnysarvon</w:t>
      </w:r>
      <w:r>
        <w:rPr>
          <w:noProof/>
          <w:lang w:val="fi-FI" w:eastAsia="fi-FI" w:bidi="fi-FI"/>
        </w:rPr>
        <w:t xml:space="preserve"> </w:t>
      </w:r>
      <w:r>
        <w:rPr>
          <w:rFonts w:ascii="Times New Roman" w:hAnsi="Times New Roman"/>
          <w:noProof/>
          <w:lang w:val="fi-FI" w:eastAsia="fi-FI" w:bidi="fi-FI"/>
        </w:rPr>
        <w:t xml:space="preserve">(vuotta 2017 edeltäneiden kolmen vuoden keskiarvon perusteella). Vuotuiset tiedot ovat viime vuosina </w:t>
      </w:r>
      <w:r>
        <w:rPr>
          <w:rFonts w:ascii="Times New Roman" w:hAnsi="Times New Roman"/>
          <w:noProof/>
          <w:lang w:val="fi-FI" w:eastAsia="fi-FI" w:bidi="fi-FI"/>
        </w:rPr>
        <w:t xml:space="preserve">heikentyneet vain Kyproksen osalta. Kyproksen tulokset ovat </w:t>
      </w:r>
      <w:r>
        <w:rPr>
          <w:rFonts w:ascii="Times New Roman" w:hAnsi="Times New Roman"/>
          <w:b/>
          <w:noProof/>
          <w:lang w:val="fi-FI" w:eastAsia="fi-FI" w:bidi="fi-FI"/>
        </w:rPr>
        <w:t>alle sen, mitä voitaisiin odottaa perustekijöiden perusteella ja mikä on tarpeen ulkomaisen nettovarallisuusaseman parantamiseksi asianmukaisella vauhdilla</w:t>
      </w:r>
      <w:r>
        <w:rPr>
          <w:rFonts w:ascii="Times New Roman" w:hAnsi="Times New Roman"/>
          <w:noProof/>
          <w:lang w:val="fi-FI" w:eastAsia="fi-FI" w:bidi="fi-FI"/>
        </w:rPr>
        <w:t xml:space="preserve">. Vaihtotaseen heikkenemistä vuonna 2017 </w:t>
      </w:r>
      <w:r>
        <w:rPr>
          <w:rFonts w:ascii="Times New Roman" w:hAnsi="Times New Roman"/>
          <w:noProof/>
          <w:lang w:val="fi-FI" w:eastAsia="fi-FI" w:bidi="fi-FI"/>
        </w:rPr>
        <w:t>ei voida selittää suhdanteiden vaikutuksella. Euroalueen ulkopuolella Yhdistyneen kuningaskunnan vaihtotase on myös alle tulostaulun kynnysarvon.</w:t>
      </w:r>
    </w:p>
    <w:p w:rsidR="00876CA6" w:rsidRDefault="0031278A">
      <w:pPr>
        <w:numPr>
          <w:ilvl w:val="0"/>
          <w:numId w:val="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Vuonna 2017 vain </w:t>
      </w:r>
      <w:r>
        <w:rPr>
          <w:rFonts w:ascii="Times New Roman" w:hAnsi="Times New Roman"/>
          <w:b/>
          <w:noProof/>
          <w:lang w:val="fi-FI" w:eastAsia="fi-FI" w:bidi="fi-FI"/>
        </w:rPr>
        <w:t>viidessä muussa jäsenvaltiossa vaihtotase oli alijäämäinen</w:t>
      </w:r>
      <w:r>
        <w:rPr>
          <w:rFonts w:ascii="Times New Roman" w:hAnsi="Times New Roman"/>
          <w:noProof/>
          <w:lang w:val="fi-FI" w:eastAsia="fi-FI" w:bidi="fi-FI"/>
        </w:rPr>
        <w:t>, nimittäin Kreikassa, Ranskassa, R</w:t>
      </w:r>
      <w:r>
        <w:rPr>
          <w:rFonts w:ascii="Times New Roman" w:hAnsi="Times New Roman"/>
          <w:noProof/>
          <w:lang w:val="fi-FI" w:eastAsia="fi-FI" w:bidi="fi-FI"/>
        </w:rPr>
        <w:t xml:space="preserve">omaniassa, Slovakiassa ja Suomessa. Näistä vain Romaniassa ja Slovakiassa arvot olivat yli 1 prosenttia suhteessa BKT:hen. </w:t>
      </w:r>
      <w:r>
        <w:rPr>
          <w:rFonts w:ascii="Times New Roman" w:hAnsi="Times New Roman"/>
          <w:b/>
          <w:noProof/>
          <w:lang w:val="fi-FI" w:eastAsia="fi-FI" w:bidi="fi-FI"/>
        </w:rPr>
        <w:t>Romanian vaihtotaseen alijäämä on heikentynyt</w:t>
      </w:r>
      <w:r>
        <w:rPr>
          <w:rFonts w:ascii="Times New Roman" w:hAnsi="Times New Roman"/>
          <w:noProof/>
          <w:lang w:val="fi-FI" w:eastAsia="fi-FI" w:bidi="fi-FI"/>
        </w:rPr>
        <w:t>, ja vaihtotase näyttää jäävän vuonna 2017 sen alapuolelle, mitä perustekijöiden peruste</w:t>
      </w:r>
      <w:r>
        <w:rPr>
          <w:rFonts w:ascii="Times New Roman" w:hAnsi="Times New Roman"/>
          <w:noProof/>
          <w:lang w:val="fi-FI" w:eastAsia="fi-FI" w:bidi="fi-FI"/>
        </w:rPr>
        <w:t xml:space="preserve">ella voitaisiin odottaa. </w:t>
      </w:r>
      <w:r>
        <w:rPr>
          <w:rFonts w:ascii="Times New Roman" w:hAnsi="Times New Roman"/>
          <w:b/>
          <w:noProof/>
          <w:lang w:val="fi-FI" w:eastAsia="fi-FI" w:bidi="fi-FI"/>
        </w:rPr>
        <w:t>Negatiivisen tuotantokuilun vaikutus</w:t>
      </w:r>
      <w:r>
        <w:rPr>
          <w:rFonts w:ascii="Times New Roman" w:hAnsi="Times New Roman"/>
          <w:noProof/>
          <w:lang w:val="fi-FI" w:eastAsia="fi-FI" w:bidi="fi-FI"/>
        </w:rPr>
        <w:t xml:space="preserve"> suhdannekorjaamattoman vaihtotaseen suureen alijäämään </w:t>
      </w:r>
      <w:r>
        <w:rPr>
          <w:rFonts w:ascii="Times New Roman" w:hAnsi="Times New Roman"/>
          <w:b/>
          <w:noProof/>
          <w:lang w:val="fi-FI" w:eastAsia="fi-FI" w:bidi="fi-FI"/>
        </w:rPr>
        <w:t>on merkittävä etenkin Kreikassa</w:t>
      </w:r>
      <w:r>
        <w:rPr>
          <w:rFonts w:ascii="Times New Roman" w:hAnsi="Times New Roman"/>
          <w:noProof/>
          <w:lang w:val="fi-FI" w:eastAsia="fi-FI" w:bidi="fi-FI"/>
        </w:rPr>
        <w:t>; suhdanne huomioon ottaen vaihtotase näyttää olevan alle sen tason, joka tarvitaan ulkomaisen nettovarallis</w:t>
      </w:r>
      <w:r>
        <w:rPr>
          <w:rFonts w:ascii="Times New Roman" w:hAnsi="Times New Roman"/>
          <w:noProof/>
          <w:lang w:val="fi-FI" w:eastAsia="fi-FI" w:bidi="fi-FI"/>
        </w:rPr>
        <w:t xml:space="preserve">uusaseman pienentämiseksi nopeasti, ja alle norminmukaisen vaihtotaseen. </w:t>
      </w:r>
    </w:p>
    <w:p w:rsidR="00876CA6" w:rsidRDefault="0031278A">
      <w:pPr>
        <w:numPr>
          <w:ilvl w:val="0"/>
          <w:numId w:val="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Maissa, joiden ulkomaiset nettovarallisuusasemat ovat pääosin negatiivisia</w:t>
      </w:r>
      <w:r>
        <w:rPr>
          <w:noProof/>
          <w:lang w:val="fi-FI" w:eastAsia="fi-FI" w:bidi="fi-FI"/>
        </w:rPr>
        <w:t>, kuten Portugalissa ja Espanjassa, toteutuneet vaihtotaseet ylittivät sen, mikä olisi odotettavissa peruste</w:t>
      </w:r>
      <w:r>
        <w:rPr>
          <w:noProof/>
          <w:lang w:val="fi-FI" w:eastAsia="fi-FI" w:bidi="fi-FI"/>
        </w:rPr>
        <w:t>kijöiden perusteella, mutta tulos ei Portugalin tapauksessa riitä varmistamaan ulkomaisen nettovarallisuusaseman parantumista riittävän nopeasti.</w:t>
      </w:r>
      <w:r>
        <w:rPr>
          <w:rFonts w:ascii="Times New Roman" w:hAnsi="Times New Roman"/>
          <w:noProof/>
          <w:lang w:val="fi-FI" w:eastAsia="fi-FI" w:bidi="fi-FI"/>
        </w:rPr>
        <w:t xml:space="preserve"> Kroatiassa vaihtotase oli ylijäämäinen, minkä ansiosta ulkomainen nettovarallisuusasema pienenee tyydyttävään </w:t>
      </w:r>
      <w:r>
        <w:rPr>
          <w:rFonts w:ascii="Times New Roman" w:hAnsi="Times New Roman"/>
          <w:noProof/>
          <w:lang w:val="fi-FI" w:eastAsia="fi-FI" w:bidi="fi-FI"/>
        </w:rPr>
        <w:t>tahtiin. Irlannin vaihtotase oli alijäämäinen vuonna 2016. Se muuttui selvästi ylijäämäiseksi vuonna 2017 viimeaikaisten merkittävien alaspäin tehtyjen takautuvien tarkistusten jälkeen. Irlannin tapauksessa monikansallisten yhtiöiden toimintaan liittyvät r</w:t>
      </w:r>
      <w:r>
        <w:rPr>
          <w:rFonts w:ascii="Times New Roman" w:hAnsi="Times New Roman"/>
          <w:noProof/>
          <w:lang w:val="fi-FI" w:eastAsia="fi-FI" w:bidi="fi-FI"/>
        </w:rPr>
        <w:t>ajat ylittävät liiketoimet vaikuttavat merkittävästi vaihtotaselukuihin.</w:t>
      </w:r>
    </w:p>
    <w:p w:rsidR="00876CA6" w:rsidRDefault="0031278A">
      <w:pPr>
        <w:numPr>
          <w:ilvl w:val="0"/>
          <w:numId w:val="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Neljä EU-maata ylittää tällä hetkellä makrotalouden epätasapainoa koskevan menettelyn tulostaulun kynnysarvon ylijäämien vuoksi.</w:t>
      </w:r>
      <w:r>
        <w:rPr>
          <w:rFonts w:ascii="Times New Roman" w:hAnsi="Times New Roman"/>
          <w:noProof/>
          <w:lang w:val="fi-FI" w:eastAsia="fi-FI" w:bidi="fi-FI"/>
        </w:rPr>
        <w:t xml:space="preserve"> Kynnysarvon ylittäviä arvoja on havaittu Alankomaissa,</w:t>
      </w:r>
      <w:r>
        <w:rPr>
          <w:rFonts w:ascii="Times New Roman" w:hAnsi="Times New Roman"/>
          <w:noProof/>
          <w:lang w:val="fi-FI" w:eastAsia="fi-FI" w:bidi="fi-FI"/>
        </w:rPr>
        <w:t xml:space="preserve"> Saksassa ja Tanskassa useiden vuosien ajan ja Maltassa hiljattain. Saksan ylijäämä supistui 0,5 prosenttia suhteessa BKT:hen vuonna 2017, kun taas Alankomaiden ylijäämä kasvoi 2,5 prosenttia suhteessa BKT:hen. Kaikissa näissä neljässä tapauksessa toteutun</w:t>
      </w:r>
      <w:r>
        <w:rPr>
          <w:rFonts w:ascii="Times New Roman" w:hAnsi="Times New Roman"/>
          <w:noProof/>
          <w:lang w:val="fi-FI" w:eastAsia="fi-FI" w:bidi="fi-FI"/>
        </w:rPr>
        <w:t>eet ylijäämät ovat merkittävästi</w:t>
      </w:r>
      <w:r>
        <w:rPr>
          <w:rFonts w:ascii="Times New Roman" w:hAnsi="Times New Roman"/>
          <w:b/>
          <w:noProof/>
          <w:lang w:val="fi-FI" w:eastAsia="fi-FI" w:bidi="fi-FI"/>
        </w:rPr>
        <w:t xml:space="preserve"> suurempia kuin mitä voidaan selittää perustekijöillä</w:t>
      </w:r>
      <w:r>
        <w:rPr>
          <w:rFonts w:ascii="Times New Roman" w:hAnsi="Times New Roman"/>
          <w:noProof/>
          <w:lang w:val="fi-FI" w:eastAsia="fi-FI" w:bidi="fi-FI"/>
        </w:rPr>
        <w:t>, aina vähintään 5 prosenttiyksikköä suurempia suhteessa BKT:hen. Alankomaiden ja Maltan ylijäämäkehitykseen vaikuttivat merkittävästi monikansallisten yhtiöiden ja kansai</w:t>
      </w:r>
      <w:r>
        <w:rPr>
          <w:rFonts w:ascii="Times New Roman" w:hAnsi="Times New Roman"/>
          <w:noProof/>
          <w:lang w:val="fi-FI" w:eastAsia="fi-FI" w:bidi="fi-FI"/>
        </w:rPr>
        <w:t>nvälisesti suuntautuneiden palvelusektorien toimintaan liittyvät valtioiden rajat ylittävät liiketoimet, jotka vaikuttavat sekä kauppa- että tulotaseisiin. Useiden muiden maiden vaihtotaseet ovat olleet ylijäämäisiä jo joidenkin vuosien ajan, mutta ylijääm</w:t>
      </w:r>
      <w:r>
        <w:rPr>
          <w:rFonts w:ascii="Times New Roman" w:hAnsi="Times New Roman"/>
          <w:noProof/>
          <w:lang w:val="fi-FI" w:eastAsia="fi-FI" w:bidi="fi-FI"/>
        </w:rPr>
        <w:t>ä on kuitenkin kynnysarvon alapuolella. Tämä koskee myös suuria euroalueen maita, erityisesti Italiaa (ks. myös tekstikehys 2, jossa käsitellään tarkemmin euroalueen vaihtotaseen ylijäämää).</w:t>
      </w:r>
    </w:p>
    <w:p w:rsidR="00876CA6" w:rsidRDefault="00876CA6">
      <w:pPr>
        <w:rPr>
          <w:rFonts w:ascii="Times New Roman" w:eastAsia="MS Mincho" w:hAnsi="Times New Roman" w:cs="Times New Roman"/>
          <w:b/>
          <w:bCs/>
          <w:noProof/>
          <w:lang w:val="fi-FI" w:eastAsia="fi-FI" w:bidi="fi-FI"/>
        </w:rPr>
      </w:pPr>
    </w:p>
    <w:p w:rsidR="00876CA6" w:rsidRDefault="0031278A">
      <w:pPr>
        <w:keepNext/>
        <w:spacing w:before="120" w:after="120" w:line="240" w:lineRule="auto"/>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 xml:space="preserve">Kuvio </w:t>
      </w:r>
      <w:r>
        <w:rPr>
          <w:rFonts w:ascii="Times New Roman" w:eastAsia="MS Mincho" w:hAnsi="Times New Roman" w:cs="Times New Roman"/>
          <w:b/>
          <w:bCs/>
          <w:noProof/>
          <w:lang w:val="fi-FI" w:eastAsia="fi-FI" w:bidi="fi-FI"/>
        </w:rPr>
        <w:fldChar w:fldCharType="begin" w:fldLock="1"/>
      </w:r>
      <w:r>
        <w:rPr>
          <w:rFonts w:ascii="Times New Roman" w:eastAsia="MS Mincho" w:hAnsi="Times New Roman" w:cs="Times New Roman"/>
          <w:b/>
          <w:bCs/>
          <w:noProof/>
          <w:lang w:val="fi-FI" w:eastAsia="fi-FI" w:bidi="fi-FI"/>
        </w:rPr>
        <w:instrText xml:space="preserve"> SEQ Graph \* ARABIC </w:instrText>
      </w:r>
      <w:r>
        <w:rPr>
          <w:rFonts w:ascii="Times New Roman" w:eastAsia="MS Mincho" w:hAnsi="Times New Roman" w:cs="Times New Roman"/>
          <w:b/>
          <w:bCs/>
          <w:noProof/>
          <w:lang w:val="fi-FI" w:eastAsia="fi-FI" w:bidi="fi-FI"/>
        </w:rPr>
        <w:fldChar w:fldCharType="separate"/>
      </w:r>
      <w:r>
        <w:rPr>
          <w:rFonts w:ascii="Times New Roman" w:eastAsia="MS Mincho" w:hAnsi="Times New Roman" w:cs="Times New Roman"/>
          <w:b/>
          <w:bCs/>
          <w:noProof/>
          <w:lang w:val="fi-FI" w:eastAsia="fi-FI" w:bidi="fi-FI"/>
        </w:rPr>
        <w:t>2</w:t>
      </w:r>
      <w:r>
        <w:rPr>
          <w:rFonts w:ascii="Times New Roman" w:eastAsia="MS Mincho" w:hAnsi="Times New Roman" w:cs="Times New Roman"/>
          <w:b/>
          <w:bCs/>
          <w:noProof/>
          <w:lang w:val="fi-FI" w:eastAsia="fi-FI" w:bidi="fi-FI"/>
        </w:rPr>
        <w:fldChar w:fldCharType="end"/>
      </w:r>
      <w:r>
        <w:rPr>
          <w:rFonts w:ascii="Times New Roman" w:hAnsi="Times New Roman"/>
          <w:b/>
          <w:noProof/>
          <w:lang w:val="fi-FI" w:eastAsia="fi-FI" w:bidi="fi-FI"/>
        </w:rPr>
        <w:t xml:space="preserve">: Vaihtotaseet ja vertailuarvot </w:t>
      </w:r>
      <w:r>
        <w:rPr>
          <w:rFonts w:ascii="Times New Roman" w:hAnsi="Times New Roman"/>
          <w:b/>
          <w:noProof/>
          <w:lang w:val="fi-FI" w:eastAsia="fi-FI" w:bidi="fi-FI"/>
        </w:rPr>
        <w:t>vuonna 2017</w:t>
      </w:r>
    </w:p>
    <w:p w:rsidR="00876CA6" w:rsidRDefault="0031278A">
      <w:pPr>
        <w:keepNext/>
        <w:spacing w:before="120" w:after="120" w:line="240" w:lineRule="auto"/>
        <w:jc w:val="center"/>
        <w:rPr>
          <w:rFonts w:ascii="Times New Roman" w:eastAsia="MS Mincho" w:hAnsi="Times New Roman" w:cs="Times New Roman"/>
          <w:b/>
          <w:bCs/>
          <w:noProof/>
          <w:lang w:val="fi-FI" w:eastAsia="fi-FI" w:bidi="fi-FI"/>
        </w:rPr>
      </w:pPr>
      <w:r>
        <w:rPr>
          <w:noProof/>
          <w:lang w:eastAsia="en-GB"/>
        </w:rPr>
        <w:drawing>
          <wp:inline distT="0" distB="0" distL="0" distR="0">
            <wp:extent cx="5242560" cy="289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2560" cy="2895600"/>
                    </a:xfrm>
                    <a:prstGeom prst="rect">
                      <a:avLst/>
                    </a:prstGeom>
                    <a:noFill/>
                    <a:ln>
                      <a:noFill/>
                    </a:ln>
                  </pic:spPr>
                </pic:pic>
              </a:graphicData>
            </a:graphic>
          </wp:inline>
        </w:drawing>
      </w:r>
    </w:p>
    <w:p w:rsidR="00876CA6" w:rsidRDefault="0031278A">
      <w:pPr>
        <w:spacing w:after="0" w:line="240" w:lineRule="auto"/>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 (BPM6-tiedot) ja komission yksiköiden laskelmat.</w:t>
      </w:r>
    </w:p>
    <w:p w:rsidR="00876CA6" w:rsidRDefault="0031278A">
      <w:pPr>
        <w:spacing w:after="0" w:line="240" w:lineRule="auto"/>
        <w:jc w:val="both"/>
        <w:rPr>
          <w:noProof/>
          <w:sz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vuoden 2017 vaihtotaseen mukaisessa järjestyksessä. </w:t>
      </w:r>
      <w:r>
        <w:rPr>
          <w:i/>
          <w:noProof/>
          <w:sz w:val="20"/>
          <w:lang w:val="fi-FI" w:eastAsia="fi-FI" w:bidi="fi-FI"/>
        </w:rPr>
        <w:t>Suhdannekorjatut vaihtotaseet</w:t>
      </w:r>
      <w:r>
        <w:rPr>
          <w:noProof/>
          <w:lang w:val="fi-FI" w:eastAsia="fi-FI" w:bidi="fi-FI"/>
        </w:rPr>
        <w:t>:</w:t>
      </w:r>
      <w:r>
        <w:rPr>
          <w:noProof/>
          <w:sz w:val="20"/>
          <w:lang w:val="fi-FI" w:eastAsia="fi-FI" w:bidi="fi-FI"/>
        </w:rPr>
        <w:t xml:space="preserve"> ks. alaviite </w:t>
      </w:r>
      <w:r>
        <w:rPr>
          <w:noProof/>
          <w:sz w:val="20"/>
          <w:lang w:val="fi-FI" w:eastAsia="fi-FI" w:bidi="fi-FI"/>
        </w:rPr>
        <w:fldChar w:fldCharType="begin" w:fldLock="1"/>
      </w:r>
      <w:r>
        <w:rPr>
          <w:noProof/>
          <w:sz w:val="20"/>
          <w:lang w:val="fi-FI" w:eastAsia="fi-FI" w:bidi="fi-FI"/>
        </w:rPr>
        <w:instrText xml:space="preserve"> NOTEREF _Ref526849001 \h  \* MERGEFORMAT </w:instrText>
      </w:r>
      <w:r>
        <w:rPr>
          <w:noProof/>
          <w:sz w:val="20"/>
          <w:lang w:val="fi-FI" w:eastAsia="fi-FI" w:bidi="fi-FI"/>
        </w:rPr>
      </w:r>
      <w:r>
        <w:rPr>
          <w:noProof/>
          <w:sz w:val="20"/>
          <w:lang w:val="fi-FI" w:eastAsia="fi-FI" w:bidi="fi-FI"/>
        </w:rPr>
        <w:fldChar w:fldCharType="separate"/>
      </w:r>
      <w:r>
        <w:rPr>
          <w:noProof/>
          <w:sz w:val="20"/>
          <w:lang w:val="fi-FI" w:eastAsia="fi-FI" w:bidi="fi-FI"/>
        </w:rPr>
        <w:t>15</w:t>
      </w:r>
      <w:r>
        <w:rPr>
          <w:noProof/>
          <w:sz w:val="20"/>
          <w:lang w:val="fi-FI" w:eastAsia="fi-FI" w:bidi="fi-FI"/>
        </w:rPr>
        <w:fldChar w:fldCharType="end"/>
      </w:r>
      <w:r>
        <w:rPr>
          <w:noProof/>
          <w:sz w:val="20"/>
          <w:lang w:val="fi-FI" w:eastAsia="fi-FI" w:bidi="fi-FI"/>
        </w:rPr>
        <w:t xml:space="preserve">. </w:t>
      </w:r>
      <w:r>
        <w:rPr>
          <w:i/>
          <w:noProof/>
          <w:sz w:val="20"/>
          <w:lang w:val="fi-FI" w:eastAsia="fi-FI" w:bidi="fi-FI"/>
        </w:rPr>
        <w:t>Norminmukaiset vaihtotaseet</w:t>
      </w:r>
      <w:r>
        <w:rPr>
          <w:noProof/>
          <w:sz w:val="20"/>
          <w:lang w:val="fi-FI" w:eastAsia="fi-FI" w:bidi="fi-FI"/>
        </w:rPr>
        <w:t xml:space="preserve">: ks. alaviite </w:t>
      </w:r>
      <w:r>
        <w:rPr>
          <w:noProof/>
          <w:sz w:val="20"/>
          <w:lang w:val="fi-FI" w:eastAsia="fi-FI" w:bidi="fi-FI"/>
        </w:rPr>
        <w:fldChar w:fldCharType="begin" w:fldLock="1"/>
      </w:r>
      <w:r>
        <w:rPr>
          <w:noProof/>
          <w:sz w:val="20"/>
          <w:lang w:val="fi-FI" w:eastAsia="fi-FI" w:bidi="fi-FI"/>
        </w:rPr>
        <w:instrText xml:space="preserve"> NOTEREF _Ref526526513 \h  \* MERGEFORMAT </w:instrText>
      </w:r>
      <w:r>
        <w:rPr>
          <w:noProof/>
          <w:sz w:val="20"/>
          <w:lang w:val="fi-FI" w:eastAsia="fi-FI" w:bidi="fi-FI"/>
        </w:rPr>
      </w:r>
      <w:r>
        <w:rPr>
          <w:noProof/>
          <w:sz w:val="20"/>
          <w:lang w:val="fi-FI" w:eastAsia="fi-FI" w:bidi="fi-FI"/>
        </w:rPr>
        <w:fldChar w:fldCharType="separate"/>
      </w:r>
      <w:r>
        <w:rPr>
          <w:noProof/>
          <w:sz w:val="20"/>
          <w:lang w:val="fi-FI" w:eastAsia="fi-FI" w:bidi="fi-FI"/>
        </w:rPr>
        <w:t>16</w:t>
      </w:r>
      <w:r>
        <w:rPr>
          <w:noProof/>
          <w:sz w:val="20"/>
          <w:lang w:val="fi-FI" w:eastAsia="fi-FI" w:bidi="fi-FI"/>
        </w:rPr>
        <w:fldChar w:fldCharType="end"/>
      </w:r>
      <w:r>
        <w:rPr>
          <w:noProof/>
          <w:sz w:val="20"/>
          <w:lang w:val="fi-FI" w:eastAsia="fi-FI" w:bidi="fi-FI"/>
        </w:rPr>
        <w:t xml:space="preserve">. </w:t>
      </w:r>
      <w:r>
        <w:rPr>
          <w:i/>
          <w:noProof/>
          <w:sz w:val="20"/>
          <w:lang w:val="fi-FI" w:eastAsia="fi-FI" w:bidi="fi-FI"/>
        </w:rPr>
        <w:t>Ulkomaisen nettovarallisuusaseman vakauttavan vaihtotaseen</w:t>
      </w:r>
      <w:r>
        <w:rPr>
          <w:noProof/>
          <w:sz w:val="20"/>
          <w:lang w:val="fi-FI" w:eastAsia="fi-FI" w:bidi="fi-FI"/>
        </w:rPr>
        <w:t xml:space="preserve"> vertailuarvo määritellään vaihtotaseeksi, joka tarvitaan vakauttamaan ulkomainen nettovarallisuusasema nykytasolle seuraavien 10 vu</w:t>
      </w:r>
      <w:r>
        <w:rPr>
          <w:noProof/>
          <w:sz w:val="20"/>
          <w:lang w:val="fi-FI" w:eastAsia="fi-FI" w:bidi="fi-FI"/>
        </w:rPr>
        <w:t>oden aikana tai, jos ulkomainen nettovarallisuusasema on tällä hetkellä maakohtaisen varovaisuuskynnysarvon alapuolella, vaihtotaseeksi, joka tarvitaan ulkomaisen nettovarallisuusaseman varovaisuuskynnysarvon saavuttamiseksi seuraavien 10 vuoden aikana.</w:t>
      </w:r>
      <w:r>
        <w:rPr>
          <w:rFonts w:ascii="Times New Roman" w:hAnsi="Times New Roman"/>
          <w:noProof/>
          <w:sz w:val="20"/>
          <w:vertAlign w:val="superscript"/>
          <w:lang w:val="fi-FI" w:eastAsia="fi-FI" w:bidi="fi-FI"/>
        </w:rPr>
        <w:footnoteReference w:id="17"/>
      </w:r>
      <w:r>
        <w:rPr>
          <w:noProof/>
          <w:sz w:val="20"/>
          <w:lang w:val="fi-FI" w:eastAsia="fi-FI" w:bidi="fi-FI"/>
        </w:rPr>
        <w:t xml:space="preserve"> </w:t>
      </w:r>
    </w:p>
    <w:p w:rsidR="00876CA6" w:rsidRDefault="00876CA6">
      <w:pPr>
        <w:spacing w:before="120" w:after="0" w:line="240" w:lineRule="auto"/>
        <w:jc w:val="both"/>
        <w:rPr>
          <w:rFonts w:ascii="Times New Roman" w:eastAsia="Times New Roman" w:hAnsi="Times New Roman" w:cs="Times New Roman"/>
          <w:noProof/>
          <w:szCs w:val="24"/>
          <w:lang w:val="fi-FI" w:eastAsia="fi-FI" w:bidi="fi-FI"/>
        </w:rPr>
      </w:pPr>
    </w:p>
    <w:p w:rsidR="00876CA6" w:rsidRDefault="0031278A">
      <w:pPr>
        <w:keepNext/>
        <w:spacing w:before="120" w:after="120" w:line="240" w:lineRule="auto"/>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 xml:space="preserve">Kuvio </w:t>
      </w:r>
      <w:r>
        <w:rPr>
          <w:rFonts w:ascii="Times New Roman" w:eastAsia="MS Mincho" w:hAnsi="Times New Roman" w:cs="Times New Roman"/>
          <w:b/>
          <w:bCs/>
          <w:noProof/>
          <w:lang w:val="fi-FI" w:eastAsia="fi-FI" w:bidi="fi-FI"/>
        </w:rPr>
        <w:fldChar w:fldCharType="begin" w:fldLock="1"/>
      </w:r>
      <w:r>
        <w:rPr>
          <w:rFonts w:ascii="Times New Roman" w:eastAsia="MS Mincho" w:hAnsi="Times New Roman" w:cs="Times New Roman"/>
          <w:b/>
          <w:bCs/>
          <w:noProof/>
          <w:lang w:val="fi-FI" w:eastAsia="fi-FI" w:bidi="fi-FI"/>
        </w:rPr>
        <w:instrText xml:space="preserve"> SEQ Graph \* ARABIC </w:instrText>
      </w:r>
      <w:r>
        <w:rPr>
          <w:rFonts w:ascii="Times New Roman" w:eastAsia="MS Mincho" w:hAnsi="Times New Roman" w:cs="Times New Roman"/>
          <w:b/>
          <w:bCs/>
          <w:noProof/>
          <w:lang w:val="fi-FI" w:eastAsia="fi-FI" w:bidi="fi-FI"/>
        </w:rPr>
        <w:fldChar w:fldCharType="separate"/>
      </w:r>
      <w:r>
        <w:rPr>
          <w:rFonts w:ascii="Times New Roman" w:eastAsia="MS Mincho" w:hAnsi="Times New Roman" w:cs="Times New Roman"/>
          <w:b/>
          <w:bCs/>
          <w:noProof/>
          <w:lang w:val="fi-FI" w:eastAsia="fi-FI" w:bidi="fi-FI"/>
        </w:rPr>
        <w:t>3</w:t>
      </w:r>
      <w:r>
        <w:rPr>
          <w:rFonts w:ascii="Times New Roman" w:eastAsia="MS Mincho" w:hAnsi="Times New Roman" w:cs="Times New Roman"/>
          <w:b/>
          <w:bCs/>
          <w:noProof/>
          <w:lang w:val="fi-FI" w:eastAsia="fi-FI" w:bidi="fi-FI"/>
        </w:rPr>
        <w:fldChar w:fldCharType="end"/>
      </w:r>
      <w:r>
        <w:rPr>
          <w:rFonts w:ascii="Times New Roman" w:hAnsi="Times New Roman"/>
          <w:b/>
          <w:noProof/>
          <w:lang w:val="fi-FI" w:eastAsia="fi-FI" w:bidi="fi-FI"/>
        </w:rPr>
        <w:t>: Vaihtotaseiden kehitys</w:t>
      </w:r>
    </w:p>
    <w:p w:rsidR="00876CA6" w:rsidRDefault="0031278A">
      <w:pPr>
        <w:keepNext/>
        <w:spacing w:before="120" w:after="120" w:line="240" w:lineRule="auto"/>
        <w:jc w:val="center"/>
        <w:rPr>
          <w:rFonts w:ascii="Times New Roman" w:eastAsia="MS Mincho" w:hAnsi="Times New Roman" w:cs="Times New Roman"/>
          <w:b/>
          <w:bCs/>
          <w:noProof/>
          <w:lang w:val="fi-FI" w:eastAsia="fi-FI" w:bidi="fi-FI"/>
        </w:rPr>
      </w:pPr>
      <w:r>
        <w:rPr>
          <w:noProof/>
          <w:lang w:eastAsia="en-GB"/>
        </w:rPr>
        <w:drawing>
          <wp:inline distT="0" distB="0" distL="0" distR="0">
            <wp:extent cx="5760720" cy="2981491"/>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981491"/>
                    </a:xfrm>
                    <a:prstGeom prst="rect">
                      <a:avLst/>
                    </a:prstGeom>
                    <a:noFill/>
                    <a:ln>
                      <a:noFill/>
                    </a:ln>
                  </pic:spPr>
                </pic:pic>
              </a:graphicData>
            </a:graphic>
          </wp:inline>
        </w:drawing>
      </w:r>
    </w:p>
    <w:p w:rsidR="00876CA6" w:rsidRDefault="0031278A">
      <w:pPr>
        <w:spacing w:after="0" w:line="240" w:lineRule="auto"/>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 ja komission yksiköiden laskelmat.</w:t>
      </w:r>
    </w:p>
    <w:p w:rsidR="00876CA6" w:rsidRDefault="0031278A">
      <w:pPr>
        <w:spacing w:after="0" w:line="240" w:lineRule="auto"/>
        <w:jc w:val="both"/>
        <w:rPr>
          <w:rFonts w:ascii="Times New Roman" w:eastAsia="Times New Roman" w:hAnsi="Times New Roman" w:cs="Times New Roman"/>
          <w:noProof/>
          <w:sz w:val="20"/>
          <w:szCs w:val="20"/>
          <w:lang w:val="fi-FI" w:eastAsia="fi-FI" w:bidi="fi-FI"/>
        </w:rPr>
      </w:pPr>
      <w:r>
        <w:rPr>
          <w:rFonts w:ascii="Times New Roman" w:hAnsi="Times New Roman"/>
          <w:noProof/>
          <w:sz w:val="20"/>
          <w:lang w:val="fi-FI" w:eastAsia="fi-FI" w:bidi="fi-FI"/>
        </w:rPr>
        <w:t xml:space="preserve">Huom. Maat esitetään nousevassa järjestyksessä, joka perustuu ulkomaisen nettovarallisuusaseman ja BKT:n suhteen vaihteluun vuosien 2007 ja 2017 </w:t>
      </w:r>
      <w:r>
        <w:rPr>
          <w:rFonts w:ascii="Times New Roman" w:hAnsi="Times New Roman"/>
          <w:noProof/>
          <w:sz w:val="20"/>
          <w:lang w:val="fi-FI" w:eastAsia="fi-FI" w:bidi="fi-FI"/>
        </w:rPr>
        <w:t>välisenä aikana. Suhdanteen aikaansaama muutos lasketaan vaihtotaseen vaihteluna, joka ei sisälly suhdannekorjatun vaihtotaseen vaihteluun; ks. alaviite</w:t>
      </w:r>
      <w:r>
        <w:rPr>
          <w:noProof/>
          <w:lang w:val="fi-FI" w:eastAsia="fi-FI" w:bidi="fi-FI"/>
        </w:rPr>
        <w:t xml:space="preserve"> </w:t>
      </w:r>
      <w:r>
        <w:rPr>
          <w:noProof/>
          <w:sz w:val="20"/>
          <w:lang w:val="fi-FI" w:eastAsia="fi-FI" w:bidi="fi-FI"/>
        </w:rPr>
        <w:fldChar w:fldCharType="begin" w:fldLock="1"/>
      </w:r>
      <w:r>
        <w:rPr>
          <w:noProof/>
          <w:sz w:val="20"/>
          <w:lang w:val="fi-FI" w:eastAsia="fi-FI" w:bidi="fi-FI"/>
        </w:rPr>
        <w:instrText xml:space="preserve"> NOTEREF _Ref526849001 \h  \* MERGEFORMAT </w:instrText>
      </w:r>
      <w:r>
        <w:rPr>
          <w:noProof/>
          <w:sz w:val="20"/>
          <w:lang w:val="fi-FI" w:eastAsia="fi-FI" w:bidi="fi-FI"/>
        </w:rPr>
      </w:r>
      <w:r>
        <w:rPr>
          <w:noProof/>
          <w:sz w:val="20"/>
          <w:lang w:val="fi-FI" w:eastAsia="fi-FI" w:bidi="fi-FI"/>
        </w:rPr>
        <w:fldChar w:fldCharType="separate"/>
      </w:r>
      <w:r>
        <w:rPr>
          <w:noProof/>
          <w:sz w:val="20"/>
          <w:lang w:val="fi-FI" w:eastAsia="fi-FI" w:bidi="fi-FI"/>
        </w:rPr>
        <w:t>15</w:t>
      </w:r>
      <w:r>
        <w:rPr>
          <w:noProof/>
          <w:sz w:val="20"/>
          <w:lang w:val="fi-FI" w:eastAsia="fi-FI" w:bidi="fi-FI"/>
        </w:rPr>
        <w:fldChar w:fldCharType="end"/>
      </w:r>
      <w:r>
        <w:rPr>
          <w:noProof/>
          <w:lang w:val="fi-FI" w:eastAsia="fi-FI" w:bidi="fi-FI"/>
        </w:rPr>
        <w:t>.</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Lähes kaikkien jäsenvaltioiden ulkomaiset nettovarallisuusasemat ovat edelleen parantuneet, mutta suuret negatiiviset asemat ovat yhä ongelma useissa maissa.</w:t>
      </w:r>
      <w:r>
        <w:rPr>
          <w:rFonts w:ascii="Times New Roman" w:hAnsi="Times New Roman"/>
          <w:noProof/>
          <w:lang w:val="fi-FI" w:eastAsia="fi-FI" w:bidi="fi-FI"/>
        </w:rPr>
        <w:t xml:space="preserve"> Monien EU:n jäsenvaltioiden ulkomaiset nettovarallisuusasemat ovat edelleen pitkälti negatiivisia (</w:t>
      </w:r>
      <w:r>
        <w:rPr>
          <w:rFonts w:ascii="Times New Roman" w:eastAsia="Times New Roman" w:hAnsi="Times New Roman" w:cs="Times New Roman"/>
          <w:noProof/>
          <w:lang w:val="fi-FI" w:eastAsia="fi-FI" w:bidi="fi-FI"/>
        </w:rPr>
        <w:fldChar w:fldCharType="begin" w:fldLock="1"/>
      </w:r>
      <w:r>
        <w:rPr>
          <w:rFonts w:ascii="Times New Roman" w:eastAsia="Times New Roman" w:hAnsi="Times New Roman" w:cs="Times New Roman"/>
          <w:noProof/>
          <w:lang w:val="fi-FI" w:eastAsia="fi-FI" w:bidi="fi-FI"/>
        </w:rPr>
        <w:instrText xml:space="preserve"> REF _Ref525664344 \h  \* MERGEFORMAT </w:instrText>
      </w:r>
      <w:r>
        <w:rPr>
          <w:rFonts w:ascii="Times New Roman" w:eastAsia="Times New Roman" w:hAnsi="Times New Roman" w:cs="Times New Roman"/>
          <w:noProof/>
          <w:lang w:val="fi-FI" w:eastAsia="fi-FI" w:bidi="fi-FI"/>
        </w:rPr>
      </w:r>
      <w:r>
        <w:rPr>
          <w:rFonts w:ascii="Times New Roman" w:eastAsia="Times New Roman" w:hAnsi="Times New Roman" w:cs="Times New Roman"/>
          <w:noProof/>
          <w:lang w:val="fi-FI" w:eastAsia="fi-FI" w:bidi="fi-FI"/>
        </w:rPr>
        <w:fldChar w:fldCharType="separate"/>
      </w:r>
      <w:r>
        <w:rPr>
          <w:rFonts w:ascii="Times New Roman" w:eastAsia="Times New Roman" w:hAnsi="Times New Roman" w:cs="Times New Roman"/>
          <w:noProof/>
          <w:lang w:val="fi-FI" w:eastAsia="fi-FI" w:bidi="fi-FI"/>
        </w:rPr>
        <w:t>Kuvio 4</w:t>
      </w:r>
      <w:r>
        <w:rPr>
          <w:rFonts w:ascii="Times New Roman" w:eastAsia="Times New Roman" w:hAnsi="Times New Roman" w:cs="Times New Roman"/>
          <w:noProof/>
          <w:lang w:val="fi-FI" w:eastAsia="fi-FI" w:bidi="fi-FI"/>
        </w:rPr>
        <w:fldChar w:fldCharType="end"/>
      </w:r>
      <w:r>
        <w:rPr>
          <w:rFonts w:ascii="Times New Roman" w:hAnsi="Times New Roman"/>
          <w:noProof/>
          <w:lang w:val="fi-FI" w:eastAsia="fi-FI" w:bidi="fi-FI"/>
        </w:rPr>
        <w:t>). Suurimmassa osassa niitä EU-maita, joilla</w:t>
      </w:r>
      <w:r>
        <w:rPr>
          <w:rFonts w:ascii="Times New Roman" w:hAnsi="Times New Roman"/>
          <w:noProof/>
          <w:lang w:val="fi-FI" w:eastAsia="fi-FI" w:bidi="fi-FI"/>
        </w:rPr>
        <w:t xml:space="preserve"> on negatiivinen ulkomainen nettovarallisuusasema, ulkomainen velkakanta ylittää talouden perustekijöiden perusteella odotettavissa olevan ulkomaisen nettovarallisuusaseman, kun taas vain harvoissa tapauksissa se näyttää jäävän varovaisuuskynnysarvon alapu</w:t>
      </w:r>
      <w:r>
        <w:rPr>
          <w:rFonts w:ascii="Times New Roman" w:hAnsi="Times New Roman"/>
          <w:noProof/>
          <w:lang w:val="fi-FI" w:eastAsia="fi-FI" w:bidi="fi-FI"/>
        </w:rPr>
        <w:t>olelle.</w:t>
      </w:r>
      <w:r>
        <w:rPr>
          <w:rFonts w:ascii="Times New Roman" w:hAnsi="Times New Roman"/>
          <w:noProof/>
          <w:vertAlign w:val="superscript"/>
          <w:lang w:val="fi-FI" w:eastAsia="fi-FI" w:bidi="fi-FI"/>
        </w:rPr>
        <w:footnoteReference w:id="18"/>
      </w:r>
      <w:r>
        <w:rPr>
          <w:rFonts w:ascii="Times New Roman" w:hAnsi="Times New Roman"/>
          <w:noProof/>
          <w:lang w:val="fi-FI" w:eastAsia="fi-FI" w:bidi="fi-FI"/>
        </w:rPr>
        <w:t xml:space="preserve"> Joissakin maissa ulkomaisen velan määrä on suuri myös silloin, kun se lasketaan ilman vähemmän riskialttiita rahoitusinstrumentteja (NENDI). Ulkomaisten nettovarallisuusasemien paraneminen jatkui vuonna 2017, koska vaihtotasetulokset olivat usein </w:t>
      </w:r>
      <w:r>
        <w:rPr>
          <w:rFonts w:ascii="Times New Roman" w:hAnsi="Times New Roman"/>
          <w:noProof/>
          <w:lang w:val="fi-FI" w:eastAsia="fi-FI" w:bidi="fi-FI"/>
        </w:rPr>
        <w:t>positiivisia ja nimellisen BKT:n kasvu elpyi (kuvio 5). Parannukset olivat yleensä hieman aiempia vuosia lievempiä, sillä arvostusvaikutukset vaikuttivat usein vähemmän ulkomaisen nettovarallisuusaseman parantumiseen tai jopa marginaalisesti heikensivät ul</w:t>
      </w:r>
      <w:r>
        <w:rPr>
          <w:rFonts w:ascii="Times New Roman" w:hAnsi="Times New Roman"/>
          <w:noProof/>
          <w:lang w:val="fi-FI" w:eastAsia="fi-FI" w:bidi="fi-FI"/>
        </w:rPr>
        <w:t>komaista nettovarallisuusasemaa. Ulkomaisen nettovarallisuusaseman vaihtelun etumerkillä ja voimakkuudella ei ollut vahvaa yhteyttä ulkomaisen nettovarallisuusaseman lähtötasoihin, mutta nettovelallismaat paransivat lukemiaan tai vakiinnuttivat ne vuonna 2</w:t>
      </w:r>
      <w:r>
        <w:rPr>
          <w:rFonts w:ascii="Times New Roman" w:hAnsi="Times New Roman"/>
          <w:noProof/>
          <w:lang w:val="fi-FI" w:eastAsia="fi-FI" w:bidi="fi-FI"/>
        </w:rPr>
        <w:t>017 suurimmassa osassa tapauksia.</w:t>
      </w:r>
    </w:p>
    <w:p w:rsidR="00876CA6" w:rsidRDefault="0031278A">
      <w:pPr>
        <w:numPr>
          <w:ilvl w:val="0"/>
          <w:numId w:val="4"/>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Vuonna 2017 </w:t>
      </w:r>
      <w:r>
        <w:rPr>
          <w:rFonts w:ascii="Times New Roman" w:hAnsi="Times New Roman"/>
          <w:b/>
          <w:noProof/>
          <w:lang w:val="fi-FI" w:eastAsia="fi-FI" w:bidi="fi-FI"/>
        </w:rPr>
        <w:t>lähes puolessa jäsenvaltioista ulkomainen nettovarallisuusasema alitti tulostaulun kynnysarvon</w:t>
      </w:r>
      <w:r>
        <w:rPr>
          <w:rFonts w:ascii="Times New Roman" w:hAnsi="Times New Roman"/>
          <w:noProof/>
          <w:lang w:val="fi-FI" w:eastAsia="fi-FI" w:bidi="fi-FI"/>
        </w:rPr>
        <w:t>, joka oli –35 prosentia suhteessa BKT:hen. Irlannin, Kreikan, Kyproksen ja Portugalin ulkomaiset nettovarallisuusas</w:t>
      </w:r>
      <w:r>
        <w:rPr>
          <w:rFonts w:ascii="Times New Roman" w:hAnsi="Times New Roman"/>
          <w:noProof/>
          <w:lang w:val="fi-FI" w:eastAsia="fi-FI" w:bidi="fi-FI"/>
        </w:rPr>
        <w:t xml:space="preserve">emat ylittivät –100 prosenttia suhteessa BKT:hen ja Espanjan –80 prosenttia suhteessa BKT:hen; myös Bulgaria, Kroatia, Latvia, Liettua, Puola, Romania, Slovakia ja Unkari olivat edelleen jäljessä –35 prosentin tavoitteesta suhteessa BKT:hen. </w:t>
      </w:r>
    </w:p>
    <w:p w:rsidR="00876CA6" w:rsidRDefault="0031278A">
      <w:pPr>
        <w:numPr>
          <w:ilvl w:val="0"/>
          <w:numId w:val="4"/>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Maissa, joiss</w:t>
      </w:r>
      <w:r>
        <w:rPr>
          <w:rFonts w:ascii="Times New Roman" w:hAnsi="Times New Roman"/>
          <w:noProof/>
          <w:lang w:val="fi-FI" w:eastAsia="fi-FI" w:bidi="fi-FI"/>
        </w:rPr>
        <w:t xml:space="preserve">a </w:t>
      </w:r>
      <w:r>
        <w:rPr>
          <w:rFonts w:ascii="Times New Roman" w:hAnsi="Times New Roman"/>
          <w:b/>
          <w:noProof/>
          <w:lang w:val="fi-FI" w:eastAsia="fi-FI" w:bidi="fi-FI"/>
        </w:rPr>
        <w:t>ulkomainen nettovarallisuusasema on pitkälti negatiivinen</w:t>
      </w:r>
      <w:r>
        <w:rPr>
          <w:rFonts w:ascii="Times New Roman" w:hAnsi="Times New Roman"/>
          <w:noProof/>
          <w:lang w:val="fi-FI" w:eastAsia="fi-FI" w:bidi="fi-FI"/>
        </w:rPr>
        <w:t xml:space="preserve">, lukemat ovat yleensä </w:t>
      </w:r>
      <w:r>
        <w:rPr>
          <w:rFonts w:ascii="Times New Roman" w:hAnsi="Times New Roman"/>
          <w:b/>
          <w:noProof/>
          <w:lang w:val="fi-FI" w:eastAsia="fi-FI" w:bidi="fi-FI"/>
        </w:rPr>
        <w:t>maakohtaisten kynnysarvojen alapuolella</w:t>
      </w:r>
      <w:r>
        <w:rPr>
          <w:rFonts w:ascii="Times New Roman" w:hAnsi="Times New Roman"/>
          <w:noProof/>
          <w:lang w:val="fi-FI" w:eastAsia="fi-FI" w:bidi="fi-FI"/>
        </w:rPr>
        <w:t xml:space="preserve"> sekä norminmukaisten ulkomaisten nettovarallisuusasemien että varovaisuuskynnysarvojen osalta. Tämä koskee Irlantia, Kreikkaa, Kyprost</w:t>
      </w:r>
      <w:r>
        <w:rPr>
          <w:rFonts w:ascii="Times New Roman" w:hAnsi="Times New Roman"/>
          <w:noProof/>
          <w:lang w:val="fi-FI" w:eastAsia="fi-FI" w:bidi="fi-FI"/>
        </w:rPr>
        <w:t>a, Portugalia ja myös Espanjaa. Kreikassa ulkomainen nettovarallisuusasema on heikentynyt marginaalisesti, ja Portugalissa lukemat ovat pysyneet ennallaan. Molemmissa tapauksissa arvostusvaikutukset heikensivät ulkomaista nettovarallisuusasemaa jonkin verr</w:t>
      </w:r>
      <w:r>
        <w:rPr>
          <w:rFonts w:ascii="Times New Roman" w:hAnsi="Times New Roman"/>
          <w:noProof/>
          <w:lang w:val="fi-FI" w:eastAsia="fi-FI" w:bidi="fi-FI"/>
        </w:rPr>
        <w:t xml:space="preserve">an vuonna 2017. Kaikki muut edellä mainitut maat paransivat tuloksiaan. </w:t>
      </w:r>
      <w:r>
        <w:rPr>
          <w:noProof/>
          <w:lang w:val="fi-FI" w:eastAsia="fi-FI" w:bidi="fi-FI"/>
        </w:rPr>
        <w:t xml:space="preserve">Kaikkein negatiivisimmille ulkomaisille nettovarallisuusasemille ovat tunnusomaista </w:t>
      </w:r>
      <w:r>
        <w:rPr>
          <w:rFonts w:ascii="Times New Roman" w:hAnsi="Times New Roman"/>
          <w:b/>
          <w:noProof/>
          <w:lang w:val="fi-FI" w:eastAsia="fi-FI" w:bidi="fi-FI"/>
        </w:rPr>
        <w:t>suuret nettovelat</w:t>
      </w:r>
      <w:r>
        <w:rPr>
          <w:rFonts w:ascii="Times New Roman" w:hAnsi="Times New Roman"/>
          <w:noProof/>
          <w:vertAlign w:val="superscript"/>
          <w:lang w:val="fi-FI" w:eastAsia="fi-FI" w:bidi="fi-FI"/>
        </w:rPr>
        <w:footnoteReference w:id="19"/>
      </w:r>
      <w:r>
        <w:rPr>
          <w:noProof/>
          <w:lang w:val="fi-FI" w:eastAsia="fi-FI" w:bidi="fi-FI"/>
        </w:rPr>
        <w:t>.</w:t>
      </w:r>
      <w:r>
        <w:rPr>
          <w:rFonts w:ascii="Times New Roman" w:hAnsi="Times New Roman"/>
          <w:noProof/>
          <w:lang w:val="fi-FI" w:eastAsia="fi-FI" w:bidi="fi-FI"/>
        </w:rPr>
        <w:t xml:space="preserve"> Kyprosta ja Irlantia koskevia lukuja tarkasteltaessa on otettava huomioon myös m</w:t>
      </w:r>
      <w:r>
        <w:rPr>
          <w:rFonts w:ascii="Times New Roman" w:hAnsi="Times New Roman"/>
          <w:noProof/>
          <w:lang w:val="fi-FI" w:eastAsia="fi-FI" w:bidi="fi-FI"/>
        </w:rPr>
        <w:t xml:space="preserve">onikansallisten yritysten ja kansainvälisesti suuntautuneiden palvelusektorien toiminnan merkitys. Kreikan osalta on otettava huomioon erittäin edullisin ehdoin myönnetyn ulkomaisen julkisen velan suuri määrä. </w:t>
      </w:r>
    </w:p>
    <w:p w:rsidR="00876CA6" w:rsidRDefault="0031278A">
      <w:pPr>
        <w:numPr>
          <w:ilvl w:val="0"/>
          <w:numId w:val="4"/>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Niissä maissa, joissa</w:t>
      </w:r>
      <w:r>
        <w:rPr>
          <w:rFonts w:ascii="Times New Roman" w:hAnsi="Times New Roman"/>
          <w:b/>
          <w:noProof/>
          <w:lang w:val="fi-FI" w:eastAsia="fi-FI" w:bidi="fi-FI"/>
        </w:rPr>
        <w:t xml:space="preserve"> negatiivinen ulkomainen</w:t>
      </w:r>
      <w:r>
        <w:rPr>
          <w:rFonts w:ascii="Times New Roman" w:hAnsi="Times New Roman"/>
          <w:b/>
          <w:noProof/>
          <w:lang w:val="fi-FI" w:eastAsia="fi-FI" w:bidi="fi-FI"/>
        </w:rPr>
        <w:t xml:space="preserve"> nettovarallisuusasema on keskitasoa</w:t>
      </w:r>
      <w:r>
        <w:rPr>
          <w:rFonts w:ascii="Times New Roman" w:hAnsi="Times New Roman"/>
          <w:noProof/>
          <w:lang w:val="fi-FI" w:eastAsia="fi-FI" w:bidi="fi-FI"/>
        </w:rPr>
        <w:t xml:space="preserve"> mutta alittaa edelleen tulostaulussa asetetun –35  prosentin kynnysarvon suhteessa BKT:hen, ulkomainen nettovarallisuusasema </w:t>
      </w:r>
      <w:r>
        <w:rPr>
          <w:rFonts w:ascii="Times New Roman" w:hAnsi="Times New Roman"/>
          <w:b/>
          <w:noProof/>
          <w:lang w:val="fi-FI" w:eastAsia="fi-FI" w:bidi="fi-FI"/>
        </w:rPr>
        <w:t>jää usein alle normin ja joissakin tapauksissa hieman alle varovaisuuskynnysarvojen</w:t>
      </w:r>
      <w:r>
        <w:rPr>
          <w:rFonts w:ascii="Times New Roman" w:hAnsi="Times New Roman"/>
          <w:noProof/>
          <w:lang w:val="fi-FI" w:eastAsia="fi-FI" w:bidi="fi-FI"/>
        </w:rPr>
        <w:t>. Näissä ma</w:t>
      </w:r>
      <w:r>
        <w:rPr>
          <w:rFonts w:ascii="Times New Roman" w:hAnsi="Times New Roman"/>
          <w:noProof/>
          <w:lang w:val="fi-FI" w:eastAsia="fi-FI" w:bidi="fi-FI"/>
        </w:rPr>
        <w:t>issa omalla pääomalla on suuri vaikutus negatiiviseen ulkomaiseen nettovarallisuusasemaan, myös maahan suuntautuvien suorien ulkomaisten sijoitusten nettomäärän perusteella.</w:t>
      </w:r>
      <w:r>
        <w:rPr>
          <w:rFonts w:ascii="Times New Roman" w:hAnsi="Times New Roman"/>
          <w:noProof/>
          <w:color w:val="000000"/>
          <w:lang w:val="fi-FI" w:eastAsia="fi-FI" w:bidi="fi-FI"/>
        </w:rPr>
        <w:t xml:space="preserve"> </w:t>
      </w:r>
      <w:r>
        <w:rPr>
          <w:rFonts w:ascii="Times New Roman" w:hAnsi="Times New Roman"/>
          <w:noProof/>
          <w:lang w:val="fi-FI" w:eastAsia="fi-FI" w:bidi="fi-FI"/>
        </w:rPr>
        <w:t xml:space="preserve">Maissa, joiden </w:t>
      </w:r>
      <w:r>
        <w:rPr>
          <w:rFonts w:ascii="Times New Roman" w:hAnsi="Times New Roman"/>
          <w:b/>
          <w:noProof/>
          <w:lang w:val="fi-FI" w:eastAsia="fi-FI" w:bidi="fi-FI"/>
        </w:rPr>
        <w:t>ulkoiset varantoasemat ovat kohtuullisia</w:t>
      </w:r>
      <w:r>
        <w:rPr>
          <w:rFonts w:ascii="Times New Roman" w:hAnsi="Times New Roman"/>
          <w:noProof/>
          <w:lang w:val="fi-FI" w:eastAsia="fi-FI" w:bidi="fi-FI"/>
        </w:rPr>
        <w:t>, ulkomaiset nettovarallisu</w:t>
      </w:r>
      <w:r>
        <w:rPr>
          <w:rFonts w:ascii="Times New Roman" w:hAnsi="Times New Roman"/>
          <w:noProof/>
          <w:lang w:val="fi-FI" w:eastAsia="fi-FI" w:bidi="fi-FI"/>
        </w:rPr>
        <w:t>usasemat ylittävät usein normit, lukuun ottamatta Ranskaa ja Sloveniaa, joissa ne jäävät normien alapuolelle.</w:t>
      </w:r>
    </w:p>
    <w:p w:rsidR="00876CA6" w:rsidRDefault="0031278A">
      <w:pPr>
        <w:numPr>
          <w:ilvl w:val="0"/>
          <w:numId w:val="4"/>
        </w:numPr>
        <w:tabs>
          <w:tab w:val="left" w:pos="720"/>
        </w:tabs>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Suurimmassa osassa niitä maita, joissa </w:t>
      </w:r>
      <w:r>
        <w:rPr>
          <w:rFonts w:ascii="Times New Roman" w:hAnsi="Times New Roman"/>
          <w:b/>
          <w:noProof/>
          <w:lang w:val="fi-FI" w:eastAsia="fi-FI" w:bidi="fi-FI"/>
        </w:rPr>
        <w:t>ulkomaiset nettovarallisuusasemat ovat suuria ja positiivisia</w:t>
      </w:r>
      <w:r>
        <w:rPr>
          <w:rFonts w:ascii="Times New Roman" w:hAnsi="Times New Roman"/>
          <w:noProof/>
          <w:lang w:val="fi-FI" w:eastAsia="fi-FI" w:bidi="fi-FI"/>
        </w:rPr>
        <w:t xml:space="preserve">, ulkomaiset nettovarallisuusasemat ylittävät </w:t>
      </w:r>
      <w:r>
        <w:rPr>
          <w:rFonts w:ascii="Times New Roman" w:hAnsi="Times New Roman"/>
          <w:noProof/>
          <w:lang w:val="fi-FI" w:eastAsia="fi-FI" w:bidi="fi-FI"/>
        </w:rPr>
        <w:t>normin ja ovat kasvaneet vuonna 2017 suurten vaihtotaseen ylijäämien myötä. Alankomaissa ja Tanskassa ulkomainen nettovarallisuusasema heikkeni negatiivisten arvostusvaikutusten vuoksi marginaalisesti. Maltan ja Alankomaiden ulkomaiset nettovarallisuusasem</w:t>
      </w:r>
      <w:r>
        <w:rPr>
          <w:rFonts w:ascii="Times New Roman" w:hAnsi="Times New Roman"/>
          <w:noProof/>
          <w:lang w:val="fi-FI" w:eastAsia="fi-FI" w:bidi="fi-FI"/>
        </w:rPr>
        <w:t>at olivat vuoden 2017 lopussa noin 60 prosenttia suhteessa BKT:hen, ja Belgian, Tanskan ja Saksan yli 50 prosenttia</w:t>
      </w:r>
      <w:r>
        <w:rPr>
          <w:rFonts w:ascii="Times New Roman" w:hAnsi="Times New Roman"/>
          <w:noProof/>
          <w:vertAlign w:val="superscript"/>
          <w:lang w:val="fi-FI" w:eastAsia="fi-FI" w:bidi="fi-FI"/>
        </w:rPr>
        <w:footnoteReference w:id="20"/>
      </w:r>
      <w:r>
        <w:rPr>
          <w:rFonts w:ascii="Times New Roman" w:hAnsi="Times New Roman"/>
          <w:noProof/>
          <w:lang w:val="fi-FI" w:eastAsia="fi-FI" w:bidi="fi-FI"/>
        </w:rPr>
        <w:t xml:space="preserve">. </w:t>
      </w: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 xml:space="preserve">Kuvio </w:t>
      </w:r>
      <w:r>
        <w:rPr>
          <w:rFonts w:ascii="Times New Roman" w:eastAsia="MS Mincho" w:hAnsi="Times New Roman" w:cs="Times New Roman"/>
          <w:b/>
          <w:bCs/>
          <w:noProof/>
          <w:lang w:val="fi-FI" w:eastAsia="fi-FI" w:bidi="fi-FI"/>
        </w:rPr>
        <w:fldChar w:fldCharType="begin" w:fldLock="1"/>
      </w:r>
      <w:r>
        <w:rPr>
          <w:rFonts w:ascii="Times New Roman" w:eastAsia="MS Mincho" w:hAnsi="Times New Roman" w:cs="Times New Roman"/>
          <w:b/>
          <w:bCs/>
          <w:noProof/>
          <w:lang w:val="fi-FI" w:eastAsia="fi-FI" w:bidi="fi-FI"/>
        </w:rPr>
        <w:instrText xml:space="preserve"> SEQ Graph \* ARABIC </w:instrText>
      </w:r>
      <w:r>
        <w:rPr>
          <w:rFonts w:ascii="Times New Roman" w:eastAsia="MS Mincho" w:hAnsi="Times New Roman" w:cs="Times New Roman"/>
          <w:b/>
          <w:bCs/>
          <w:noProof/>
          <w:lang w:val="fi-FI" w:eastAsia="fi-FI" w:bidi="fi-FI"/>
        </w:rPr>
        <w:fldChar w:fldCharType="separate"/>
      </w:r>
      <w:r>
        <w:rPr>
          <w:rFonts w:ascii="Times New Roman" w:eastAsia="MS Mincho" w:hAnsi="Times New Roman" w:cs="Times New Roman"/>
          <w:b/>
          <w:bCs/>
          <w:noProof/>
          <w:lang w:val="fi-FI" w:eastAsia="fi-FI" w:bidi="fi-FI"/>
        </w:rPr>
        <w:t>4</w:t>
      </w:r>
      <w:r>
        <w:rPr>
          <w:rFonts w:ascii="Times New Roman" w:eastAsia="MS Mincho" w:hAnsi="Times New Roman" w:cs="Times New Roman"/>
          <w:b/>
          <w:bCs/>
          <w:noProof/>
          <w:lang w:val="fi-FI" w:eastAsia="fi-FI" w:bidi="fi-FI"/>
        </w:rPr>
        <w:fldChar w:fldCharType="end"/>
      </w:r>
      <w:r>
        <w:rPr>
          <w:rFonts w:ascii="Times New Roman" w:hAnsi="Times New Roman"/>
          <w:b/>
          <w:noProof/>
          <w:lang w:val="fi-FI" w:eastAsia="fi-FI" w:bidi="fi-FI"/>
        </w:rPr>
        <w:t>: Ulkomaiset nettovarallisuusasemat (NIIP) ja vertailuarvot vuonna 2017</w:t>
      </w:r>
    </w:p>
    <w:p w:rsidR="00876CA6" w:rsidRDefault="0031278A">
      <w:pPr>
        <w:keepNext/>
        <w:spacing w:before="120" w:after="120"/>
        <w:jc w:val="center"/>
        <w:rPr>
          <w:rFonts w:ascii="Times New Roman" w:eastAsia="MS Mincho" w:hAnsi="Times New Roman" w:cs="Times New Roman"/>
          <w:b/>
          <w:bCs/>
          <w:noProof/>
          <w:sz w:val="24"/>
          <w:szCs w:val="20"/>
          <w:lang w:val="fi-FI" w:eastAsia="fi-FI" w:bidi="fi-FI"/>
        </w:rPr>
      </w:pPr>
      <w:r>
        <w:rPr>
          <w:noProof/>
          <w:lang w:eastAsia="en-GB"/>
        </w:rPr>
        <w:drawing>
          <wp:inline distT="0" distB="0" distL="0" distR="0">
            <wp:extent cx="5066024" cy="3025140"/>
            <wp:effectExtent l="0" t="0" r="190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6024" cy="3025140"/>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 (BPM6, EKT-10), komission yksiköiden laskelmat. </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laskevassa järjestyksessä sen perusteella, mikä ulkomaisen nettovarallisuusaseman suhde BKT:hen oli vuonna 2017. NENDI on ulkomainen nettovarallisuusasem ilman maksukyvyttömyys</w:t>
      </w:r>
      <w:r>
        <w:rPr>
          <w:rFonts w:ascii="Times New Roman" w:hAnsi="Times New Roman"/>
          <w:noProof/>
          <w:sz w:val="20"/>
          <w:lang w:val="fi-FI" w:eastAsia="fi-FI" w:bidi="fi-FI"/>
        </w:rPr>
        <w:t xml:space="preserve">riskittömiä instrumentteja, ks. lisätietoja tekstikehyksessä 1. Norminmukaisen ulkomaisen nettovarallisuusaseman ja ulkomaisen nettovarallisuusaseman varovaisuuskynnysarvon osalta ks. alaviite </w:t>
      </w:r>
      <w:r>
        <w:rPr>
          <w:rFonts w:ascii="Times New Roman" w:eastAsia="Times New Roman" w:hAnsi="Times New Roman" w:cs="Times New Roman"/>
          <w:noProof/>
          <w:sz w:val="20"/>
          <w:szCs w:val="20"/>
          <w:lang w:val="fi-FI" w:eastAsia="fi-FI" w:bidi="fi-FI"/>
        </w:rPr>
        <w:fldChar w:fldCharType="begin" w:fldLock="1"/>
      </w:r>
      <w:r>
        <w:rPr>
          <w:rFonts w:ascii="Times New Roman" w:eastAsia="Times New Roman" w:hAnsi="Times New Roman" w:cs="Times New Roman"/>
          <w:noProof/>
          <w:sz w:val="20"/>
          <w:szCs w:val="20"/>
          <w:lang w:val="fi-FI" w:eastAsia="fi-FI" w:bidi="fi-FI"/>
        </w:rPr>
        <w:instrText xml:space="preserve"> NOTEREF _Ref526336022 \h  \* MERGEFORMAT </w:instrText>
      </w:r>
      <w:r>
        <w:rPr>
          <w:rFonts w:ascii="Times New Roman" w:eastAsia="Times New Roman" w:hAnsi="Times New Roman" w:cs="Times New Roman"/>
          <w:noProof/>
          <w:sz w:val="20"/>
          <w:szCs w:val="20"/>
          <w:lang w:val="fi-FI" w:eastAsia="fi-FI" w:bidi="fi-FI"/>
        </w:rPr>
      </w:r>
      <w:r>
        <w:rPr>
          <w:rFonts w:ascii="Times New Roman" w:eastAsia="Times New Roman" w:hAnsi="Times New Roman" w:cs="Times New Roman"/>
          <w:noProof/>
          <w:sz w:val="20"/>
          <w:szCs w:val="20"/>
          <w:lang w:val="fi-FI" w:eastAsia="fi-FI" w:bidi="fi-FI"/>
        </w:rPr>
        <w:fldChar w:fldCharType="separate"/>
      </w:r>
      <w:r>
        <w:rPr>
          <w:rFonts w:ascii="Times New Roman" w:eastAsia="Times New Roman" w:hAnsi="Times New Roman" w:cs="Times New Roman"/>
          <w:noProof/>
          <w:sz w:val="20"/>
          <w:szCs w:val="20"/>
          <w:lang w:val="fi-FI" w:eastAsia="fi-FI" w:bidi="fi-FI"/>
        </w:rPr>
        <w:t>18</w:t>
      </w:r>
      <w:r>
        <w:rPr>
          <w:rFonts w:ascii="Times New Roman" w:eastAsia="Times New Roman" w:hAnsi="Times New Roman" w:cs="Times New Roman"/>
          <w:noProof/>
          <w:sz w:val="20"/>
          <w:szCs w:val="20"/>
          <w:lang w:val="fi-FI" w:eastAsia="fi-FI" w:bidi="fi-FI"/>
        </w:rPr>
        <w:fldChar w:fldCharType="end"/>
      </w:r>
      <w:r>
        <w:rPr>
          <w:rFonts w:ascii="Times New Roman" w:hAnsi="Times New Roman"/>
          <w:noProof/>
          <w:sz w:val="20"/>
          <w:lang w:val="fi-FI" w:eastAsia="fi-FI" w:bidi="fi-FI"/>
        </w:rPr>
        <w:t xml:space="preserve">. </w:t>
      </w:r>
    </w:p>
    <w:p w:rsidR="00876CA6" w:rsidRDefault="00876CA6">
      <w:pPr>
        <w:keepNext/>
        <w:spacing w:after="0"/>
        <w:jc w:val="center"/>
        <w:rPr>
          <w:rFonts w:ascii="Times New Roman" w:eastAsia="MS Mincho" w:hAnsi="Times New Roman" w:cs="Times New Roman"/>
          <w:b/>
          <w:bCs/>
          <w:noProof/>
          <w:lang w:val="fi-FI" w:eastAsia="fi-FI" w:bidi="fi-FI"/>
        </w:rPr>
      </w:pP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 xml:space="preserve">Kuvio </w:t>
      </w:r>
      <w:r>
        <w:rPr>
          <w:rFonts w:ascii="Times New Roman" w:eastAsia="MS Mincho" w:hAnsi="Times New Roman" w:cs="Times New Roman"/>
          <w:b/>
          <w:bCs/>
          <w:noProof/>
          <w:lang w:val="fi-FI" w:eastAsia="fi-FI" w:bidi="fi-FI"/>
        </w:rPr>
        <w:fldChar w:fldCharType="begin" w:fldLock="1"/>
      </w:r>
      <w:r>
        <w:rPr>
          <w:rFonts w:ascii="Times New Roman" w:eastAsia="MS Mincho" w:hAnsi="Times New Roman" w:cs="Times New Roman"/>
          <w:b/>
          <w:bCs/>
          <w:noProof/>
          <w:lang w:val="fi-FI" w:eastAsia="fi-FI" w:bidi="fi-FI"/>
        </w:rPr>
        <w:instrText xml:space="preserve"> SEQ Graph \* ARABIC </w:instrText>
      </w:r>
      <w:r>
        <w:rPr>
          <w:rFonts w:ascii="Times New Roman" w:eastAsia="MS Mincho" w:hAnsi="Times New Roman" w:cs="Times New Roman"/>
          <w:b/>
          <w:bCs/>
          <w:noProof/>
          <w:lang w:val="fi-FI" w:eastAsia="fi-FI" w:bidi="fi-FI"/>
        </w:rPr>
        <w:fldChar w:fldCharType="separate"/>
      </w:r>
      <w:r>
        <w:rPr>
          <w:rFonts w:ascii="Times New Roman" w:eastAsia="MS Mincho" w:hAnsi="Times New Roman" w:cs="Times New Roman"/>
          <w:b/>
          <w:bCs/>
          <w:noProof/>
          <w:lang w:val="fi-FI" w:eastAsia="fi-FI" w:bidi="fi-FI"/>
        </w:rPr>
        <w:t>5</w:t>
      </w:r>
      <w:r>
        <w:rPr>
          <w:rFonts w:ascii="Times New Roman" w:eastAsia="MS Mincho" w:hAnsi="Times New Roman" w:cs="Times New Roman"/>
          <w:b/>
          <w:bCs/>
          <w:noProof/>
          <w:lang w:val="fi-FI" w:eastAsia="fi-FI" w:bidi="fi-FI"/>
        </w:rPr>
        <w:fldChar w:fldCharType="end"/>
      </w:r>
      <w:r>
        <w:rPr>
          <w:rFonts w:ascii="Times New Roman" w:hAnsi="Times New Roman"/>
          <w:b/>
          <w:noProof/>
          <w:lang w:val="fi-FI" w:eastAsia="fi-FI" w:bidi="fi-FI"/>
        </w:rPr>
        <w:t>: Ulkomaisten nettovarallisuusasemien kehitys</w:t>
      </w:r>
    </w:p>
    <w:p w:rsidR="00876CA6" w:rsidRDefault="0031278A">
      <w:pPr>
        <w:tabs>
          <w:tab w:val="left" w:pos="720"/>
        </w:tabs>
        <w:spacing w:before="120" w:after="120"/>
        <w:ind w:left="425"/>
        <w:jc w:val="both"/>
        <w:rPr>
          <w:rFonts w:ascii="Times New Roman" w:eastAsia="Times New Roman" w:hAnsi="Times New Roman" w:cs="Times New Roman"/>
          <w:noProof/>
          <w:sz w:val="24"/>
          <w:szCs w:val="20"/>
          <w:lang w:val="fi-FI" w:eastAsia="fi-FI" w:bidi="fi-FI"/>
        </w:rPr>
      </w:pPr>
      <w:r>
        <w:rPr>
          <w:noProof/>
          <w:lang w:eastAsia="en-GB"/>
        </w:rPr>
        <w:drawing>
          <wp:inline distT="0" distB="0" distL="0" distR="0">
            <wp:extent cx="4770120" cy="295191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7113" cy="2956241"/>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 xml:space="preserve">Lähde: </w:t>
      </w:r>
      <w:r>
        <w:rPr>
          <w:rFonts w:ascii="Times New Roman" w:hAnsi="Times New Roman"/>
          <w:noProof/>
          <w:sz w:val="20"/>
          <w:lang w:val="fi-FI" w:eastAsia="fi-FI" w:bidi="fi-FI"/>
        </w:rPr>
        <w:t>Eurostat</w:t>
      </w:r>
    </w:p>
    <w:p w:rsidR="00876CA6" w:rsidRDefault="0031278A">
      <w:pPr>
        <w:spacing w:after="0"/>
        <w:jc w:val="both"/>
        <w:rPr>
          <w:rFonts w:ascii="Times New Roman" w:hAnsi="Times New Roman"/>
          <w:noProof/>
          <w:sz w:val="20"/>
          <w:lang w:val="fi-FI" w:eastAsia="fi-FI" w:bidi="fi-FI"/>
        </w:rPr>
      </w:pPr>
      <w:r>
        <w:rPr>
          <w:rFonts w:ascii="Times New Roman" w:hAnsi="Times New Roman"/>
          <w:noProof/>
          <w:sz w:val="20"/>
          <w:lang w:val="fi-FI" w:eastAsia="fi-FI" w:bidi="fi-FI"/>
        </w:rPr>
        <w:t xml:space="preserve">Huom. Maat esitetään laskevassa järjestyksessä, joka perustuu ulkomaisen </w:t>
      </w:r>
      <w:r>
        <w:rPr>
          <w:rFonts w:ascii="Times New Roman" w:hAnsi="Times New Roman"/>
          <w:noProof/>
          <w:sz w:val="20"/>
          <w:lang w:val="fi-FI" w:eastAsia="fi-FI" w:bidi="fi-FI"/>
        </w:rPr>
        <w:t>nettovarallisuusaseman ja BKT:n suhteen vaihteluun vuonna 2017.</w:t>
      </w:r>
    </w:p>
    <w:p w:rsidR="00876CA6" w:rsidRDefault="0031278A">
      <w:pPr>
        <w:rPr>
          <w:noProof/>
          <w:lang w:val="fi-FI" w:eastAsia="fi-FI" w:bidi="fi-FI"/>
        </w:rPr>
      </w:pPr>
      <w:r>
        <w:rPr>
          <w:noProof/>
          <w:lang w:val="fi-FI" w:eastAsia="fi-FI" w:bidi="fi-FI"/>
        </w:rPr>
        <w:br w:type="page"/>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Kustannuskilpailukyvyn kehitys tukee tasapainottamista vähemmän. </w:t>
      </w:r>
      <w:r>
        <w:rPr>
          <w:rFonts w:ascii="Times New Roman" w:hAnsi="Times New Roman"/>
          <w:noProof/>
          <w:lang w:val="fi-FI" w:eastAsia="fi-FI" w:bidi="fi-FI"/>
        </w:rPr>
        <w:t xml:space="preserve">Kriisin jälkeisiä yksikkötyökustannusten kehityssuuntauksia leimasi suhteellisen heikko dynamiikka maissa, joissa kysyntä on </w:t>
      </w:r>
      <w:r>
        <w:rPr>
          <w:rFonts w:ascii="Times New Roman" w:hAnsi="Times New Roman"/>
          <w:noProof/>
          <w:lang w:val="fi-FI" w:eastAsia="fi-FI" w:bidi="fi-FI"/>
        </w:rPr>
        <w:t>vähentynyt suurten vaihtotaseen alijäämien purkautumisen jälkeen. Yksikkötyökustannusten kasvu käynnistyi uudelleen talouden elpymisen myötä, mutta se pysyi suhteellisen laimeana työmarkkinoiden kiristymisestä huolimatta. Yksikkötyökustannusten kasvu kiiht</w:t>
      </w:r>
      <w:r>
        <w:rPr>
          <w:rFonts w:ascii="Times New Roman" w:hAnsi="Times New Roman"/>
          <w:noProof/>
          <w:lang w:val="fi-FI" w:eastAsia="fi-FI" w:bidi="fi-FI"/>
        </w:rPr>
        <w:t>yi selvästi useissa Keski- ja Itä-Euroopan maissa: vuodesta 2012 alkaen Bulgariassa ja Virossa, vuodesta 2013 alkaen Latviassa ja Liettuassa ja vuodesta 2016 alkaen Romaniassa, Tšekissä ja Unkarissa. Yksikkötyökustannusten kasvu on kiihtynyt edelleen vuonn</w:t>
      </w:r>
      <w:r>
        <w:rPr>
          <w:rFonts w:ascii="Times New Roman" w:hAnsi="Times New Roman"/>
          <w:noProof/>
          <w:lang w:val="fi-FI" w:eastAsia="fi-FI" w:bidi="fi-FI"/>
        </w:rPr>
        <w:t>a 2017 useimmissa jäsenvaltioissa talouden laajentumisen lujittuessa, mutta työvoimakustannukset eivät kuitenkaan ole nousseet merkittävästi suurissa nettovelkojamaissa. Vuonna 2016 alkaneen suuntauksen kohti sellaista kustannuskilpailukyvyn kehitystä, jok</w:t>
      </w:r>
      <w:r>
        <w:rPr>
          <w:rFonts w:ascii="Times New Roman" w:hAnsi="Times New Roman"/>
          <w:noProof/>
          <w:lang w:val="fi-FI" w:eastAsia="fi-FI" w:bidi="fi-FI"/>
        </w:rPr>
        <w:t xml:space="preserve">a tukee vähemmän tasapainottamista, voidaan tämän vuoksi katsoa jatkuvan edelleen (ks. myös tekstikehys 2). </w:t>
      </w:r>
    </w:p>
    <w:p w:rsidR="00876CA6" w:rsidRDefault="0031278A">
      <w:pPr>
        <w:numPr>
          <w:ilvl w:val="0"/>
          <w:numId w:val="5"/>
        </w:numPr>
        <w:spacing w:before="120" w:after="120"/>
        <w:ind w:left="567" w:hanging="425"/>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Yksikkötyökustannukset ovat kasvaneet useimmissa jäsenvaltioissa.</w:t>
      </w:r>
      <w:r>
        <w:rPr>
          <w:rFonts w:ascii="Times New Roman" w:hAnsi="Times New Roman"/>
          <w:noProof/>
          <w:lang w:val="fi-FI" w:eastAsia="fi-FI" w:bidi="fi-FI"/>
        </w:rPr>
        <w:t xml:space="preserve"> Yksikkötyökustannukset ovat kasvaneet viime vuosina erityisen voimakkaasti Bulgar</w:t>
      </w:r>
      <w:r>
        <w:rPr>
          <w:rFonts w:ascii="Times New Roman" w:hAnsi="Times New Roman"/>
          <w:noProof/>
          <w:lang w:val="fi-FI" w:eastAsia="fi-FI" w:bidi="fi-FI"/>
        </w:rPr>
        <w:t xml:space="preserve">iassa, Latviassa, Liettuassa ja Virossa (kuvio </w:t>
      </w:r>
      <w:r>
        <w:rPr>
          <w:rFonts w:ascii="Times New Roman" w:eastAsia="MS Mincho" w:hAnsi="Times New Roman" w:cs="Times New Roman"/>
          <w:bCs/>
          <w:noProof/>
          <w:lang w:val="fi-FI" w:eastAsia="fi-FI" w:bidi="fi-FI"/>
        </w:rPr>
        <w:fldChar w:fldCharType="begin" w:fldLock="1"/>
      </w:r>
      <w:r>
        <w:rPr>
          <w:rFonts w:ascii="Times New Roman" w:eastAsia="MS Mincho" w:hAnsi="Times New Roman" w:cs="Times New Roman"/>
          <w:bCs/>
          <w:noProof/>
          <w:lang w:val="fi-FI" w:eastAsia="fi-FI" w:bidi="fi-FI"/>
        </w:rPr>
        <w:instrText xml:space="preserve"> SEQ Graph \* ARABIC </w:instrText>
      </w:r>
      <w:r>
        <w:rPr>
          <w:rFonts w:ascii="Times New Roman" w:eastAsia="MS Mincho" w:hAnsi="Times New Roman" w:cs="Times New Roman"/>
          <w:bCs/>
          <w:noProof/>
          <w:lang w:val="fi-FI" w:eastAsia="fi-FI" w:bidi="fi-FI"/>
        </w:rPr>
        <w:fldChar w:fldCharType="separate"/>
      </w:r>
      <w:r>
        <w:rPr>
          <w:rFonts w:ascii="Times New Roman" w:eastAsia="MS Mincho" w:hAnsi="Times New Roman" w:cs="Times New Roman"/>
          <w:bCs/>
          <w:noProof/>
          <w:lang w:val="fi-FI" w:eastAsia="fi-FI" w:bidi="fi-FI"/>
        </w:rPr>
        <w:t>6</w:t>
      </w:r>
      <w:r>
        <w:rPr>
          <w:rFonts w:ascii="Times New Roman" w:eastAsia="MS Mincho" w:hAnsi="Times New Roman" w:cs="Times New Roman"/>
          <w:bCs/>
          <w:noProof/>
          <w:lang w:val="fi-FI" w:eastAsia="fi-FI" w:bidi="fi-FI"/>
        </w:rPr>
        <w:fldChar w:fldCharType="end"/>
      </w:r>
      <w:r>
        <w:rPr>
          <w:rFonts w:ascii="Times New Roman" w:hAnsi="Times New Roman"/>
          <w:noProof/>
          <w:lang w:val="fi-FI" w:eastAsia="fi-FI" w:bidi="fi-FI"/>
        </w:rPr>
        <w:t xml:space="preserve">). Kaikki nämä maat ylittävät tulostaulun kynnysarvon. Vuonna 2017 yksikkötyökustannusten kasvu nopeutui edellisvuosiin verrattuna selvästi Bulgariassa ja Romaniassa ja vähäisemmässä </w:t>
      </w:r>
      <w:r>
        <w:rPr>
          <w:rFonts w:ascii="Times New Roman" w:hAnsi="Times New Roman"/>
          <w:noProof/>
          <w:lang w:val="fi-FI" w:eastAsia="fi-FI" w:bidi="fi-FI"/>
        </w:rPr>
        <w:t>määrin myös Tšekissä, Luxemburgissa ja Slovakiassa. Vuotta 2018 koskevat arviot viittaavat siihen, että yksikkötyökustannusten dynaaminen kehitys jatkuu niistä useissa. Yksikkötyökustannusten kasvu kiihtyi selvemmin Latviassa, Liettuassa, Romaniassa, Tšeki</w:t>
      </w:r>
      <w:r>
        <w:rPr>
          <w:rFonts w:ascii="Times New Roman" w:hAnsi="Times New Roman"/>
          <w:noProof/>
          <w:lang w:val="fi-FI" w:eastAsia="fi-FI" w:bidi="fi-FI"/>
        </w:rPr>
        <w:t>ssä ja Unkarissa ja hidastui Bulgariassa, jossa ne ovat kuitenkin edelleen korkealla tasolla.</w:t>
      </w:r>
    </w:p>
    <w:p w:rsidR="00876CA6" w:rsidRDefault="0031278A">
      <w:pPr>
        <w:numPr>
          <w:ilvl w:val="0"/>
          <w:numId w:val="5"/>
        </w:numPr>
        <w:spacing w:before="120" w:after="120"/>
        <w:ind w:left="567" w:hanging="425"/>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Yksikkötyökustannusten kasvusuuntaukset eri maissa heijastavat pitkälti eroja työmarkkinoiden kireydessä.</w:t>
      </w:r>
      <w:r>
        <w:rPr>
          <w:rFonts w:ascii="Times New Roman" w:hAnsi="Times New Roman"/>
          <w:noProof/>
          <w:lang w:val="fi-FI" w:eastAsia="fi-FI" w:bidi="fi-FI"/>
        </w:rPr>
        <w:t xml:space="preserve"> Maat, joissa yksikkötyökustannukset ovat kasvaneet nopei</w:t>
      </w:r>
      <w:r>
        <w:rPr>
          <w:rFonts w:ascii="Times New Roman" w:hAnsi="Times New Roman"/>
          <w:noProof/>
          <w:lang w:val="fi-FI" w:eastAsia="fi-FI" w:bidi="fi-FI"/>
        </w:rPr>
        <w:t>mmin, ovat yleensä niitä, joissa työttömyysasteet ovat alhaisempia (kuvio 8). Maissa, joissa BKT:n kasvu on ollut nopeaa viime vuosina, erityisesti Baltian maissa ja monissa muissa Itä-Euroopan maissa, työttömyysasteet ovat alhaisia tai kohtuullisia ja yks</w:t>
      </w:r>
      <w:r>
        <w:rPr>
          <w:rFonts w:ascii="Times New Roman" w:hAnsi="Times New Roman"/>
          <w:noProof/>
          <w:lang w:val="fi-FI" w:eastAsia="fi-FI" w:bidi="fi-FI"/>
        </w:rPr>
        <w:t>ikkötyökustannusten kasvuasteet korkeita. Sitä vastoin työvoimakustannusten kehitys on yleensä hillitympää maissa, joissa työttömyys on korkea. Tällainen suhde on odotettavissa Phillipsin käyrän dynamiikasta, mutta se pitää paikkansa vain löyhästi, sillä j</w:t>
      </w:r>
      <w:r>
        <w:rPr>
          <w:rFonts w:ascii="Times New Roman" w:hAnsi="Times New Roman"/>
          <w:noProof/>
          <w:lang w:val="fi-FI" w:eastAsia="fi-FI" w:bidi="fi-FI"/>
        </w:rPr>
        <w:t>oissakin maissa yksikkötyökustannusten kasvu on selvästi nopeampaa kuin mitä suhteen perusteella voitaisiin odottaa, erityisesti Baltian maissa, Bulgariassa, Romaniassa, Tšekissä ja Unkarissa. Samaan aikaan joissakin muissa maissa yksikkötyökustannusten ka</w:t>
      </w:r>
      <w:r>
        <w:rPr>
          <w:rFonts w:ascii="Times New Roman" w:hAnsi="Times New Roman"/>
          <w:noProof/>
          <w:lang w:val="fi-FI" w:eastAsia="fi-FI" w:bidi="fi-FI"/>
        </w:rPr>
        <w:t>svu on ollut odotettua hitaampaa (esim. Irlannissa, Kroatiassa ja Suomessa). Ensin mainitussa ryhmässä palkkojen voimakas nousu voi liittyä myös työvoimapulaan, joka on yhteydessä lähtömuuttoon, osaamisvajeeseen ja osaamisen kohtaanto-ongelmaan</w:t>
      </w:r>
      <w:r>
        <w:rPr>
          <w:rFonts w:ascii="Times New Roman" w:hAnsi="Times New Roman"/>
          <w:noProof/>
          <w:vertAlign w:val="superscript"/>
          <w:lang w:val="fi-FI" w:eastAsia="fi-FI" w:bidi="fi-FI"/>
        </w:rPr>
        <w:footnoteReference w:id="21"/>
      </w:r>
      <w:r>
        <w:rPr>
          <w:rFonts w:ascii="Times New Roman" w:hAnsi="Times New Roman"/>
          <w:noProof/>
          <w:lang w:val="fi-FI" w:eastAsia="fi-FI" w:bidi="fi-FI"/>
        </w:rPr>
        <w:t>.</w:t>
      </w:r>
    </w:p>
    <w:p w:rsidR="00876CA6" w:rsidRDefault="0031278A">
      <w:pPr>
        <w:numPr>
          <w:ilvl w:val="0"/>
          <w:numId w:val="5"/>
        </w:numPr>
        <w:spacing w:before="120" w:after="120"/>
        <w:ind w:left="567" w:hanging="425"/>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Nimellisp</w:t>
      </w:r>
      <w:r>
        <w:rPr>
          <w:rFonts w:ascii="Times New Roman" w:hAnsi="Times New Roman"/>
          <w:b/>
          <w:noProof/>
          <w:lang w:val="fi-FI" w:eastAsia="fi-FI" w:bidi="fi-FI"/>
        </w:rPr>
        <w:t>alkkojen nousu vaikutti eniten vuonna 2017 havaittuun yksikkötyökustannusten kasvuun.</w:t>
      </w:r>
      <w:r>
        <w:rPr>
          <w:rFonts w:ascii="Times New Roman" w:hAnsi="Times New Roman"/>
          <w:noProof/>
          <w:lang w:val="fi-FI" w:eastAsia="fi-FI" w:bidi="fi-FI"/>
        </w:rPr>
        <w:t xml:space="preserve"> Useimmissa jäsenvaltioissa nimellispalkkojen nousu vaikutti eniten yksikkötyökustannusten kasvuun, ja työn tuottavuuden merkitys oli suhteellisesti vähäisempi. Työn tuott</w:t>
      </w:r>
      <w:r>
        <w:rPr>
          <w:rFonts w:ascii="Times New Roman" w:hAnsi="Times New Roman"/>
          <w:noProof/>
          <w:lang w:val="fi-FI" w:eastAsia="fi-FI" w:bidi="fi-FI"/>
        </w:rPr>
        <w:t xml:space="preserve">avuus on yleisesti ottaen vaikuttanut hidastamalla yksikkötyökustannusten kasvua sekä pääomaintensiteetin että kokonaistuottavuuden kasvun kautta, kun taas työtuntien väheneminen merkitsee usein alhaisempaa tuottavuutta (kuvio 7). </w:t>
      </w:r>
    </w:p>
    <w:p w:rsidR="00876CA6" w:rsidRDefault="0031278A">
      <w:pPr>
        <w:numPr>
          <w:ilvl w:val="0"/>
          <w:numId w:val="5"/>
        </w:numPr>
        <w:spacing w:before="120" w:after="120"/>
        <w:ind w:left="567" w:hanging="425"/>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Yksikkötyökustannusten k</w:t>
      </w:r>
      <w:r>
        <w:rPr>
          <w:rFonts w:ascii="Times New Roman" w:hAnsi="Times New Roman"/>
          <w:b/>
          <w:noProof/>
          <w:lang w:val="fi-FI" w:eastAsia="fi-FI" w:bidi="fi-FI"/>
        </w:rPr>
        <w:t xml:space="preserve">asvusuuntausten yhteys ulkoisen tasapainottamisen tarpeisiin on käymässä yhä heikommaksi. </w:t>
      </w:r>
      <w:r>
        <w:rPr>
          <w:rFonts w:ascii="Times New Roman" w:hAnsi="Times New Roman"/>
          <w:noProof/>
          <w:lang w:val="fi-FI" w:eastAsia="fi-FI" w:bidi="fi-FI"/>
        </w:rPr>
        <w:t>Kriisiaikana työttömyys oli yleisesti suurempi nettovelallismaissa, joissa vaihtotaseen kehitys oli kääntynyt vastakkaiseen suuntaan ja kysyntä supistunut. Työttömyys</w:t>
      </w:r>
      <w:r>
        <w:rPr>
          <w:rFonts w:ascii="Times New Roman" w:hAnsi="Times New Roman"/>
          <w:noProof/>
          <w:lang w:val="fi-FI" w:eastAsia="fi-FI" w:bidi="fi-FI"/>
        </w:rPr>
        <w:t xml:space="preserve">asteet ovat lähentyneet talouden elpymisen käynnistymisestä alkaen, mikä viittaa siihen, että yksikkötyökustannusten kasvusuuntaukset, jotka pitkälti heijastavat työmarkkinoiden kireyttä, ovat yhä vähemmän yhteydessä ulkoisen tasapainottamisen tarpeisiin. </w:t>
      </w:r>
      <w:r>
        <w:rPr>
          <w:rFonts w:ascii="Times New Roman" w:hAnsi="Times New Roman"/>
          <w:noProof/>
          <w:lang w:val="fi-FI" w:eastAsia="fi-FI" w:bidi="fi-FI"/>
        </w:rPr>
        <w:t>Vuonna 2017 saatiin tavallaan vahvistus jo vuonna 2016 nähdylle suuntaukselle, jonka mukaan yksikkötyökustannukset ovat kasvaneet jälleen joissakin nettovelallismaissa vuosia jatkuneen laskun tai pysähtyneisyyden jälkeen. Kasvua on ollut havaittavissa erit</w:t>
      </w:r>
      <w:r>
        <w:rPr>
          <w:rFonts w:ascii="Times New Roman" w:hAnsi="Times New Roman"/>
          <w:noProof/>
          <w:lang w:val="fi-FI" w:eastAsia="fi-FI" w:bidi="fi-FI"/>
        </w:rPr>
        <w:t xml:space="preserve">yisesti Kreikassa, Kyproksessa ja Portugalissa. Samaan aikaan nettovelkojamaiden jatkuvasti kireät työmarkkinat eivät ole toistaiseksi johtaneet palkkojen nousun merkittävään kiihtymiseen. </w:t>
      </w:r>
    </w:p>
    <w:p w:rsidR="00876CA6" w:rsidRDefault="00876CA6">
      <w:pPr>
        <w:spacing w:before="120" w:after="120"/>
        <w:jc w:val="both"/>
        <w:rPr>
          <w:rFonts w:ascii="Times New Roman" w:eastAsia="Times New Roman" w:hAnsi="Times New Roman" w:cs="Times New Roman"/>
          <w:b/>
          <w:noProof/>
          <w:sz w:val="24"/>
          <w:szCs w:val="24"/>
          <w:lang w:val="fi-FI" w:eastAsia="fi-FI" w:bidi="fi-FI"/>
        </w:rPr>
      </w:pPr>
    </w:p>
    <w:p w:rsidR="00876CA6" w:rsidRDefault="0031278A">
      <w:pPr>
        <w:keepNext/>
        <w:spacing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6: Yksikkötyökustannusten kasvu viime vuosina</w:t>
      </w:r>
    </w:p>
    <w:p w:rsidR="00876CA6" w:rsidRDefault="0031278A">
      <w:pPr>
        <w:spacing w:after="120"/>
        <w:jc w:val="center"/>
        <w:rPr>
          <w:rFonts w:ascii="Times New Roman" w:eastAsia="Times New Roman" w:hAnsi="Times New Roman" w:cs="Times New Roman"/>
          <w:b/>
          <w:noProof/>
          <w:sz w:val="24"/>
          <w:szCs w:val="24"/>
          <w:lang w:val="fi-FI" w:eastAsia="fi-FI" w:bidi="fi-FI"/>
        </w:rPr>
      </w:pPr>
      <w:r>
        <w:rPr>
          <w:noProof/>
          <w:lang w:eastAsia="en-GB"/>
        </w:rPr>
        <w:drawing>
          <wp:inline distT="0" distB="0" distL="0" distR="0">
            <wp:extent cx="5219700" cy="3017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3017520"/>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w:t>
      </w:r>
      <w:r>
        <w:rPr>
          <w:rFonts w:ascii="Times New Roman" w:hAnsi="Times New Roman"/>
          <w:noProof/>
          <w:sz w:val="20"/>
          <w:lang w:val="fi-FI" w:eastAsia="fi-FI" w:bidi="fi-FI"/>
        </w:rPr>
        <w:t xml:space="preserve">O-tietokanta; vuoden 2018 tiedot tulevat Euroopan komission syksyn 2018 talousennusteesta. </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yksikkötyökustannusten kasvun mukaisessa nousevassa järjestyksessä (vuosi 2017).</w:t>
      </w:r>
    </w:p>
    <w:p w:rsidR="00876CA6" w:rsidRDefault="00876CA6">
      <w:pPr>
        <w:spacing w:after="0"/>
        <w:jc w:val="center"/>
        <w:rPr>
          <w:rFonts w:ascii="Times New Roman" w:eastAsia="Times New Roman" w:hAnsi="Times New Roman" w:cs="Times New Roman"/>
          <w:b/>
          <w:noProof/>
          <w:lang w:val="fi-FI" w:eastAsia="fi-FI" w:bidi="fi-FI"/>
        </w:rPr>
      </w:pPr>
    </w:p>
    <w:p w:rsidR="00876CA6" w:rsidRDefault="0031278A">
      <w:pPr>
        <w:keepNext/>
        <w:spacing w:after="120"/>
        <w:jc w:val="center"/>
        <w:rPr>
          <w:rFonts w:ascii="Times New Roman" w:eastAsia="MS Mincho" w:hAnsi="Times New Roman" w:cs="Times New Roman"/>
          <w:b/>
          <w:bCs/>
          <w:noProof/>
          <w:sz w:val="24"/>
          <w:szCs w:val="20"/>
          <w:lang w:val="fi-FI" w:eastAsia="fi-FI" w:bidi="fi-FI"/>
        </w:rPr>
      </w:pPr>
      <w:r>
        <w:rPr>
          <w:rFonts w:ascii="Times New Roman" w:hAnsi="Times New Roman"/>
          <w:b/>
          <w:noProof/>
          <w:lang w:val="fi-FI" w:eastAsia="fi-FI" w:bidi="fi-FI"/>
        </w:rPr>
        <w:t xml:space="preserve">Kuvio 7: Yksikkötyökustannusten kasvu ja sen osatekijät </w:t>
      </w:r>
      <w:r>
        <w:rPr>
          <w:rFonts w:ascii="Times New Roman" w:hAnsi="Times New Roman"/>
          <w:b/>
          <w:noProof/>
          <w:lang w:val="fi-FI" w:eastAsia="fi-FI" w:bidi="fi-FI"/>
        </w:rPr>
        <w:t>vuonna 2017</w:t>
      </w:r>
    </w:p>
    <w:p w:rsidR="00876CA6" w:rsidRDefault="0031278A">
      <w:pPr>
        <w:spacing w:after="120"/>
        <w:jc w:val="center"/>
        <w:rPr>
          <w:rFonts w:ascii="Times New Roman" w:eastAsia="Times New Roman" w:hAnsi="Times New Roman" w:cs="Times New Roman"/>
          <w:b/>
          <w:i/>
          <w:noProof/>
          <w:sz w:val="16"/>
          <w:szCs w:val="20"/>
          <w:lang w:val="fi-FI" w:eastAsia="fi-FI" w:bidi="fi-FI"/>
        </w:rPr>
      </w:pPr>
      <w:r>
        <w:rPr>
          <w:noProof/>
          <w:lang w:eastAsia="en-GB"/>
        </w:rPr>
        <w:drawing>
          <wp:inline distT="0" distB="0" distL="0" distR="0">
            <wp:extent cx="568452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4520" cy="3009900"/>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 ja komission yksiköiden laskelmat.</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yksikkötyökustannusten kasvun mukaisessa nousevassa järjestyksessä (vuosi 2017). Erittely perustuu vakiomalliin, jossa yksikkötyökustannusten kasvu jaetaan nimell</w:t>
      </w:r>
      <w:r>
        <w:rPr>
          <w:rFonts w:ascii="Times New Roman" w:hAnsi="Times New Roman"/>
          <w:noProof/>
          <w:sz w:val="20"/>
          <w:lang w:val="fi-FI" w:eastAsia="fi-FI" w:bidi="fi-FI"/>
        </w:rPr>
        <w:t xml:space="preserve">isen tuntipalkan ja työn tuottavuuden välillä. Työn tuottavuus jaetaan edelleen tehtyihin työtunteihin, kokonaistuottavuuteen ja pääoman muodostukseen käyttämällä yleistä kasvutilinpitomallia. </w:t>
      </w:r>
    </w:p>
    <w:p w:rsidR="00876CA6" w:rsidRDefault="00876CA6">
      <w:pPr>
        <w:spacing w:before="120" w:after="120"/>
        <w:jc w:val="both"/>
        <w:rPr>
          <w:rFonts w:ascii="Times New Roman" w:eastAsia="Times New Roman" w:hAnsi="Times New Roman" w:cs="Times New Roman"/>
          <w:noProof/>
          <w:sz w:val="20"/>
          <w:szCs w:val="20"/>
          <w:lang w:val="fi-FI" w:eastAsia="fi-FI" w:bidi="fi-FI"/>
        </w:rPr>
      </w:pP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8: Yksikkötyökustannusten kasvu ja työttömyysaste</w:t>
      </w:r>
    </w:p>
    <w:p w:rsidR="00876CA6" w:rsidRDefault="0031278A">
      <w:pPr>
        <w:spacing w:before="120" w:after="120"/>
        <w:jc w:val="center"/>
        <w:rPr>
          <w:rFonts w:ascii="Times New Roman" w:eastAsia="Times New Roman" w:hAnsi="Times New Roman" w:cs="Times New Roman"/>
          <w:b/>
          <w:noProof/>
          <w:sz w:val="24"/>
          <w:szCs w:val="24"/>
          <w:lang w:val="fi-FI" w:eastAsia="fi-FI" w:bidi="fi-FI"/>
        </w:rPr>
      </w:pPr>
      <w:r>
        <w:rPr>
          <w:noProof/>
          <w:lang w:eastAsia="en-GB"/>
        </w:rPr>
        <w:drawing>
          <wp:inline distT="0" distB="0" distL="0" distR="0">
            <wp:extent cx="3063240" cy="30403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240" cy="3040380"/>
                    </a:xfrm>
                    <a:prstGeom prst="rect">
                      <a:avLst/>
                    </a:prstGeom>
                    <a:noFill/>
                    <a:ln>
                      <a:noFill/>
                    </a:ln>
                  </pic:spPr>
                </pic:pic>
              </a:graphicData>
            </a:graphic>
          </wp:inline>
        </w:drawing>
      </w:r>
    </w:p>
    <w:p w:rsidR="00876CA6" w:rsidRDefault="0031278A">
      <w:pPr>
        <w:spacing w:before="120" w:after="120"/>
        <w:jc w:val="both"/>
        <w:rPr>
          <w:rFonts w:ascii="Times New Roman" w:eastAsia="Times New Roman" w:hAnsi="Times New Roman" w:cs="Times New Roman"/>
          <w:i/>
          <w:noProof/>
          <w:sz w:val="20"/>
          <w:szCs w:val="24"/>
          <w:lang w:val="fi-FI" w:eastAsia="fi-FI" w:bidi="fi-FI"/>
        </w:rPr>
      </w:pPr>
      <w:r>
        <w:rPr>
          <w:rFonts w:ascii="Times New Roman" w:hAnsi="Times New Roman"/>
          <w:i/>
          <w:noProof/>
          <w:sz w:val="20"/>
          <w:lang w:val="fi-FI" w:eastAsia="fi-FI" w:bidi="fi-FI"/>
        </w:rPr>
        <w:t xml:space="preserve">Lähde: </w:t>
      </w:r>
      <w:r>
        <w:rPr>
          <w:rFonts w:ascii="Times New Roman" w:hAnsi="Times New Roman"/>
          <w:noProof/>
          <w:sz w:val="20"/>
          <w:lang w:val="fi-FI" w:eastAsia="fi-FI" w:bidi="fi-FI"/>
        </w:rPr>
        <w:t>AMECO-tietokanta.</w:t>
      </w:r>
    </w:p>
    <w:p w:rsidR="00876CA6" w:rsidRDefault="00876CA6">
      <w:pPr>
        <w:spacing w:before="120" w:after="120"/>
        <w:jc w:val="center"/>
        <w:rPr>
          <w:rFonts w:ascii="Times New Roman" w:eastAsia="Times New Roman" w:hAnsi="Times New Roman" w:cs="Times New Roman"/>
          <w:b/>
          <w:noProof/>
          <w:sz w:val="24"/>
          <w:szCs w:val="24"/>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Reaalisilla efektiivisillä valuuttakursseilla (REER) mitattu hintakilpailukyvyn kehitys heijastaa yksikkötyökustannuksiin perustuvia kustannuskilpailukyvyn muutoksia vain osittain. </w:t>
      </w:r>
      <w:r>
        <w:rPr>
          <w:rFonts w:ascii="Times New Roman" w:hAnsi="Times New Roman"/>
          <w:noProof/>
          <w:lang w:val="fi-FI" w:eastAsia="fi-FI" w:bidi="fi-FI"/>
        </w:rPr>
        <w:t>Erot yksikkötyökustannusten kasvussa ovat johtane</w:t>
      </w:r>
      <w:r>
        <w:rPr>
          <w:rFonts w:ascii="Times New Roman" w:hAnsi="Times New Roman"/>
          <w:noProof/>
          <w:lang w:val="fi-FI" w:eastAsia="fi-FI" w:bidi="fi-FI"/>
        </w:rPr>
        <w:t>et sekä kustannuskilpailukyvyn parantumiseen että heikentymiseen EU:n jäsenvaltioissa mitattuna yksikkötyökustannuksiin perustuvilla reaalisilla efektiivisillä valuuttakursseilla, joissa otetaan huomioon sekä yksikkötyökustannusten kasvun muutokset verratt</w:t>
      </w:r>
      <w:r>
        <w:rPr>
          <w:rFonts w:ascii="Times New Roman" w:hAnsi="Times New Roman"/>
          <w:noProof/>
          <w:lang w:val="fi-FI" w:eastAsia="fi-FI" w:bidi="fi-FI"/>
        </w:rPr>
        <w:t xml:space="preserve">una kilpailijoihin kotimarkkinoilla ja kansainvälisillä markkinoilla että nimellisten valuuttakurssien kehitys (kuvio 9). </w:t>
      </w:r>
    </w:p>
    <w:p w:rsidR="00876CA6" w:rsidRDefault="0031278A">
      <w:pPr>
        <w:numPr>
          <w:ilvl w:val="0"/>
          <w:numId w:val="15"/>
        </w:numPr>
        <w:spacing w:before="120" w:after="120"/>
        <w:ind w:left="567" w:hanging="425"/>
        <w:jc w:val="both"/>
        <w:rPr>
          <w:rFonts w:ascii="Times New Roman" w:eastAsia="Times New Roman" w:hAnsi="Times New Roman" w:cs="Times New Roman"/>
          <w:b/>
          <w:noProof/>
          <w:lang w:val="fi-FI" w:eastAsia="fi-FI" w:bidi="fi-FI"/>
        </w:rPr>
      </w:pPr>
      <w:r>
        <w:rPr>
          <w:rFonts w:ascii="Times New Roman" w:hAnsi="Times New Roman"/>
          <w:b/>
          <w:noProof/>
          <w:lang w:val="fi-FI" w:eastAsia="fi-FI" w:bidi="fi-FI"/>
        </w:rPr>
        <w:t>Suurimmassa osassa euroalueen jäsenvaltioita yksikkötyökustannuksiin perustuva reaalinen efektiivinen valuuttakurssi on pienentynyt</w:t>
      </w:r>
      <w:r>
        <w:rPr>
          <w:rFonts w:ascii="Times New Roman" w:hAnsi="Times New Roman"/>
          <w:noProof/>
          <w:lang w:val="fi-FI" w:eastAsia="fi-FI" w:bidi="fi-FI"/>
        </w:rPr>
        <w:t xml:space="preserve"> v</w:t>
      </w:r>
      <w:r>
        <w:rPr>
          <w:rFonts w:ascii="Times New Roman" w:hAnsi="Times New Roman"/>
          <w:noProof/>
          <w:lang w:val="fi-FI" w:eastAsia="fi-FI" w:bidi="fi-FI"/>
        </w:rPr>
        <w:t xml:space="preserve">iime vuosina, mikä tarkoittaa sitä, että työvoimakustannusten suhteellinen lasku riitti tasoittamaan euron efektiivisen valuuttakurssin vahvistumista vuodesta 2016. </w:t>
      </w:r>
      <w:r>
        <w:rPr>
          <w:rFonts w:ascii="Times New Roman" w:hAnsi="Times New Roman"/>
          <w:b/>
          <w:noProof/>
          <w:lang w:val="fi-FI" w:eastAsia="fi-FI" w:bidi="fi-FI"/>
        </w:rPr>
        <w:t>Muutamat euroalueen maat, erityisesti Baltian maat, kirjasivat</w:t>
      </w:r>
      <w:r>
        <w:rPr>
          <w:rFonts w:ascii="Times New Roman" w:hAnsi="Times New Roman"/>
          <w:noProof/>
          <w:lang w:val="fi-FI" w:eastAsia="fi-FI" w:bidi="fi-FI"/>
        </w:rPr>
        <w:t xml:space="preserve"> kuitenkin yksikkötyökustannu</w:t>
      </w:r>
      <w:r>
        <w:rPr>
          <w:rFonts w:ascii="Times New Roman" w:hAnsi="Times New Roman"/>
          <w:noProof/>
          <w:lang w:val="fi-FI" w:eastAsia="fi-FI" w:bidi="fi-FI"/>
        </w:rPr>
        <w:t xml:space="preserve">ksiin perustuvalla reaalisella efektiivisellä valuuttakurssilla mitattuja </w:t>
      </w:r>
      <w:r>
        <w:rPr>
          <w:rFonts w:ascii="Times New Roman" w:hAnsi="Times New Roman"/>
          <w:b/>
          <w:noProof/>
          <w:lang w:val="fi-FI" w:eastAsia="fi-FI" w:bidi="fi-FI"/>
        </w:rPr>
        <w:t>kustannuskilpailukyvyn menetyksiä</w:t>
      </w:r>
      <w:r>
        <w:rPr>
          <w:rFonts w:ascii="Times New Roman" w:hAnsi="Times New Roman"/>
          <w:noProof/>
          <w:lang w:val="fi-FI" w:eastAsia="fi-FI" w:bidi="fi-FI"/>
        </w:rPr>
        <w:t>. Euroalueen ulkopuolisissa maissa yksikkötyökustannuksiin perustuvan reaalisen efektiivisen valuuttakurssin muutokset liittyivät enimmäkseen nimelli</w:t>
      </w:r>
      <w:r>
        <w:rPr>
          <w:rFonts w:ascii="Times New Roman" w:hAnsi="Times New Roman"/>
          <w:noProof/>
          <w:lang w:val="fi-FI" w:eastAsia="fi-FI" w:bidi="fi-FI"/>
        </w:rPr>
        <w:t>sten valuuttakurssien vaihteluihin, joita mitataan nimellisillä efektiivisillä valuuttakursseilla (NEER). Valuuttakurssin heikkeneminen paransi kilpailukykyä Puolassa, Romaniassa, Ruotsissa ja Yhdistyneessä kuningaskunnassa. Valuuttakurssin vahvistumisella</w:t>
      </w:r>
      <w:r>
        <w:rPr>
          <w:rFonts w:ascii="Times New Roman" w:hAnsi="Times New Roman"/>
          <w:noProof/>
          <w:lang w:val="fi-FI" w:eastAsia="fi-FI" w:bidi="fi-FI"/>
        </w:rPr>
        <w:t xml:space="preserve"> oli eniten vaikutuksia Bulgariassa ja Tšekissä. Yksikkötyökustannuksiin perustuvan reaalisen efektiivisen valuuttakurssin muutoksilla mitattu kustannuskilpailukyvyn parantuminen on viime vuosina ollut yleensä suurempaa nettovelallismaissa. Tätä koskeva nä</w:t>
      </w:r>
      <w:r>
        <w:rPr>
          <w:rFonts w:ascii="Times New Roman" w:hAnsi="Times New Roman"/>
          <w:noProof/>
          <w:lang w:val="fi-FI" w:eastAsia="fi-FI" w:bidi="fi-FI"/>
        </w:rPr>
        <w:t>yttö vastaa edellä tarkasteltua yksikkötyökustannusten dynamiikkaan liittyvää näyttöä.</w:t>
      </w:r>
    </w:p>
    <w:p w:rsidR="00876CA6" w:rsidRDefault="0031278A">
      <w:pPr>
        <w:numPr>
          <w:ilvl w:val="0"/>
          <w:numId w:val="15"/>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Hintakilpailukyvyn dynamiikka</w:t>
      </w:r>
      <w:r>
        <w:rPr>
          <w:noProof/>
          <w:lang w:val="fi-FI" w:eastAsia="fi-FI" w:bidi="fi-FI"/>
        </w:rPr>
        <w:t xml:space="preserve">, jota mitataan BKT-deflaattoriin perustuvalla reaalisella efektiivisellä valuuttakurssilla, </w:t>
      </w:r>
      <w:r>
        <w:rPr>
          <w:rFonts w:ascii="Times New Roman" w:hAnsi="Times New Roman"/>
          <w:b/>
          <w:noProof/>
          <w:lang w:val="fi-FI" w:eastAsia="fi-FI" w:bidi="fi-FI"/>
        </w:rPr>
        <w:t>on ollut hallitumpaa kuin kustannuskilpailukyvy</w:t>
      </w:r>
      <w:r>
        <w:rPr>
          <w:rFonts w:ascii="Times New Roman" w:hAnsi="Times New Roman"/>
          <w:b/>
          <w:noProof/>
          <w:lang w:val="fi-FI" w:eastAsia="fi-FI" w:bidi="fi-FI"/>
        </w:rPr>
        <w:t>n dynamiikka</w:t>
      </w:r>
      <w:r>
        <w:rPr>
          <w:noProof/>
          <w:lang w:val="fi-FI" w:eastAsia="fi-FI" w:bidi="fi-FI"/>
        </w:rPr>
        <w:t>, jota mitataan yksikkötyökustannuksiin perustuvalla reaalisella efektiivisellä valuuttakurssilla.</w:t>
      </w:r>
      <w:r>
        <w:rPr>
          <w:rFonts w:ascii="Times New Roman" w:hAnsi="Times New Roman"/>
          <w:noProof/>
          <w:lang w:val="fi-FI" w:eastAsia="fi-FI" w:bidi="fi-FI"/>
        </w:rPr>
        <w:t xml:space="preserve"> Tämä merkitsee sitä, että osa yksikkötyökustannusten vaihtelusta on vaikuttanut hintamarginaaleihin sen sijaan, että se olisi siirtynyt hintoihin</w:t>
      </w:r>
      <w:r>
        <w:rPr>
          <w:rFonts w:ascii="Times New Roman" w:hAnsi="Times New Roman"/>
          <w:noProof/>
          <w:lang w:val="fi-FI" w:eastAsia="fi-FI" w:bidi="fi-FI"/>
        </w:rPr>
        <w:t xml:space="preserve"> (kuvio 9). </w:t>
      </w:r>
      <w:r>
        <w:rPr>
          <w:rFonts w:ascii="Times New Roman" w:hAnsi="Times New Roman"/>
          <w:b/>
          <w:noProof/>
          <w:lang w:val="fi-FI" w:eastAsia="fi-FI" w:bidi="fi-FI"/>
        </w:rPr>
        <w:t>Marginaalin supistumista</w:t>
      </w:r>
      <w:r>
        <w:rPr>
          <w:noProof/>
          <w:lang w:val="fi-FI" w:eastAsia="fi-FI" w:bidi="fi-FI"/>
        </w:rPr>
        <w:t xml:space="preserve"> koskeva näyttö oli erityisen voimakasta maissa, joissa kustannuskilpailukyvyn menetykset olivat suuria, erityisesti Baltian maissa, Bulgariassa ja Romaniassa</w:t>
      </w:r>
      <w:r>
        <w:rPr>
          <w:rFonts w:ascii="Times New Roman" w:hAnsi="Times New Roman"/>
          <w:noProof/>
          <w:vertAlign w:val="superscript"/>
          <w:lang w:val="fi-FI" w:eastAsia="fi-FI" w:bidi="fi-FI"/>
        </w:rPr>
        <w:footnoteReference w:id="22"/>
      </w:r>
      <w:r>
        <w:rPr>
          <w:noProof/>
          <w:lang w:val="fi-FI" w:eastAsia="fi-FI" w:bidi="fi-FI"/>
        </w:rPr>
        <w:t>.</w:t>
      </w:r>
      <w:r>
        <w:rPr>
          <w:rFonts w:ascii="Times New Roman" w:hAnsi="Times New Roman"/>
          <w:noProof/>
          <w:lang w:val="fi-FI" w:eastAsia="fi-FI" w:bidi="fi-FI"/>
        </w:rPr>
        <w:t xml:space="preserve"> </w:t>
      </w:r>
    </w:p>
    <w:p w:rsidR="00876CA6" w:rsidRDefault="0031278A">
      <w:pPr>
        <w:numPr>
          <w:ilvl w:val="0"/>
          <w:numId w:val="15"/>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Monissa maissa erittäin maltilliset tai </w:t>
      </w:r>
      <w:r>
        <w:rPr>
          <w:rFonts w:ascii="Times New Roman" w:hAnsi="Times New Roman"/>
          <w:b/>
          <w:noProof/>
          <w:lang w:val="fi-FI" w:eastAsia="fi-FI" w:bidi="fi-FI"/>
        </w:rPr>
        <w:t xml:space="preserve">negatiiviset </w:t>
      </w:r>
      <w:r>
        <w:rPr>
          <w:rFonts w:ascii="Times New Roman" w:hAnsi="Times New Roman"/>
          <w:b/>
          <w:noProof/>
          <w:lang w:val="fi-FI" w:eastAsia="fi-FI" w:bidi="fi-FI"/>
        </w:rPr>
        <w:t>kuluttajahintainflaatioasteet</w:t>
      </w:r>
      <w:r>
        <w:rPr>
          <w:rFonts w:ascii="Times New Roman" w:hAnsi="Times New Roman"/>
          <w:noProof/>
          <w:lang w:val="fi-FI" w:eastAsia="fi-FI" w:bidi="fi-FI"/>
        </w:rPr>
        <w:t xml:space="preserve"> näkyivät voimakkaana </w:t>
      </w:r>
      <w:r>
        <w:rPr>
          <w:rFonts w:ascii="Times New Roman" w:hAnsi="Times New Roman"/>
          <w:b/>
          <w:noProof/>
          <w:lang w:val="fi-FI" w:eastAsia="fi-FI" w:bidi="fi-FI"/>
        </w:rPr>
        <w:t>kilpailukyvyn parantumisena</w:t>
      </w:r>
      <w:r>
        <w:rPr>
          <w:rFonts w:ascii="Times New Roman" w:hAnsi="Times New Roman"/>
          <w:noProof/>
          <w:lang w:val="fi-FI" w:eastAsia="fi-FI" w:bidi="fi-FI"/>
        </w:rPr>
        <w:t xml:space="preserve"> mitattuna yhdenmukaistettuun kuluttajahintaindeksiin perustuvalla efektiivisellä valuuttakurssilla. Kaksi maata, Irlanti ja Kypros, jäivät jopa alle tulostaulun alemman kynnysar</w:t>
      </w:r>
      <w:r>
        <w:rPr>
          <w:rFonts w:ascii="Times New Roman" w:hAnsi="Times New Roman"/>
          <w:noProof/>
          <w:lang w:val="fi-FI" w:eastAsia="fi-FI" w:bidi="fi-FI"/>
        </w:rPr>
        <w:t xml:space="preserve">von vuonna 2017. Useimmissa maissa </w:t>
      </w:r>
      <w:r>
        <w:rPr>
          <w:rFonts w:ascii="Times New Roman" w:hAnsi="Times New Roman"/>
          <w:b/>
          <w:noProof/>
          <w:lang w:val="fi-FI" w:eastAsia="fi-FI" w:bidi="fi-FI"/>
        </w:rPr>
        <w:t>nykyinen kilpailukykytilanne on suotuisampi kuin ennen kriisiä, sillä yhdenmukaistettuun kuluttajahintaindeksiin perustuva reaalinen efektiivinen valuuttakurssi</w:t>
      </w:r>
      <w:r>
        <w:rPr>
          <w:rFonts w:ascii="Times New Roman" w:hAnsi="Times New Roman"/>
          <w:noProof/>
          <w:lang w:val="fi-FI" w:eastAsia="fi-FI" w:bidi="fi-FI"/>
        </w:rPr>
        <w:t xml:space="preserve"> on alhaisempi kuin aiempien huippujen aikana. Reaalinen heik</w:t>
      </w:r>
      <w:r>
        <w:rPr>
          <w:rFonts w:ascii="Times New Roman" w:hAnsi="Times New Roman"/>
          <w:noProof/>
          <w:lang w:val="fi-FI" w:eastAsia="fi-FI" w:bidi="fi-FI"/>
        </w:rPr>
        <w:t>keneminen tapahtui useimmissa tapauksissa samanaikaisesti suljetun sektorin tuotteiden suhteellisen hinnan laskun ja avoimen sektorin osuuden kasvun kanssa, mikä paransi mahdollisuuksia vientivetoiseen kasvudynamiikkaan. Muutamissa maissa, erityisesti Itäv</w:t>
      </w:r>
      <w:r>
        <w:rPr>
          <w:rFonts w:ascii="Times New Roman" w:hAnsi="Times New Roman"/>
          <w:noProof/>
          <w:lang w:val="fi-FI" w:eastAsia="fi-FI" w:bidi="fi-FI"/>
        </w:rPr>
        <w:t xml:space="preserve">allassa, Liettuassa ja Virossa, nykyiset yhdenmukaistettuun kuluttajahintaindeksiin perustuvat reaaliset efektiiviset valuuttakurssit ovat lähellä aikaisempia huippuja tai ylittävät ne. </w:t>
      </w:r>
    </w:p>
    <w:p w:rsidR="00876CA6" w:rsidRDefault="00876CA6">
      <w:pPr>
        <w:spacing w:before="120" w:after="120"/>
        <w:ind w:left="567"/>
        <w:jc w:val="both"/>
        <w:rPr>
          <w:rFonts w:ascii="Times New Roman" w:eastAsia="Times New Roman" w:hAnsi="Times New Roman" w:cs="Times New Roman"/>
          <w:b/>
          <w:noProof/>
          <w:lang w:val="fi-FI" w:eastAsia="fi-FI" w:bidi="fi-FI"/>
        </w:rPr>
      </w:pP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 xml:space="preserve">Kuvio 9: Nimelliset ja reaaliset efektiiviset valuuttakurssit (NEER </w:t>
      </w:r>
      <w:r>
        <w:rPr>
          <w:rFonts w:ascii="Times New Roman" w:hAnsi="Times New Roman"/>
          <w:b/>
          <w:noProof/>
          <w:lang w:val="fi-FI" w:eastAsia="fi-FI" w:bidi="fi-FI"/>
        </w:rPr>
        <w:t>ja REER)</w:t>
      </w:r>
    </w:p>
    <w:p w:rsidR="00876CA6" w:rsidRDefault="0031278A">
      <w:pPr>
        <w:keepNext/>
        <w:spacing w:before="120" w:after="120"/>
        <w:jc w:val="center"/>
        <w:rPr>
          <w:rFonts w:ascii="Times New Roman" w:eastAsia="MS Mincho" w:hAnsi="Times New Roman" w:cs="Times New Roman"/>
          <w:b/>
          <w:bCs/>
          <w:noProof/>
          <w:lang w:val="fi-FI" w:eastAsia="fi-FI" w:bidi="fi-FI"/>
        </w:rPr>
      </w:pPr>
      <w:r>
        <w:rPr>
          <w:noProof/>
          <w:lang w:eastAsia="en-GB"/>
        </w:rPr>
        <w:drawing>
          <wp:inline distT="0" distB="0" distL="0" distR="0">
            <wp:extent cx="5760720" cy="32540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54090"/>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yksikkötyökustannusten kasvuun perustuvan reaalisen efektiivisen valuuttakurssin keskimääräisen vuotuisen vaihtelun (2015–2017) mukaisessa nousevassa järjestyksessä. Yksikkötyökustannuksiin ja BKT-de</w:t>
      </w:r>
      <w:r>
        <w:rPr>
          <w:rFonts w:ascii="Times New Roman" w:hAnsi="Times New Roman"/>
          <w:noProof/>
          <w:sz w:val="20"/>
          <w:lang w:val="fi-FI" w:eastAsia="fi-FI" w:bidi="fi-FI"/>
        </w:rPr>
        <w:t>flaattoriin perustuvat reaaliset efektiiviset valuuttakurssit ja nimellinen efektiivinen valuuttakurssi on laskettu suhteessa 37 kauppakumppaniin; yhdenmukaistettuun kuluttajahintaindeksiin perustuva reaalinen efektiivinen valuuttakurssi on laskettu suhtee</w:t>
      </w:r>
      <w:r>
        <w:rPr>
          <w:rFonts w:ascii="Times New Roman" w:hAnsi="Times New Roman"/>
          <w:noProof/>
          <w:sz w:val="20"/>
          <w:lang w:val="fi-FI" w:eastAsia="fi-FI" w:bidi="fi-FI"/>
        </w:rPr>
        <w:t>ssa 42 kauppakumppaniin kuten varoitusmekanismia koskevan kertomuksen tulostaulussa.</w:t>
      </w:r>
    </w:p>
    <w:p w:rsidR="00876CA6" w:rsidRDefault="00876CA6">
      <w:pPr>
        <w:spacing w:before="120" w:after="120"/>
        <w:jc w:val="both"/>
        <w:rPr>
          <w:rFonts w:ascii="Times New Roman" w:eastAsia="Times New Roman" w:hAnsi="Times New Roman" w:cs="Times New Roman"/>
          <w:noProof/>
          <w:sz w:val="20"/>
          <w:szCs w:val="20"/>
          <w:lang w:val="fi-FI" w:eastAsia="fi-FI" w:bidi="fi-FI"/>
        </w:rPr>
      </w:pPr>
    </w:p>
    <w:p w:rsidR="00876CA6" w:rsidRDefault="0031278A">
      <w:pPr>
        <w:rPr>
          <w:rFonts w:ascii="Times New Roman" w:eastAsia="Times New Roman" w:hAnsi="Times New Roman" w:cs="Times New Roman"/>
          <w:b/>
          <w:noProof/>
          <w:lang w:val="fi-FI" w:eastAsia="fi-FI" w:bidi="fi-FI"/>
        </w:rPr>
      </w:pPr>
      <w:r>
        <w:rPr>
          <w:noProof/>
          <w:lang w:val="fi-FI" w:eastAsia="fi-FI" w:bidi="fi-FI"/>
        </w:rPr>
        <w:br w:type="page"/>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Vientimarkkinaosuudet ovat kasvaneet useimmissa EU:n jäsenvaltioissa, mutta kasvu on supistumassa.</w:t>
      </w:r>
      <w:r>
        <w:rPr>
          <w:rFonts w:ascii="Times New Roman" w:hAnsi="Times New Roman"/>
          <w:noProof/>
          <w:lang w:val="fi-FI" w:eastAsia="fi-FI" w:bidi="fi-FI"/>
        </w:rPr>
        <w:t xml:space="preserve"> Vuonna 2017 kirjattu yhteenlaskettu vientimarkkinaosuuden muutos viiden vuoden ajalta on positiivinen useimmissa EU:n jäsenvaltioissa, ja vain yhdessä maassa (Kreikka) vientimarkkinaosuuksien menetykset ylittivät tulostaulun kynnysarvon. Tuoreempien tieto</w:t>
      </w:r>
      <w:r>
        <w:rPr>
          <w:rFonts w:ascii="Times New Roman" w:hAnsi="Times New Roman"/>
          <w:noProof/>
          <w:lang w:val="fi-FI" w:eastAsia="fi-FI" w:bidi="fi-FI"/>
        </w:rPr>
        <w:t>jen mukaan tilanne on muuttunut, sillä vientimarkkinaosuudet kasvavat edelleen mutta maltillisemmin vuonna 2017. Tämä on seurausta euron vahvistumisesta ja kasvua heikommin tukevasta perushyödykkeiden hintakehityksestä. EU-maiden vientitoiminta jatkoi elpy</w:t>
      </w:r>
      <w:r>
        <w:rPr>
          <w:rFonts w:ascii="Times New Roman" w:hAnsi="Times New Roman"/>
          <w:noProof/>
          <w:lang w:val="fi-FI" w:eastAsia="fi-FI" w:bidi="fi-FI"/>
        </w:rPr>
        <w:t>mistä vuonna 2017, mutta samanaikaisesti muiden talouksien viennin kasvu nopeutui edellisistä vuosista ja lähes saavutti viennin kasvun EU:ssa vuonna 2017</w:t>
      </w:r>
      <w:r>
        <w:rPr>
          <w:rFonts w:ascii="Times New Roman" w:hAnsi="Times New Roman"/>
          <w:noProof/>
          <w:vertAlign w:val="superscript"/>
          <w:lang w:val="fi-FI" w:eastAsia="fi-FI" w:bidi="fi-FI"/>
        </w:rPr>
        <w:footnoteReference w:id="23"/>
      </w:r>
      <w:r>
        <w:rPr>
          <w:rFonts w:ascii="Times New Roman" w:hAnsi="Times New Roman"/>
          <w:noProof/>
          <w:lang w:val="fi-FI" w:eastAsia="fi-FI" w:bidi="fi-FI"/>
        </w:rPr>
        <w:t>.</w:t>
      </w:r>
    </w:p>
    <w:p w:rsidR="00876CA6" w:rsidRDefault="0031278A">
      <w:pPr>
        <w:numPr>
          <w:ilvl w:val="0"/>
          <w:numId w:val="16"/>
        </w:numPr>
        <w:spacing w:before="120" w:after="120"/>
        <w:ind w:left="567" w:hanging="425"/>
        <w:jc w:val="both"/>
        <w:rPr>
          <w:rFonts w:ascii="Times New Roman" w:eastAsia="Times New Roman" w:hAnsi="Times New Roman" w:cs="Times New Roman"/>
          <w:b/>
          <w:noProof/>
          <w:lang w:val="fi-FI" w:eastAsia="fi-FI" w:bidi="fi-FI"/>
        </w:rPr>
      </w:pPr>
      <w:r>
        <w:rPr>
          <w:rFonts w:ascii="Times New Roman" w:hAnsi="Times New Roman"/>
          <w:noProof/>
          <w:lang w:val="fi-FI" w:eastAsia="fi-FI" w:bidi="fi-FI"/>
        </w:rPr>
        <w:t>EU:n vientimarkkinaosuuksien aiempaa myönteistä kehitystä ovat edistäneet EU:n sisäisen vientikysyn</w:t>
      </w:r>
      <w:r>
        <w:rPr>
          <w:rFonts w:ascii="Times New Roman" w:hAnsi="Times New Roman"/>
          <w:noProof/>
          <w:lang w:val="fi-FI" w:eastAsia="fi-FI" w:bidi="fi-FI"/>
        </w:rPr>
        <w:t xml:space="preserve">nän kääntyminen nousuun ja edellä tarkasteltu kilpailukyvyn parantuminen. </w:t>
      </w:r>
      <w:r>
        <w:rPr>
          <w:rFonts w:ascii="Times New Roman" w:hAnsi="Times New Roman"/>
          <w:b/>
          <w:noProof/>
          <w:lang w:val="fi-FI" w:eastAsia="fi-FI" w:bidi="fi-FI"/>
        </w:rPr>
        <w:t>Markkinaosuuksien kasvu oli yleisesti ottaen jossain määrin voimakkaampaa nettovelallismaissa sekä Keski-Euroopan maissa ja eräissä Itä-Euroopan maissa</w:t>
      </w:r>
      <w:r>
        <w:rPr>
          <w:rFonts w:ascii="Times New Roman" w:hAnsi="Times New Roman"/>
          <w:noProof/>
          <w:lang w:val="fi-FI" w:eastAsia="fi-FI" w:bidi="fi-FI"/>
        </w:rPr>
        <w:t>, mikä tarkoittaa sitä, että ki</w:t>
      </w:r>
      <w:r>
        <w:rPr>
          <w:rFonts w:ascii="Times New Roman" w:hAnsi="Times New Roman"/>
          <w:noProof/>
          <w:lang w:val="fi-FI" w:eastAsia="fi-FI" w:bidi="fi-FI"/>
        </w:rPr>
        <w:t xml:space="preserve">lpailukyvyn paraneminen näissä maissa on yleensä johtanut myös etuun vientimarkkinoille pääsyn suhteen. </w:t>
      </w:r>
    </w:p>
    <w:p w:rsidR="00876CA6" w:rsidRDefault="0031278A">
      <w:pPr>
        <w:numPr>
          <w:ilvl w:val="0"/>
          <w:numId w:val="16"/>
        </w:numPr>
        <w:spacing w:before="120" w:after="120"/>
        <w:ind w:left="567" w:hanging="425"/>
        <w:jc w:val="both"/>
        <w:rPr>
          <w:rFonts w:ascii="Times New Roman" w:eastAsia="Times New Roman" w:hAnsi="Times New Roman" w:cs="Times New Roman"/>
          <w:b/>
          <w:noProof/>
          <w:lang w:val="fi-FI" w:eastAsia="fi-FI" w:bidi="fi-FI"/>
        </w:rPr>
      </w:pPr>
      <w:r>
        <w:rPr>
          <w:rFonts w:ascii="Times New Roman" w:hAnsi="Times New Roman"/>
          <w:noProof/>
          <w:lang w:val="fi-FI" w:eastAsia="fi-FI" w:bidi="fi-FI"/>
        </w:rPr>
        <w:t>Tuoreemmat tiedot vuotuisista markkinaosuuksien muutoksista osoittavat kasvua vuonna 2016, minkä jälkeen tulokset olivat yleisesti ottaen maltillisempi</w:t>
      </w:r>
      <w:r>
        <w:rPr>
          <w:rFonts w:ascii="Times New Roman" w:hAnsi="Times New Roman"/>
          <w:noProof/>
          <w:lang w:val="fi-FI" w:eastAsia="fi-FI" w:bidi="fi-FI"/>
        </w:rPr>
        <w:t xml:space="preserve">a vuonna 2017 (kuvio 10). </w:t>
      </w:r>
      <w:r>
        <w:rPr>
          <w:rFonts w:ascii="Times New Roman" w:hAnsi="Times New Roman"/>
          <w:b/>
          <w:noProof/>
          <w:lang w:val="fi-FI" w:eastAsia="fi-FI" w:bidi="fi-FI"/>
        </w:rPr>
        <w:t>Kasvu muuttui maltillisemmaksi lähes kaikissa EU:n jäsenvaltioissa vuonna 2017</w:t>
      </w:r>
      <w:r>
        <w:rPr>
          <w:rFonts w:ascii="Times New Roman" w:hAnsi="Times New Roman"/>
          <w:noProof/>
          <w:lang w:val="fi-FI" w:eastAsia="fi-FI" w:bidi="fi-FI"/>
        </w:rPr>
        <w:t>. Kreikassa ja Liettuassa kasvu sen sijaan vahvistui aiemman suuriin menetyksiin johtaneen suuntauksen kääntyessä.</w:t>
      </w: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10: Vientimarkkinaosuuksien muu</w:t>
      </w:r>
      <w:r>
        <w:rPr>
          <w:rFonts w:ascii="Times New Roman" w:hAnsi="Times New Roman"/>
          <w:b/>
          <w:noProof/>
          <w:lang w:val="fi-FI" w:eastAsia="fi-FI" w:bidi="fi-FI"/>
        </w:rPr>
        <w:t>tos, viime vuodet</w:t>
      </w:r>
    </w:p>
    <w:p w:rsidR="00876CA6" w:rsidRDefault="0031278A">
      <w:pPr>
        <w:spacing w:before="120" w:after="120"/>
        <w:jc w:val="center"/>
        <w:rPr>
          <w:rFonts w:ascii="Times New Roman" w:eastAsia="Times New Roman" w:hAnsi="Times New Roman" w:cs="Times New Roman"/>
          <w:b/>
          <w:noProof/>
          <w:sz w:val="24"/>
          <w:szCs w:val="24"/>
          <w:lang w:val="fi-FI" w:eastAsia="fi-FI" w:bidi="fi-FI"/>
        </w:rPr>
      </w:pPr>
      <w:r>
        <w:rPr>
          <w:noProof/>
          <w:lang w:eastAsia="en-GB"/>
        </w:rPr>
        <w:drawing>
          <wp:inline distT="0" distB="0" distL="0" distR="0">
            <wp:extent cx="5341620" cy="3002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1620" cy="3002280"/>
                    </a:xfrm>
                    <a:prstGeom prst="rect">
                      <a:avLst/>
                    </a:prstGeom>
                    <a:noFill/>
                    <a:ln>
                      <a:noFill/>
                    </a:ln>
                  </pic:spPr>
                </pic:pic>
              </a:graphicData>
            </a:graphic>
          </wp:inline>
        </w:drawing>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 komission yksiköiden laskelmat.</w:t>
      </w:r>
    </w:p>
    <w:p w:rsidR="00876CA6" w:rsidRDefault="0031278A">
      <w:pPr>
        <w:spacing w:after="0"/>
        <w:jc w:val="both"/>
        <w:rPr>
          <w:rFonts w:ascii="Times New Roman" w:eastAsia="Times New Roman" w:hAnsi="Times New Roman" w:cs="Times New Roman"/>
          <w:i/>
          <w:noProof/>
          <w:sz w:val="20"/>
          <w:szCs w:val="20"/>
          <w:lang w:val="fi-FI" w:eastAsia="fi-FI" w:bidi="fi-FI"/>
        </w:rPr>
      </w:pPr>
      <w:r>
        <w:rPr>
          <w:rFonts w:ascii="Times New Roman" w:hAnsi="Times New Roman"/>
          <w:i/>
          <w:noProof/>
          <w:sz w:val="20"/>
          <w:lang w:val="fi-FI" w:eastAsia="fi-FI" w:bidi="fi-FI"/>
        </w:rPr>
        <w:t xml:space="preserve">Huom. </w:t>
      </w:r>
      <w:r>
        <w:rPr>
          <w:rFonts w:ascii="Times New Roman" w:hAnsi="Times New Roman"/>
          <w:noProof/>
          <w:sz w:val="20"/>
          <w:lang w:val="fi-FI" w:eastAsia="fi-FI" w:bidi="fi-FI"/>
        </w:rPr>
        <w:t>Maat esitetään vientimarkkinaosuuksien vuotuisen vaihtelun (vuosi 2017) mukaisessa nousevassa järjestyksessä.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876CA6" w:rsidRPr="0031278A">
        <w:tc>
          <w:tcPr>
            <w:tcW w:w="9288" w:type="dxa"/>
            <w:shd w:val="clear" w:color="auto" w:fill="BFBFBF" w:themeFill="background1" w:themeFillShade="BF"/>
          </w:tcPr>
          <w:p w:rsidR="00876CA6" w:rsidRDefault="0031278A">
            <w:pPr>
              <w:spacing w:after="120"/>
              <w:jc w:val="both"/>
              <w:rPr>
                <w:rFonts w:ascii="Times New Roman" w:hAnsi="Times New Roman" w:cs="Times New Roman"/>
                <w:b/>
                <w:i/>
                <w:noProof/>
                <w:lang w:val="fi-FI" w:eastAsia="fi-FI" w:bidi="fi-FI"/>
              </w:rPr>
            </w:pPr>
            <w:r>
              <w:rPr>
                <w:noProof/>
                <w:lang w:val="fi-FI" w:eastAsia="fi-FI" w:bidi="fi-FI"/>
              </w:rPr>
              <w:br w:type="page"/>
            </w:r>
            <w:r>
              <w:rPr>
                <w:noProof/>
                <w:lang w:val="fi-FI" w:eastAsia="fi-FI" w:bidi="fi-FI"/>
              </w:rPr>
              <w:br w:type="page"/>
            </w:r>
            <w:r>
              <w:rPr>
                <w:noProof/>
                <w:lang w:val="fi-FI" w:eastAsia="fi-FI" w:bidi="fi-FI"/>
              </w:rPr>
              <w:br w:type="page"/>
            </w:r>
            <w:r>
              <w:rPr>
                <w:rFonts w:ascii="Times New Roman" w:hAnsi="Times New Roman"/>
                <w:b/>
                <w:i/>
                <w:noProof/>
                <w:lang w:val="fi-FI" w:eastAsia="fi-FI" w:bidi="fi-FI"/>
              </w:rPr>
              <w:t>Tekstikehys 2: Makrotalouden epätasapainojen vaikutus euroalueella</w:t>
            </w:r>
          </w:p>
          <w:p w:rsidR="00876CA6" w:rsidRDefault="0031278A">
            <w:pPr>
              <w:spacing w:after="120"/>
              <w:jc w:val="both"/>
              <w:rPr>
                <w:rFonts w:ascii="Times New Roman" w:hAnsi="Times New Roman"/>
                <w:noProof/>
                <w:lang w:val="fi-FI" w:eastAsia="fi-FI" w:bidi="fi-FI"/>
              </w:rPr>
            </w:pPr>
            <w:r>
              <w:rPr>
                <w:rFonts w:ascii="Times New Roman" w:hAnsi="Times New Roman"/>
                <w:b/>
                <w:noProof/>
                <w:lang w:val="fi-FI" w:eastAsia="fi-FI" w:bidi="fi-FI"/>
              </w:rPr>
              <w:t xml:space="preserve">Euroalueen vaihtotase on vakiintunut hyvin korkealle tasolle. </w:t>
            </w:r>
            <w:r>
              <w:rPr>
                <w:rFonts w:ascii="Times New Roman" w:hAnsi="Times New Roman"/>
                <w:noProof/>
                <w:lang w:val="fi-FI" w:eastAsia="fi-FI" w:bidi="fi-FI"/>
              </w:rPr>
              <w:t xml:space="preserve">Euroalueen vaihtotase kasvoi selvästi vuoden 2008 kriisin jälkeen vuoteen 2016 saakka. Sen jälkeen sen arvo on maksutasetilastojen perusteella vakiintunut noin 3,2 prosenttiin suhteessa BKT:hen </w:t>
            </w:r>
            <w:r>
              <w:rPr>
                <w:rFonts w:ascii="Times New Roman" w:hAnsi="Times New Roman"/>
                <w:noProof/>
                <w:lang w:val="fi-FI" w:eastAsia="fi-FI" w:bidi="fi-FI"/>
              </w:rPr>
              <w:t>vuosina 2016 ja 2017</w:t>
            </w:r>
            <w:r>
              <w:rPr>
                <w:rFonts w:ascii="Times New Roman" w:hAnsi="Times New Roman"/>
                <w:noProof/>
                <w:vertAlign w:val="superscript"/>
                <w:lang w:val="fi-FI" w:eastAsia="fi-FI" w:bidi="fi-FI"/>
              </w:rPr>
              <w:footnoteReference w:id="24"/>
            </w:r>
            <w:r>
              <w:rPr>
                <w:rFonts w:ascii="Times New Roman" w:hAnsi="Times New Roman"/>
                <w:noProof/>
                <w:lang w:val="fi-FI" w:eastAsia="fi-FI" w:bidi="fi-FI"/>
              </w:rPr>
              <w:t xml:space="preserve">. </w:t>
            </w:r>
            <w:r>
              <w:rPr>
                <w:noProof/>
                <w:lang w:val="fi-FI" w:eastAsia="fi-FI" w:bidi="fi-FI"/>
              </w:rPr>
              <w:t>Euroalueen vaihtotaseen ylijäämä on edelleen maailman suurin, ja sen arvioidaan ylittävän talouden perustekijöiden perusteella odotettavissa olevan arvon (noin 1,5 % suhteessa euroalueen BKT:hen)</w:t>
            </w:r>
            <w:r>
              <w:rPr>
                <w:rFonts w:ascii="Times New Roman" w:hAnsi="Times New Roman"/>
                <w:noProof/>
                <w:vertAlign w:val="superscript"/>
                <w:lang w:val="fi-FI" w:eastAsia="fi-FI" w:bidi="fi-FI"/>
              </w:rPr>
              <w:footnoteReference w:id="25"/>
            </w:r>
            <w:r>
              <w:rPr>
                <w:noProof/>
                <w:lang w:val="fi-FI" w:eastAsia="fi-FI" w:bidi="fi-FI"/>
              </w:rPr>
              <w:t>.</w:t>
            </w:r>
            <w:r>
              <w:rPr>
                <w:rFonts w:ascii="Times New Roman" w:hAnsi="Times New Roman"/>
                <w:noProof/>
                <w:lang w:val="fi-FI" w:eastAsia="fi-FI" w:bidi="fi-FI"/>
              </w:rPr>
              <w:t xml:space="preserve"> </w:t>
            </w:r>
            <w:r>
              <w:rPr>
                <w:noProof/>
                <w:lang w:val="fi-FI" w:eastAsia="fi-FI" w:bidi="fi-FI"/>
              </w:rPr>
              <w:t>Jos politiikka säilyy muuttumattoma</w:t>
            </w:r>
            <w:r>
              <w:rPr>
                <w:noProof/>
                <w:lang w:val="fi-FI" w:eastAsia="fi-FI" w:bidi="fi-FI"/>
              </w:rPr>
              <w:t>na, euroalueen vaihtotaseen ylijäämän odotetaan Euroopan komission syksyn 2018 talousennusteen mukaan supistuvan hieman vuoteen 2020 mennessä</w:t>
            </w:r>
            <w:r>
              <w:rPr>
                <w:rFonts w:ascii="Times New Roman" w:hAnsi="Times New Roman"/>
                <w:noProof/>
                <w:vertAlign w:val="superscript"/>
                <w:lang w:val="fi-FI" w:eastAsia="fi-FI" w:bidi="fi-FI"/>
              </w:rPr>
              <w:footnoteReference w:id="26"/>
            </w:r>
            <w:r>
              <w:rPr>
                <w:noProof/>
                <w:lang w:val="fi-FI" w:eastAsia="fi-FI" w:bidi="fi-FI"/>
              </w:rPr>
              <w:t>.</w:t>
            </w:r>
            <w:r>
              <w:rPr>
                <w:rFonts w:ascii="Times New Roman" w:hAnsi="Times New Roman"/>
                <w:noProof/>
                <w:lang w:val="fi-FI" w:eastAsia="fi-FI" w:bidi="fi-FI"/>
              </w:rPr>
              <w:t xml:space="preserve"> Tekijöitä, jotka voivat osaltaan supistaa ylijäämää, ovat muun muassa suhdanneolojen suhteellinen heikkeneminen </w:t>
            </w:r>
            <w:r>
              <w:rPr>
                <w:rFonts w:ascii="Times New Roman" w:hAnsi="Times New Roman"/>
                <w:noProof/>
                <w:lang w:val="fi-FI" w:eastAsia="fi-FI" w:bidi="fi-FI"/>
              </w:rPr>
              <w:t>maailmantalouden muilla aloilla, rajoittavien kauppapolitiikkojen ja euron reaalisen efektiivisen valuuttakurssin viimeaikaisen vahvistumisen vaikutukset, mahdollinen euron lisävahvistuminen (joka on kytköksissä muun muassa jatkuvasti suuresta ulkoisesta y</w:t>
            </w:r>
            <w:r>
              <w:rPr>
                <w:rFonts w:ascii="Times New Roman" w:hAnsi="Times New Roman"/>
                <w:noProof/>
                <w:lang w:val="fi-FI" w:eastAsia="fi-FI" w:bidi="fi-FI"/>
              </w:rPr>
              <w:t>lijäämästä johtuviin markkinapaineisiin) ja öljyn hinnan nousun jatkuminen.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876CA6" w:rsidRPr="0031278A">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 xml:space="preserve">Kuvio B.1: Euroalueen vaihtotaseen kehitys: erittely maittain </w:t>
                  </w:r>
                </w:p>
              </w:tc>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Kuvio B.2: Euroalueen vaihtotaseen kehitys: erittely osatekijöiden mukaan</w:t>
                  </w:r>
                </w:p>
              </w:tc>
            </w:tr>
            <w:tr w:rsidR="00876CA6">
              <w:trPr>
                <w:trHeight w:val="3882"/>
              </w:trPr>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lang w:val="fi-FI" w:eastAsia="fi-FI" w:bidi="fi-FI"/>
                    </w:rPr>
                  </w:pPr>
                  <w:r>
                    <w:rPr>
                      <w:rFonts w:ascii="Times New Roman" w:hAnsi="Times New Roman" w:cs="Times New Roman"/>
                      <w:noProof/>
                      <w:lang w:eastAsia="en-GB"/>
                    </w:rPr>
                    <w:drawing>
                      <wp:inline distT="0" distB="0" distL="0" distR="0">
                        <wp:extent cx="2735580" cy="23926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239268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lang w:val="fi-FI" w:eastAsia="fi-FI" w:bidi="fi-FI"/>
                    </w:rPr>
                  </w:pPr>
                  <w:r>
                    <w:rPr>
                      <w:rFonts w:ascii="Times New Roman" w:hAnsi="Times New Roman" w:cs="Times New Roman"/>
                      <w:noProof/>
                      <w:lang w:eastAsia="en-GB"/>
                    </w:rPr>
                    <w:drawing>
                      <wp:inline distT="0" distB="0" distL="0" distR="0">
                        <wp:extent cx="2819400" cy="2392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392680"/>
                                </a:xfrm>
                                <a:prstGeom prst="rect">
                                  <a:avLst/>
                                </a:prstGeom>
                                <a:noFill/>
                                <a:ln>
                                  <a:noFill/>
                                </a:ln>
                              </pic:spPr>
                            </pic:pic>
                          </a:graphicData>
                        </a:graphic>
                      </wp:inline>
                    </w:drawing>
                  </w:r>
                </w:p>
              </w:tc>
            </w:tr>
            <w:tr w:rsidR="00876CA6" w:rsidRPr="0031278A">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 maksutaseluvut.</w:t>
                  </w:r>
                </w:p>
              </w:tc>
              <w:tc>
                <w:tcPr>
                  <w:tcW w:w="4531" w:type="dxa"/>
                  <w:tcBorders>
                    <w:top w:val="nil"/>
                    <w:left w:val="nil"/>
                    <w:bottom w:val="nil"/>
                    <w:right w:val="nil"/>
                  </w:tcBorders>
                  <w:shd w:val="clear" w:color="auto" w:fill="auto"/>
                </w:tcPr>
                <w:p w:rsidR="00876CA6" w:rsidRDefault="0031278A">
                  <w:pPr>
                    <w:spacing w:after="0"/>
                    <w:jc w:val="both"/>
                    <w:rPr>
                      <w:rFonts w:ascii="Times New Roman" w:hAnsi="Times New Roman" w:cs="Times New Roman"/>
                      <w:noProof/>
                      <w:sz w:val="20"/>
                      <w:lang w:val="fi-FI" w:eastAsia="fi-FI" w:bidi="fi-FI"/>
                    </w:rPr>
                  </w:pPr>
                  <w:r>
                    <w:rPr>
                      <w:rFonts w:ascii="Times New Roman" w:hAnsi="Times New Roman"/>
                      <w:i/>
                      <w:noProof/>
                      <w:sz w:val="19"/>
                      <w:szCs w:val="19"/>
                      <w:lang w:val="fi-FI" w:eastAsia="fi-FI" w:bidi="fi-FI"/>
                    </w:rPr>
                    <w:t>Lähde:</w:t>
                  </w:r>
                  <w:r>
                    <w:rPr>
                      <w:rFonts w:ascii="Times New Roman" w:hAnsi="Times New Roman"/>
                      <w:noProof/>
                      <w:sz w:val="19"/>
                      <w:szCs w:val="19"/>
                      <w:lang w:val="fi-FI" w:eastAsia="fi-FI" w:bidi="fi-FI"/>
                    </w:rPr>
                    <w:t xml:space="preserve"> Eurostat, maksutaseluvut. </w:t>
                  </w:r>
                  <w:r>
                    <w:rPr>
                      <w:rFonts w:ascii="Times New Roman" w:hAnsi="Times New Roman"/>
                      <w:i/>
                      <w:noProof/>
                      <w:sz w:val="19"/>
                      <w:szCs w:val="19"/>
                      <w:lang w:val="fi-FI" w:eastAsia="fi-FI" w:bidi="fi-FI"/>
                    </w:rPr>
                    <w:t>Huom.</w:t>
                  </w:r>
                  <w:r>
                    <w:rPr>
                      <w:rFonts w:ascii="Times New Roman" w:hAnsi="Times New Roman"/>
                      <w:noProof/>
                      <w:sz w:val="19"/>
                      <w:szCs w:val="19"/>
                      <w:lang w:val="fi-FI" w:eastAsia="fi-FI" w:bidi="fi-FI"/>
                    </w:rPr>
                    <w:t xml:space="preserve"> ”18*” tarkoittaa neljän vuosineljänneksen liukuvaa keskiarvoa koskevia tietoja vuoden 2018 toiseen</w:t>
                  </w:r>
                  <w:r>
                    <w:rPr>
                      <w:rFonts w:ascii="Times New Roman" w:hAnsi="Times New Roman"/>
                      <w:noProof/>
                      <w:sz w:val="20"/>
                      <w:lang w:val="fi-FI" w:eastAsia="fi-FI" w:bidi="fi-FI"/>
                    </w:rPr>
                    <w:t xml:space="preserve"> </w:t>
                  </w:r>
                  <w:r>
                    <w:rPr>
                      <w:rFonts w:ascii="Times New Roman" w:hAnsi="Times New Roman"/>
                      <w:noProof/>
                      <w:sz w:val="19"/>
                      <w:szCs w:val="19"/>
                      <w:lang w:val="fi-FI" w:eastAsia="fi-FI" w:bidi="fi-FI"/>
                    </w:rPr>
                    <w:t>vuosineljännekseen asti.</w:t>
                  </w:r>
                </w:p>
              </w:tc>
            </w:tr>
          </w:tbl>
          <w:p w:rsidR="00876CA6" w:rsidRDefault="00876CA6">
            <w:pPr>
              <w:spacing w:after="120"/>
              <w:jc w:val="both"/>
              <w:rPr>
                <w:rFonts w:ascii="Times New Roman" w:hAnsi="Times New Roman" w:cs="Times New Roman"/>
                <w:b/>
                <w:noProof/>
                <w:lang w:val="fi-FI" w:eastAsia="fi-FI" w:bidi="fi-FI"/>
              </w:rPr>
            </w:pPr>
          </w:p>
          <w:p w:rsidR="00876CA6" w:rsidRDefault="0031278A">
            <w:pPr>
              <w:spacing w:after="120"/>
              <w:jc w:val="both"/>
              <w:rPr>
                <w:rFonts w:ascii="Times New Roman" w:hAnsi="Times New Roman" w:cs="Times New Roman"/>
                <w:noProof/>
                <w:lang w:val="fi-FI" w:eastAsia="fi-FI" w:bidi="fi-FI"/>
              </w:rPr>
            </w:pPr>
            <w:r>
              <w:rPr>
                <w:rFonts w:ascii="Times New Roman" w:hAnsi="Times New Roman"/>
                <w:b/>
                <w:noProof/>
                <w:lang w:val="fi-FI" w:eastAsia="fi-FI" w:bidi="fi-FI"/>
              </w:rPr>
              <w:t>Ylijäämän kertyminen euroalueella johtuu aiemmin alijääm</w:t>
            </w:r>
            <w:r>
              <w:rPr>
                <w:rFonts w:ascii="Times New Roman" w:hAnsi="Times New Roman"/>
                <w:b/>
                <w:noProof/>
                <w:lang w:val="fi-FI" w:eastAsia="fi-FI" w:bidi="fi-FI"/>
              </w:rPr>
              <w:t>äisten vaihtotaseiden korjaamisesta sekä pysyvistä suurista ylijäämistä</w:t>
            </w:r>
            <w:r>
              <w:rPr>
                <w:noProof/>
                <w:lang w:val="fi-FI" w:eastAsia="fi-FI" w:bidi="fi-FI"/>
              </w:rPr>
              <w:t>. Euroalueen vaihtotase oli pääosin tasapainossa ennen vuotta 2008, jolloin se laski alijäämäiseksi maailmanlaajuisen vientikysynnän vähetessä huomattavasti. Vuoden 2008 finanssikriisin</w:t>
            </w:r>
            <w:r>
              <w:rPr>
                <w:noProof/>
                <w:lang w:val="fi-FI" w:eastAsia="fi-FI" w:bidi="fi-FI"/>
              </w:rPr>
              <w:t xml:space="preserve"> jälkeen se muuttui ylijäämäiseksi pääasiassa seurauksena suurten alijäämien jyrkästä korjausliikkeestä yksityisten rajat ylittävien rahavirtojen suunnan käännyttyä (kuvio B.1).</w:t>
            </w:r>
            <w:r>
              <w:rPr>
                <w:rFonts w:ascii="Times New Roman" w:hAnsi="Times New Roman"/>
                <w:noProof/>
                <w:lang w:val="fi-FI" w:eastAsia="fi-FI" w:bidi="fi-FI"/>
              </w:rPr>
              <w:t xml:space="preserve"> Ylijäämä kasvoi edelleen vuoden 2011 jälkeen, kun velkakriisi levisi Espanjaan</w:t>
            </w:r>
            <w:r>
              <w:rPr>
                <w:rFonts w:ascii="Times New Roman" w:hAnsi="Times New Roman"/>
                <w:noProof/>
                <w:lang w:val="fi-FI" w:eastAsia="fi-FI" w:bidi="fi-FI"/>
              </w:rPr>
              <w:t xml:space="preserve"> ja Italiaan ja sen seurauksena kotimainen kysyntä supistui, mikä edisti näiden maiden vaihtotaseen kääntymistä ylijäämäiseksi. Myös Saksan suuri vaihtotaseen ylijäämä on kasvanut asteittain vuodesta 2011. Tällä hetkellä euroalueen vaihtotaseen ylijäämä jo</w:t>
            </w:r>
            <w:r>
              <w:rPr>
                <w:rFonts w:ascii="Times New Roman" w:hAnsi="Times New Roman"/>
                <w:noProof/>
                <w:lang w:val="fi-FI" w:eastAsia="fi-FI" w:bidi="fi-FI"/>
              </w:rPr>
              <w:t xml:space="preserve">htuu pääasiassa suurista ylijäämistä Saksassa ja Alankomaissa, joiden yhteenlasketut ulkoiset rahoitusasemat muodostavat suurimman osan euroalueen ylijäämästä (kuvio B.1). Saksan vaihtotaseen ylijäämän asteittainen supistuminen vuodesta 2016 on yhteydessä </w:t>
            </w:r>
            <w:r>
              <w:rPr>
                <w:rFonts w:ascii="Times New Roman" w:hAnsi="Times New Roman"/>
                <w:noProof/>
                <w:lang w:val="fi-FI" w:eastAsia="fi-FI" w:bidi="fi-FI"/>
              </w:rPr>
              <w:t xml:space="preserve">euroalueen ylijäämän vakiintumiseen. </w:t>
            </w:r>
          </w:p>
          <w:p w:rsidR="00876CA6" w:rsidRDefault="0031278A">
            <w:pPr>
              <w:spacing w:after="120"/>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Euroalueen vaihtotaseen viimeaikainen kehitys liittyy pääasiassa energia-, tulo- ja palvelutaseeseen. </w:t>
            </w:r>
            <w:r>
              <w:rPr>
                <w:rFonts w:ascii="Times New Roman" w:hAnsi="Times New Roman"/>
                <w:noProof/>
                <w:lang w:val="fi-FI" w:eastAsia="fi-FI" w:bidi="fi-FI"/>
              </w:rPr>
              <w:t xml:space="preserve">Muiden kuin energiatuotteiden tase parani finanssikriisin jälkimainingeissa seurauksena euroalueen heikosta </w:t>
            </w:r>
            <w:r>
              <w:rPr>
                <w:rFonts w:ascii="Times New Roman" w:hAnsi="Times New Roman"/>
                <w:noProof/>
                <w:lang w:val="fi-FI" w:eastAsia="fi-FI" w:bidi="fi-FI"/>
              </w:rPr>
              <w:t>suhdannetilanteesta verrattuna muihin maailman alueisiin, ja se on vaikuttanut eniten vaihtotaseen paranemiseen (kuvio B.2). Vastaavasti euroalueen suhdannekorjattu vaihtotase parani heikommin saman ajanjakson aikana. Euroalueen tuotannon elpymisen seurauk</w:t>
            </w:r>
            <w:r>
              <w:rPr>
                <w:rFonts w:ascii="Times New Roman" w:hAnsi="Times New Roman"/>
                <w:noProof/>
                <w:lang w:val="fi-FI" w:eastAsia="fi-FI" w:bidi="fi-FI"/>
              </w:rPr>
              <w:t>sena tavarakaupan taseen ylijäämä on vakiintunut vuodesta 2013 alkaen ja sen supistuminen on ollut erittäin maltillista, sillä vientitulokset arvona ja määränä mitattuna ovat olleet vahvoja verrattuna muihin kehittyneisiin talouksiin</w:t>
            </w:r>
            <w:r>
              <w:rPr>
                <w:rFonts w:ascii="Times New Roman" w:hAnsi="Times New Roman"/>
                <w:noProof/>
                <w:vertAlign w:val="superscript"/>
                <w:lang w:val="fi-FI" w:eastAsia="fi-FI" w:bidi="fi-FI"/>
              </w:rPr>
              <w:footnoteReference w:id="27"/>
            </w:r>
            <w:r>
              <w:rPr>
                <w:rFonts w:ascii="Times New Roman" w:hAnsi="Times New Roman"/>
                <w:noProof/>
                <w:lang w:val="fi-FI" w:eastAsia="fi-FI" w:bidi="fi-FI"/>
              </w:rPr>
              <w:t xml:space="preserve">. Kriisin jälkeen energiataseen kehittymiseen on vaikuttanut pääasiassa öljyn hinnan vaihtelu. Vuonna 2008 tapahtuneen merkittävän laskun jälkeen öljyn hinnat elpyivät vuosina 2009–2011 ja laskivat jälleen vuosina 2014–2016. Näiden vaihtelujen seurauksena </w:t>
            </w:r>
            <w:r>
              <w:rPr>
                <w:rFonts w:ascii="Times New Roman" w:hAnsi="Times New Roman"/>
                <w:noProof/>
                <w:lang w:val="fi-FI" w:eastAsia="fi-FI" w:bidi="fi-FI"/>
              </w:rPr>
              <w:t xml:space="preserve">on aina ollut euroalueen energiataseen kehittyminen vastakkaiseen suuntaan. </w:t>
            </w:r>
            <w:r>
              <w:rPr>
                <w:noProof/>
                <w:lang w:val="fi-FI" w:eastAsia="fi-FI" w:bidi="fi-FI"/>
              </w:rPr>
              <w:t>Öljyn hintojen elpyminen, joka alkoi vuoden 2016 puolivälissä, on syynä sen jälkeen kirjattuun energiataseen heikkenemiseen</w:t>
            </w:r>
            <w:r>
              <w:rPr>
                <w:rFonts w:ascii="Times New Roman" w:hAnsi="Times New Roman"/>
                <w:noProof/>
                <w:vertAlign w:val="superscript"/>
                <w:lang w:val="fi-FI" w:eastAsia="fi-FI" w:bidi="fi-FI"/>
              </w:rPr>
              <w:footnoteReference w:id="28"/>
            </w:r>
            <w:r>
              <w:rPr>
                <w:noProof/>
                <w:lang w:val="fi-FI" w:eastAsia="fi-FI" w:bidi="fi-FI"/>
              </w:rPr>
              <w:t>.</w:t>
            </w:r>
            <w:r>
              <w:rPr>
                <w:rFonts w:ascii="Times New Roman" w:hAnsi="Times New Roman"/>
                <w:noProof/>
                <w:lang w:val="fi-FI" w:eastAsia="fi-FI" w:bidi="fi-FI"/>
              </w:rPr>
              <w:t xml:space="preserve"> Energiataseen negatiivista vaikutusta euroalueen ylijä</w:t>
            </w:r>
            <w:r>
              <w:rPr>
                <w:rFonts w:ascii="Times New Roman" w:hAnsi="Times New Roman"/>
                <w:noProof/>
                <w:lang w:val="fi-FI" w:eastAsia="fi-FI" w:bidi="fi-FI"/>
              </w:rPr>
              <w:t xml:space="preserve">ämään vuoden 2016 jälkeen kompensoi palvelutaseen paraneminen. Huolimatta kohenevasta pääomataseesta, joka on yhteydessä positiiviseen ja kasvavaan ulkomaiseen nettovarallisuusasemaan euroalueen aggregaattitasolla, tulotase on edelleen negatiivinen, ja se </w:t>
            </w:r>
            <w:r>
              <w:rPr>
                <w:rFonts w:ascii="Times New Roman" w:hAnsi="Times New Roman"/>
                <w:noProof/>
                <w:lang w:val="fi-FI" w:eastAsia="fi-FI" w:bidi="fi-FI"/>
              </w:rPr>
              <w:t xml:space="preserve">on heikentynyt vuonna 2017 yritysten nettotulojen kehityksen vuoksi. </w:t>
            </w:r>
          </w:p>
          <w:p w:rsidR="00876CA6" w:rsidRDefault="0031278A">
            <w:pPr>
              <w:spacing w:after="120"/>
              <w:jc w:val="both"/>
              <w:rPr>
                <w:rFonts w:ascii="Times New Roman" w:hAnsi="Times New Roman" w:cs="Times New Roman"/>
                <w:noProof/>
                <w:lang w:val="fi-FI" w:eastAsia="fi-FI" w:bidi="fi-FI"/>
              </w:rPr>
            </w:pPr>
            <w:r>
              <w:rPr>
                <w:rFonts w:ascii="Times New Roman" w:hAnsi="Times New Roman"/>
                <w:b/>
                <w:noProof/>
                <w:lang w:val="fi-FI" w:eastAsia="fi-FI" w:bidi="fi-FI"/>
              </w:rPr>
              <w:t>Euroalueen ylijäämän kehitys on yhteydessä taloudellista toimeliaisuutta vähäisempään kotimaiseen kysyntään ja vientikysynnän jatkumiseen, joka on perustunut kehitystä tukevaan eurooppal</w:t>
            </w:r>
            <w:r>
              <w:rPr>
                <w:rFonts w:ascii="Times New Roman" w:hAnsi="Times New Roman"/>
                <w:b/>
                <w:noProof/>
                <w:lang w:val="fi-FI" w:eastAsia="fi-FI" w:bidi="fi-FI"/>
              </w:rPr>
              <w:t xml:space="preserve">aisten tavaroiden ja palvelujen maailmanlaajuiseen kysyntään ja parantuneeseen kilpailuasemaan. </w:t>
            </w:r>
            <w:r>
              <w:rPr>
                <w:rFonts w:ascii="Times New Roman" w:hAnsi="Times New Roman"/>
                <w:noProof/>
                <w:lang w:val="fi-FI" w:eastAsia="fi-FI" w:bidi="fi-FI"/>
              </w:rPr>
              <w:t>Kokonaistulojen ja -menojen erotus, joka vastaa nettovientiä, on suurentunut vuoden 2008 finanssikriisin jälkeen vuoteen 2016 asti (ks. kuvio B.3). Kriisin puhj</w:t>
            </w:r>
            <w:r>
              <w:rPr>
                <w:rFonts w:ascii="Times New Roman" w:hAnsi="Times New Roman"/>
                <w:noProof/>
                <w:lang w:val="fi-FI" w:eastAsia="fi-FI" w:bidi="fi-FI"/>
              </w:rPr>
              <w:t xml:space="preserve">etessa kysynnän kehitys vaimeni yksityisen sektorin velkaantumisen laajamittaiseen purkamisen seurauksena, erityisesti nettovelallismaissa, joita vaihtotaseen kehityksen äkillinen pysähtyminen koski. Samalla julkisen sektorin nettoluotonoton lisääntyminen </w:t>
            </w:r>
            <w:r>
              <w:rPr>
                <w:rFonts w:ascii="Times New Roman" w:hAnsi="Times New Roman"/>
                <w:noProof/>
                <w:lang w:val="fi-FI" w:eastAsia="fi-FI" w:bidi="fi-FI"/>
              </w:rPr>
              <w:t>auttoi lieventämään kriisin vaikutusta tuloihin (kuvio B.4). Euroalueen velkakriisin pahentumisen jälkeen vuonna 2011 velkaantumisen purkaminen alkoi myös julkisella sektorilla, mikä on vaikuttanut eniten nettoluotonantoasemien yleiseen paranemiseen euroal</w:t>
            </w:r>
            <w:r>
              <w:rPr>
                <w:rFonts w:ascii="Times New Roman" w:hAnsi="Times New Roman"/>
                <w:noProof/>
                <w:lang w:val="fi-FI" w:eastAsia="fi-FI" w:bidi="fi-FI"/>
              </w:rPr>
              <w:t>ueella sen jälkeen. Kotitaloussektorin osalta nettoluotonantoa koskevat luvut ovat tällä hetkellä kaksi kertaa suuremmat kuin kriisiä edeltäneellä jaksolla, ja rahoitusalan ulkopuolisilla yrityksillä, joilla yleensä on nettoluotonottotarpeita, on ollut pos</w:t>
            </w:r>
            <w:r>
              <w:rPr>
                <w:rFonts w:ascii="Times New Roman" w:hAnsi="Times New Roman"/>
                <w:noProof/>
                <w:lang w:val="fi-FI" w:eastAsia="fi-FI" w:bidi="fi-FI"/>
              </w:rPr>
              <w:t>itiivinen nettoluotonantoasema vuodesta 2013. Julkisyhteisöjen nettoluotonanto on edelleen negatiivinen ja on vasta viime aikoina saavuttanut tason, joka vastaa useimmissa euroalueen maissa julkisten velkasuhteiden supistumista. Aktiivisesta velkaantumisen</w:t>
            </w:r>
            <w:r>
              <w:rPr>
                <w:rFonts w:ascii="Times New Roman" w:hAnsi="Times New Roman"/>
                <w:noProof/>
                <w:lang w:val="fi-FI" w:eastAsia="fi-FI" w:bidi="fi-FI"/>
              </w:rPr>
              <w:t xml:space="preserve"> purkamisesta huolimatta nimellisen BKT:n pitkittynyt pysähtyneisyys kriisin jälkeen merkitsi sitä, että kotitalouksien, yritysten ja julkisen sektorin velkasuhteet ovat edelleen ennätyksellisen korkeita useissa euroalueen maissa. Velkaantumista puretaan t</w:t>
            </w:r>
            <w:r>
              <w:rPr>
                <w:rFonts w:ascii="Times New Roman" w:hAnsi="Times New Roman"/>
                <w:noProof/>
                <w:lang w:val="fi-FI" w:eastAsia="fi-FI" w:bidi="fi-FI"/>
              </w:rPr>
              <w:t>ällä hetkellä suotuisassa taloustilanteessa.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876CA6">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Kuvio B.3: Euroalueen tuotanto, kotimainen kysyntä, nettovienti ja pohjainflaatio</w:t>
                  </w:r>
                </w:p>
              </w:tc>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 xml:space="preserve">Kuvio B.4: Euroalueen nettoluotonanto/nettoluotonotto sektoreittain </w:t>
                  </w:r>
                </w:p>
              </w:tc>
            </w:tr>
            <w:tr w:rsidR="00876CA6">
              <w:trPr>
                <w:trHeight w:val="3406"/>
              </w:trPr>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lang w:val="fi-FI" w:eastAsia="fi-FI" w:bidi="fi-FI"/>
                    </w:rPr>
                  </w:pPr>
                  <w:r>
                    <w:rPr>
                      <w:rFonts w:ascii="Times New Roman" w:hAnsi="Times New Roman" w:cs="Times New Roman"/>
                      <w:noProof/>
                      <w:lang w:eastAsia="en-GB"/>
                    </w:rPr>
                    <w:drawing>
                      <wp:inline distT="0" distB="0" distL="0" distR="0">
                        <wp:extent cx="2645521" cy="25844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993" cy="2593703"/>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lang w:val="fi-FI" w:eastAsia="fi-FI" w:bidi="fi-FI"/>
                    </w:rPr>
                  </w:pPr>
                  <w:r>
                    <w:rPr>
                      <w:rFonts w:ascii="Times New Roman" w:hAnsi="Times New Roman" w:cs="Times New Roman"/>
                      <w:noProof/>
                      <w:lang w:eastAsia="en-GB"/>
                    </w:rPr>
                    <w:drawing>
                      <wp:inline distT="0" distB="0" distL="0" distR="0">
                        <wp:extent cx="2849880" cy="25831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9880" cy="2583180"/>
                                </a:xfrm>
                                <a:prstGeom prst="rect">
                                  <a:avLst/>
                                </a:prstGeom>
                                <a:noFill/>
                                <a:ln>
                                  <a:noFill/>
                                </a:ln>
                              </pic:spPr>
                            </pic:pic>
                          </a:graphicData>
                        </a:graphic>
                      </wp:inline>
                    </w:drawing>
                  </w:r>
                </w:p>
              </w:tc>
            </w:tr>
            <w:tr w:rsidR="00876CA6">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w:t>
                  </w:r>
                </w:p>
              </w:tc>
              <w:tc>
                <w:tcPr>
                  <w:tcW w:w="4531" w:type="dxa"/>
                  <w:tcBorders>
                    <w:top w:val="nil"/>
                    <w:left w:val="nil"/>
                    <w:bottom w:val="nil"/>
                    <w:right w:val="nil"/>
                  </w:tcBorders>
                  <w:shd w:val="clear" w:color="auto" w:fill="auto"/>
                </w:tcPr>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w:t>
                  </w:r>
                </w:p>
              </w:tc>
            </w:tr>
          </w:tbl>
          <w:p w:rsidR="00876CA6" w:rsidRDefault="00876CA6">
            <w:pPr>
              <w:spacing w:after="120"/>
              <w:jc w:val="both"/>
              <w:rPr>
                <w:rFonts w:ascii="Times New Roman" w:hAnsi="Times New Roman" w:cs="Times New Roman"/>
                <w:b/>
                <w:noProof/>
                <w:lang w:val="fi-FI" w:eastAsia="fi-FI" w:bidi="fi-FI"/>
              </w:rPr>
            </w:pPr>
          </w:p>
          <w:p w:rsidR="00876CA6" w:rsidRDefault="0031278A">
            <w:pPr>
              <w:spacing w:after="120"/>
              <w:jc w:val="both"/>
              <w:rPr>
                <w:rFonts w:ascii="Times New Roman" w:hAnsi="Times New Roman" w:cs="Times New Roman"/>
                <w:noProof/>
                <w:lang w:val="fi-FI" w:eastAsia="fi-FI" w:bidi="fi-FI"/>
              </w:rPr>
            </w:pPr>
            <w:r>
              <w:rPr>
                <w:rFonts w:ascii="Times New Roman" w:hAnsi="Times New Roman"/>
                <w:b/>
                <w:noProof/>
                <w:lang w:val="fi-FI" w:eastAsia="fi-FI" w:bidi="fi-FI"/>
              </w:rPr>
              <w:t xml:space="preserve">Edelleen on haasteita, jotka liittyvät varantoepätasapainojen jatkumiseen, nykyisen talouden laajentumisen kestävyyteen ja rajalliseen liikkumavaraan vaimentaa kielteisiä häiriöitä korkean velkatason maissa. </w:t>
            </w:r>
            <w:r>
              <w:rPr>
                <w:rFonts w:ascii="Times New Roman" w:hAnsi="Times New Roman"/>
                <w:noProof/>
                <w:lang w:val="fi-FI" w:eastAsia="fi-FI" w:bidi="fi-FI"/>
              </w:rPr>
              <w:t xml:space="preserve">Lähes vuosikymmenen jatkuneen hitaan kehityksen </w:t>
            </w:r>
            <w:r>
              <w:rPr>
                <w:rFonts w:ascii="Times New Roman" w:hAnsi="Times New Roman"/>
                <w:noProof/>
                <w:lang w:val="fi-FI" w:eastAsia="fi-FI" w:bidi="fi-FI"/>
              </w:rPr>
              <w:t>jälkeen euroalueen kotimainen kysyntä on elpymässä, tuotantokuilu on muuttumassa positiiviseksi ja inflaation odotetaan vähitellen lähestyvän rahaviranomaisten tavoitetta (kuvio B.3). Meneillään oleva laajentuminen tukee varantoepätasapainojen korjaamista,</w:t>
            </w:r>
            <w:r>
              <w:rPr>
                <w:rFonts w:ascii="Times New Roman" w:hAnsi="Times New Roman"/>
                <w:noProof/>
                <w:lang w:val="fi-FI" w:eastAsia="fi-FI" w:bidi="fi-FI"/>
              </w:rPr>
              <w:t xml:space="preserve"> mutta useita haasteita on edessä. Ensinnäkin nykyisen laajentumisen kestävyyteen liittyy epävarmuutta, sillä kestävän kasvun varmistavia olosuhteita ei ole aina olemassa. Tämä liittyy erityisesti sitkeisiin investointivajeisiin, riittämättömiin toimintaed</w:t>
            </w:r>
            <w:r>
              <w:rPr>
                <w:rFonts w:ascii="Times New Roman" w:hAnsi="Times New Roman"/>
                <w:noProof/>
                <w:lang w:val="fi-FI" w:eastAsia="fi-FI" w:bidi="fi-FI"/>
              </w:rPr>
              <w:t>ellytyksiin tuottavuuden kasvun piristämiseksi sekä käyttämättömään osaamispääomaan</w:t>
            </w:r>
            <w:r>
              <w:rPr>
                <w:rFonts w:ascii="Times New Roman" w:hAnsi="Times New Roman"/>
                <w:noProof/>
                <w:vertAlign w:val="superscript"/>
                <w:lang w:val="fi-FI" w:eastAsia="fi-FI" w:bidi="fi-FI"/>
              </w:rPr>
              <w:footnoteReference w:id="29"/>
            </w:r>
            <w:r>
              <w:rPr>
                <w:rFonts w:ascii="Times New Roman" w:hAnsi="Times New Roman"/>
                <w:noProof/>
                <w:lang w:val="fi-FI" w:eastAsia="fi-FI" w:bidi="fi-FI"/>
              </w:rPr>
              <w:t>. Toiseksi euroalueen sisäinen tasapainottaminen on vielä kesken. Maille, joilla on aiemmin ollut suuria alijäämiä, on edelleen ominaista suuri negatiivinen ulkomainen nett</w:t>
            </w:r>
            <w:r>
              <w:rPr>
                <w:rFonts w:ascii="Times New Roman" w:hAnsi="Times New Roman"/>
                <w:noProof/>
                <w:lang w:val="fi-FI" w:eastAsia="fi-FI" w:bidi="fi-FI"/>
              </w:rPr>
              <w:t>ovarallisuusasema yhdistettynä suureen yksityiseen tai julkiseen velkaan, mikä on osoitus niiden haavoittuvuudesta. Lisäksi suuresta velkaantumisesta kärsivät maat ovat yleensä myös niitä maita, jotka voivat luottaa muita maita vähemmän siihen, että tuotan</w:t>
            </w:r>
            <w:r>
              <w:rPr>
                <w:rFonts w:ascii="Times New Roman" w:hAnsi="Times New Roman"/>
                <w:noProof/>
                <w:lang w:val="fi-FI" w:eastAsia="fi-FI" w:bidi="fi-FI"/>
              </w:rPr>
              <w:t xml:space="preserve">non potentiaalinen kasvu pienentäisi niiden velkasuhdetta, mikä tarkoittaa sitä, että yksityisen ja julkisen sektorin säästöt voivat todennäköisesti vain rajallisesti lieventää negatiivisia tuotantohäiriöitä (kuvio B.6). </w:t>
            </w:r>
          </w:p>
          <w:p w:rsidR="00876CA6" w:rsidRDefault="0031278A">
            <w:pPr>
              <w:spacing w:after="120"/>
              <w:jc w:val="both"/>
              <w:rPr>
                <w:rFonts w:ascii="Times New Roman" w:hAnsi="Times New Roman" w:cs="Times New Roman"/>
                <w:noProof/>
                <w:lang w:val="fi-FI" w:eastAsia="fi-FI" w:bidi="fi-FI"/>
              </w:rPr>
            </w:pPr>
            <w:r>
              <w:rPr>
                <w:rFonts w:ascii="Times New Roman" w:hAnsi="Times New Roman"/>
                <w:b/>
                <w:noProof/>
                <w:lang w:val="fi-FI" w:eastAsia="fi-FI" w:bidi="fi-FI"/>
              </w:rPr>
              <w:t>Symmetrinen tasapainottaminen euro</w:t>
            </w:r>
            <w:r>
              <w:rPr>
                <w:rFonts w:ascii="Times New Roman" w:hAnsi="Times New Roman"/>
                <w:b/>
                <w:noProof/>
                <w:lang w:val="fi-FI" w:eastAsia="fi-FI" w:bidi="fi-FI"/>
              </w:rPr>
              <w:t>alueella auttaisi palauttamaan kestävän kasvun ja varmistaisi samalla makrotalouden vakauden tulevaisuudessa.</w:t>
            </w:r>
            <w:r>
              <w:rPr>
                <w:rFonts w:ascii="Times New Roman" w:hAnsi="Times New Roman"/>
                <w:noProof/>
                <w:lang w:val="fi-FI" w:eastAsia="fi-FI" w:bidi="fi-FI"/>
              </w:rPr>
              <w:t xml:space="preserve"> Tarvitaan asianmukaista politiikkojen yhdistelmää, jotta voidaan varmistaa, että kasvu on kestävää ja sopusoinnussa makrotalouden vakauden kanssa. Nettovelallismaissa ulkomaisen ja kotimaisen velan suurten määrien vähentäminen edellyttää varovaisuusperiaa</w:t>
            </w:r>
            <w:r>
              <w:rPr>
                <w:rFonts w:ascii="Times New Roman" w:hAnsi="Times New Roman"/>
                <w:noProof/>
                <w:lang w:val="fi-FI" w:eastAsia="fi-FI" w:bidi="fi-FI"/>
              </w:rPr>
              <w:t>tteiden mukaisten vaihtotaseiden ylläpitämistä ja velan asianmukaisen supistamisvauhdin varmistamista samalla kun säilytetään tavoite lisätä kasvupotentiaalia asianmukaisilla investoinneilla ja uudistuksilla ja pyritään välttämään finanssipolitiikan myötäs</w:t>
            </w:r>
            <w:r>
              <w:rPr>
                <w:rFonts w:ascii="Times New Roman" w:hAnsi="Times New Roman"/>
                <w:noProof/>
                <w:lang w:val="fi-FI" w:eastAsia="fi-FI" w:bidi="fi-FI"/>
              </w:rPr>
              <w:t>yklisen kiristämisen riskiä huonoina aikoina. Tuottavuusnäkymien parantaminen on erityisen tärkeää nettovelallismaissa sekä velkakantojen kestävyyden kannalta että suhteellisen kilpailukyvyn kehityksen muuttamiseksi tasapainottamista enemmän tukevaksi tila</w:t>
            </w:r>
            <w:r>
              <w:rPr>
                <w:rFonts w:ascii="Times New Roman" w:hAnsi="Times New Roman"/>
                <w:noProof/>
                <w:lang w:val="fi-FI" w:eastAsia="fi-FI" w:bidi="fi-FI"/>
              </w:rPr>
              <w:t>nteessa, jossa vuonna 2012 alkanut nettovelallismaiden suhteellisen kilpailukyvyn parantuminen on viime aikoina heikentynyt (kuvio B.5). Toisaalta politiikoilla, joilla edistetään investointeja ja saadaan pysähtynyt palkkakehitys jälleen käyntiin, autettai</w:t>
            </w:r>
            <w:r>
              <w:rPr>
                <w:rFonts w:ascii="Times New Roman" w:hAnsi="Times New Roman"/>
                <w:noProof/>
                <w:lang w:val="fi-FI" w:eastAsia="fi-FI" w:bidi="fi-FI"/>
              </w:rPr>
              <w:t>siin selviytymään nettovelkojamaiden jatkuvista suurista ylijäämistä samalla kun tuettaisiin kasvupotentiaalia ja vähennettäisiin kasvunäkymien riippuvuutta ulkomaisesta kysynnästä.</w:t>
            </w:r>
          </w:p>
          <w:tbl>
            <w:tblPr>
              <w:tblW w:w="9214" w:type="dxa"/>
              <w:tblLayout w:type="fixed"/>
              <w:tblLook w:val="04A0" w:firstRow="1" w:lastRow="0" w:firstColumn="1" w:lastColumn="0" w:noHBand="0" w:noVBand="1"/>
            </w:tblPr>
            <w:tblGrid>
              <w:gridCol w:w="4536"/>
              <w:gridCol w:w="4429"/>
              <w:gridCol w:w="249"/>
            </w:tblGrid>
            <w:tr w:rsidR="00876CA6" w:rsidRPr="0031278A">
              <w:tc>
                <w:tcPr>
                  <w:tcW w:w="4536" w:type="dxa"/>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 xml:space="preserve">Kuvio B.5: Tasapainottaminen euroalueella (työttömyys, palkkojen nousu ja </w:t>
                  </w:r>
                  <w:r>
                    <w:rPr>
                      <w:rFonts w:ascii="Times New Roman" w:hAnsi="Times New Roman"/>
                      <w:b/>
                      <w:noProof/>
                      <w:lang w:val="fi-FI" w:eastAsia="fi-FI" w:bidi="fi-FI"/>
                    </w:rPr>
                    <w:t>yksikkötyökustannusten kasvu)</w:t>
                  </w:r>
                </w:p>
              </w:tc>
              <w:tc>
                <w:tcPr>
                  <w:tcW w:w="4429" w:type="dxa"/>
                </w:tcPr>
                <w:p w:rsidR="00876CA6" w:rsidRDefault="0031278A">
                  <w:pPr>
                    <w:jc w:val="both"/>
                    <w:rPr>
                      <w:rFonts w:ascii="Times New Roman" w:hAnsi="Times New Roman" w:cs="Times New Roman"/>
                      <w:b/>
                      <w:noProof/>
                      <w:lang w:val="fi-FI" w:eastAsia="fi-FI" w:bidi="fi-FI"/>
                    </w:rPr>
                  </w:pPr>
                  <w:r>
                    <w:rPr>
                      <w:rFonts w:ascii="Times New Roman" w:hAnsi="Times New Roman"/>
                      <w:b/>
                      <w:noProof/>
                      <w:lang w:val="fi-FI" w:eastAsia="fi-FI" w:bidi="fi-FI"/>
                    </w:rPr>
                    <w:t>Kuvio B.6: Velka ja potentiaalisen kasvun näkymät euroalueen maissa</w:t>
                  </w:r>
                </w:p>
              </w:tc>
              <w:tc>
                <w:tcPr>
                  <w:tcW w:w="249" w:type="dxa"/>
                </w:tcPr>
                <w:p w:rsidR="00876CA6" w:rsidRDefault="00876CA6">
                  <w:pPr>
                    <w:jc w:val="both"/>
                    <w:rPr>
                      <w:rFonts w:ascii="Times New Roman" w:hAnsi="Times New Roman" w:cs="Times New Roman"/>
                      <w:b/>
                      <w:noProof/>
                      <w:lang w:val="fi-FI" w:eastAsia="fi-FI" w:bidi="fi-FI"/>
                    </w:rPr>
                  </w:pPr>
                </w:p>
              </w:tc>
            </w:tr>
            <w:tr w:rsidR="00876CA6">
              <w:tc>
                <w:tcPr>
                  <w:tcW w:w="4536" w:type="dxa"/>
                </w:tcPr>
                <w:tbl>
                  <w:tblPr>
                    <w:tblW w:w="4423" w:type="dxa"/>
                    <w:tblLayout w:type="fixed"/>
                    <w:tblLook w:val="04A0" w:firstRow="1" w:lastRow="0" w:firstColumn="1" w:lastColumn="0" w:noHBand="0" w:noVBand="1"/>
                  </w:tblPr>
                  <w:tblGrid>
                    <w:gridCol w:w="4423"/>
                  </w:tblGrid>
                  <w:tr w:rsidR="00876CA6">
                    <w:tc>
                      <w:tcPr>
                        <w:tcW w:w="4423" w:type="dxa"/>
                        <w:tcBorders>
                          <w:top w:val="nil"/>
                          <w:left w:val="nil"/>
                          <w:bottom w:val="nil"/>
                          <w:right w:val="nil"/>
                        </w:tcBorders>
                      </w:tcPr>
                      <w:p w:rsidR="00876CA6" w:rsidRDefault="0031278A">
                        <w:pPr>
                          <w:ind w:right="113"/>
                          <w:rPr>
                            <w:noProof/>
                            <w:lang w:val="fi-FI" w:eastAsia="fi-FI" w:bidi="fi-FI"/>
                          </w:rPr>
                        </w:pPr>
                        <w:r>
                          <w:rPr>
                            <w:noProof/>
                            <w:lang w:eastAsia="en-GB"/>
                          </w:rPr>
                          <w:drawing>
                            <wp:inline distT="0" distB="0" distL="0" distR="0">
                              <wp:extent cx="2674620" cy="24155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4620" cy="2415540"/>
                                      </a:xfrm>
                                      <a:prstGeom prst="rect">
                                        <a:avLst/>
                                      </a:prstGeom>
                                      <a:noFill/>
                                      <a:ln>
                                        <a:noFill/>
                                      </a:ln>
                                    </pic:spPr>
                                  </pic:pic>
                                </a:graphicData>
                              </a:graphic>
                            </wp:inline>
                          </w:drawing>
                        </w:r>
                      </w:p>
                    </w:tc>
                  </w:tr>
                </w:tbl>
                <w:p w:rsidR="00876CA6" w:rsidRDefault="00876CA6">
                  <w:pPr>
                    <w:jc w:val="both"/>
                    <w:rPr>
                      <w:rFonts w:ascii="Times New Roman" w:hAnsi="Times New Roman" w:cs="Times New Roman"/>
                      <w:noProof/>
                      <w:lang w:val="fi-FI" w:eastAsia="fi-FI" w:bidi="fi-FI"/>
                    </w:rPr>
                  </w:pPr>
                </w:p>
              </w:tc>
              <w:tc>
                <w:tcPr>
                  <w:tcW w:w="4429" w:type="dxa"/>
                </w:tcPr>
                <w:p w:rsidR="00876CA6" w:rsidRDefault="0031278A">
                  <w:pPr>
                    <w:jc w:val="both"/>
                    <w:rPr>
                      <w:rFonts w:ascii="Times New Roman" w:hAnsi="Times New Roman" w:cs="Times New Roman"/>
                      <w:noProof/>
                      <w:lang w:val="fi-FI" w:eastAsia="fi-FI" w:bidi="fi-FI"/>
                    </w:rPr>
                  </w:pPr>
                  <w:r>
                    <w:rPr>
                      <w:rFonts w:ascii="Times New Roman" w:hAnsi="Times New Roman" w:cs="Times New Roman"/>
                      <w:noProof/>
                      <w:lang w:eastAsia="en-GB"/>
                    </w:rPr>
                    <w:drawing>
                      <wp:inline distT="0" distB="0" distL="0" distR="0">
                        <wp:extent cx="2674620" cy="2415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2415540"/>
                                </a:xfrm>
                                <a:prstGeom prst="rect">
                                  <a:avLst/>
                                </a:prstGeom>
                                <a:noFill/>
                                <a:ln>
                                  <a:noFill/>
                                </a:ln>
                              </pic:spPr>
                            </pic:pic>
                          </a:graphicData>
                        </a:graphic>
                      </wp:inline>
                    </w:drawing>
                  </w:r>
                </w:p>
              </w:tc>
              <w:tc>
                <w:tcPr>
                  <w:tcW w:w="249" w:type="dxa"/>
                </w:tcPr>
                <w:p w:rsidR="00876CA6" w:rsidRDefault="00876CA6">
                  <w:pPr>
                    <w:jc w:val="both"/>
                    <w:rPr>
                      <w:rFonts w:ascii="Times New Roman" w:hAnsi="Times New Roman" w:cs="Times New Roman"/>
                      <w:noProof/>
                      <w:lang w:val="fi-FI" w:eastAsia="fi-FI" w:bidi="fi-FI"/>
                    </w:rPr>
                  </w:pPr>
                </w:p>
              </w:tc>
            </w:tr>
            <w:tr w:rsidR="00876CA6" w:rsidRPr="0031278A">
              <w:trPr>
                <w:gridAfter w:val="1"/>
                <w:wAfter w:w="249" w:type="dxa"/>
              </w:trPr>
              <w:tc>
                <w:tcPr>
                  <w:tcW w:w="4536" w:type="dxa"/>
                </w:tcPr>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w:t>
                  </w:r>
                </w:p>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”Ylijäämämaihin” kuuluvat Alankomaat, Belgia, Itävalta, Luxemburg, Saksa ja Suomi. Kaikkien muiden euroalueen nykyisten jäsenten katsotaan olevan ”alijäämämaita”. </w:t>
                  </w:r>
                </w:p>
              </w:tc>
              <w:tc>
                <w:tcPr>
                  <w:tcW w:w="4429" w:type="dxa"/>
                </w:tcPr>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AMECO-tietokanta.</w:t>
                  </w:r>
                  <w:r>
                    <w:rPr>
                      <w:rFonts w:ascii="Times New Roman" w:hAnsi="Times New Roman"/>
                      <w:noProof/>
                      <w:lang w:val="fi-FI" w:eastAsia="fi-FI" w:bidi="fi-FI"/>
                    </w:rPr>
                    <w:t xml:space="preserve"> </w:t>
                  </w:r>
                </w:p>
                <w:p w:rsidR="00876CA6" w:rsidRDefault="0031278A">
                  <w:pPr>
                    <w:jc w:val="both"/>
                    <w:rPr>
                      <w:rFonts w:ascii="Times New Roman" w:hAnsi="Times New Roman" w:cs="Times New Roman"/>
                      <w:noProof/>
                      <w:sz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kuplien suuruus kuvastaa julkisen velan arvoa (% suhteessa </w:t>
                  </w:r>
                  <w:r>
                    <w:rPr>
                      <w:rFonts w:ascii="Times New Roman" w:hAnsi="Times New Roman"/>
                      <w:noProof/>
                      <w:sz w:val="20"/>
                      <w:lang w:val="fi-FI" w:eastAsia="fi-FI" w:bidi="fi-FI"/>
                    </w:rPr>
                    <w:t>BKT:hen) vuonna 2017.</w:t>
                  </w:r>
                </w:p>
              </w:tc>
            </w:tr>
          </w:tbl>
          <w:p w:rsidR="00876CA6" w:rsidRDefault="00876CA6">
            <w:pPr>
              <w:jc w:val="both"/>
              <w:rPr>
                <w:rFonts w:ascii="Times New Roman" w:hAnsi="Times New Roman" w:cs="Times New Roman"/>
                <w:b/>
                <w:noProof/>
                <w:lang w:val="fi-FI" w:eastAsia="fi-FI" w:bidi="fi-FI"/>
              </w:rPr>
            </w:pPr>
          </w:p>
        </w:tc>
      </w:tr>
    </w:tbl>
    <w:p w:rsidR="00876CA6" w:rsidRDefault="00876CA6">
      <w:pPr>
        <w:rPr>
          <w:rFonts w:ascii="Times New Roman" w:eastAsia="Times New Roman" w:hAnsi="Times New Roman" w:cs="Times New Roman"/>
          <w:b/>
          <w:noProof/>
          <w:lang w:val="fi-FI" w:eastAsia="fi-FI" w:bidi="fi-FI"/>
        </w:rPr>
      </w:pPr>
    </w:p>
    <w:p w:rsidR="00876CA6" w:rsidRDefault="0031278A">
      <w:pPr>
        <w:rPr>
          <w:rFonts w:ascii="Times New Roman" w:eastAsia="Times New Roman" w:hAnsi="Times New Roman" w:cs="Times New Roman"/>
          <w:b/>
          <w:noProof/>
          <w:lang w:val="fi-FI" w:eastAsia="fi-FI" w:bidi="fi-FI"/>
        </w:rPr>
      </w:pPr>
      <w:r>
        <w:rPr>
          <w:noProof/>
          <w:lang w:val="fi-FI" w:eastAsia="fi-FI" w:bidi="fi-FI"/>
        </w:rPr>
        <w:br w:type="page"/>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Yksityisen sektorin velkasuhteet ovat vähitellen supistumassa, mutta ne ovat edelleen korkealla tasolla useissa jäsenvaltioissa.</w:t>
      </w:r>
      <w:r>
        <w:rPr>
          <w:rFonts w:ascii="Times New Roman" w:hAnsi="Times New Roman"/>
          <w:noProof/>
          <w:lang w:val="fi-FI" w:eastAsia="fi-FI" w:bidi="fi-FI"/>
        </w:rPr>
        <w:t xml:space="preserve"> Kaksitoista jäsenvaltiota ylitti vuonna 2017 tulostaulussa yksityiselle velalle asetetun kynnysarvon. Kyseiset maat ovat samat kuin viime vuoden varoitusmekanismia koskevassa kertomuksessa. Yksityisen sektorin velkasuhteet ovat suurimmat Alankomaissa, Irl</w:t>
      </w:r>
      <w:r>
        <w:rPr>
          <w:rFonts w:ascii="Times New Roman" w:hAnsi="Times New Roman"/>
          <w:noProof/>
          <w:lang w:val="fi-FI" w:eastAsia="fi-FI" w:bidi="fi-FI"/>
        </w:rPr>
        <w:t>annissa, Kyproksessa ja Luxemburgissa, mutta niiden lukuihin vaikuttavat monikansallisten yritysten toimintaan liittyvät valtioiden rajat ylittävät liiketoimet. Erityisen suuria yksityisen velan määriä on kirjattu myös Belgiassa, Portugalissa, Ruotsissa, T</w:t>
      </w:r>
      <w:r>
        <w:rPr>
          <w:rFonts w:ascii="Times New Roman" w:hAnsi="Times New Roman"/>
          <w:noProof/>
          <w:lang w:val="fi-FI" w:eastAsia="fi-FI" w:bidi="fi-FI"/>
        </w:rPr>
        <w:t>anskassa ja Yhdistyneessä kuningaskunnassa, joissa yksityisen velan määrät ovat yli 160 prosenttia suhteessa BKT:hen. Kotitalouksien ja rahoitusalan ulkopuolisten yritysten suhteelliset osuudet yksityisen sektorin suuresta velkamäärästä vaihtelevat jäsenva</w:t>
      </w:r>
      <w:r>
        <w:rPr>
          <w:rFonts w:ascii="Times New Roman" w:hAnsi="Times New Roman"/>
          <w:noProof/>
          <w:lang w:val="fi-FI" w:eastAsia="fi-FI" w:bidi="fi-FI"/>
        </w:rPr>
        <w:t>ltioittain.</w:t>
      </w:r>
      <w:r>
        <w:rPr>
          <w:rFonts w:ascii="Times New Roman" w:hAnsi="Times New Roman"/>
          <w:b/>
          <w:noProof/>
          <w:lang w:val="fi-FI" w:eastAsia="fi-FI" w:bidi="fi-FI"/>
        </w:rPr>
        <w:t xml:space="preserve"> </w:t>
      </w:r>
      <w:r>
        <w:rPr>
          <w:rFonts w:ascii="Times New Roman" w:hAnsi="Times New Roman"/>
          <w:noProof/>
          <w:lang w:val="fi-FI" w:eastAsia="fi-FI" w:bidi="fi-FI"/>
        </w:rPr>
        <w:t>Belgian, Irlannin ja Luxemburgin osalta yksityisen sektorin suuret velkaantumisasteet johtuvat pääasiassa rahoitusalan ulkopuolisten yritysten velkaantuneisuudesta. Sitä vastoin Tanskassa ja Yhdistyneessä kuningaskunnassa suuret yksityisen sekt</w:t>
      </w:r>
      <w:r>
        <w:rPr>
          <w:rFonts w:ascii="Times New Roman" w:hAnsi="Times New Roman"/>
          <w:noProof/>
          <w:lang w:val="fi-FI" w:eastAsia="fi-FI" w:bidi="fi-FI"/>
        </w:rPr>
        <w:t xml:space="preserve">orin velkamäärät johtuvat kotitaloussektorista. Alankomaissa, Kyproksessa, Portugalissa ja Ruotsissa sekä yritysten että kotitalouksien velkaantuneisuus on korkea muihin maihin verrattuna. </w:t>
      </w:r>
      <w:r>
        <w:rPr>
          <w:noProof/>
          <w:lang w:val="fi-FI" w:eastAsia="fi-FI" w:bidi="fi-FI"/>
        </w:rPr>
        <w:t>Erot yksityisen velan määrissä maiden välillä selittyvät pitkälti e</w:t>
      </w:r>
      <w:r>
        <w:rPr>
          <w:noProof/>
          <w:lang w:val="fi-FI" w:eastAsia="fi-FI" w:bidi="fi-FI"/>
        </w:rPr>
        <w:t>roilla perustekijöissä, joiden vuoksi velkaantuminen on perusteltavissa. Tällaisiin kuuluvat muun muassa kasvu- ja investointinäkymät sekä rahoitusalan kehitys. Velkatason arvioinnissa olisi sen vuoksi otettava huomioon nämä tekijät sekä muut seikat, jotka</w:t>
      </w:r>
      <w:r>
        <w:rPr>
          <w:noProof/>
          <w:lang w:val="fi-FI" w:eastAsia="fi-FI" w:bidi="fi-FI"/>
        </w:rPr>
        <w:t xml:space="preserve"> vaikuttavat suuren velan aiheuttamiin riskeihin ennakoivasta näkökulmasta</w:t>
      </w:r>
      <w:r>
        <w:rPr>
          <w:noProof/>
          <w:vertAlign w:val="superscript"/>
          <w:lang w:val="fi-FI" w:eastAsia="fi-FI" w:bidi="fi-FI"/>
        </w:rPr>
        <w:footnoteReference w:id="30"/>
      </w:r>
      <w:r>
        <w:rPr>
          <w:noProof/>
          <w:lang w:val="fi-FI" w:eastAsia="fi-FI" w:bidi="fi-FI"/>
        </w:rPr>
        <w:t>.</w:t>
      </w:r>
    </w:p>
    <w:p w:rsidR="00876CA6" w:rsidRDefault="00876CA6">
      <w:pPr>
        <w:keepNext/>
        <w:spacing w:before="120" w:after="120"/>
        <w:jc w:val="center"/>
        <w:rPr>
          <w:rFonts w:ascii="Times New Roman" w:eastAsia="MS Mincho" w:hAnsi="Times New Roman" w:cs="Times New Roman"/>
          <w:b/>
          <w:bCs/>
          <w:noProof/>
          <w:lang w:val="fi-FI" w:eastAsia="fi-FI" w:bidi="fi-FI"/>
        </w:rPr>
      </w:pP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11: Rahoitusalan ulkopuolisten yritysten velkaantumisen väheneminen</w:t>
      </w:r>
    </w:p>
    <w:p w:rsidR="00876CA6" w:rsidRDefault="0031278A">
      <w:pPr>
        <w:keepNext/>
        <w:spacing w:after="0"/>
        <w:jc w:val="center"/>
        <w:rPr>
          <w:rFonts w:ascii="Times New Roman" w:eastAsia="MS Mincho" w:hAnsi="Times New Roman" w:cs="Times New Roman"/>
          <w:b/>
          <w:bCs/>
          <w:noProof/>
          <w:lang w:val="fi-FI" w:eastAsia="fi-FI" w:bidi="fi-FI"/>
        </w:rPr>
      </w:pPr>
      <w:r>
        <w:rPr>
          <w:noProof/>
          <w:lang w:eastAsia="en-GB"/>
        </w:rPr>
        <w:drawing>
          <wp:inline distT="0" distB="0" distL="0" distR="0">
            <wp:extent cx="5181600" cy="31546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1600" cy="3154680"/>
                    </a:xfrm>
                    <a:prstGeom prst="rect">
                      <a:avLst/>
                    </a:prstGeom>
                    <a:noFill/>
                    <a:ln>
                      <a:noFill/>
                    </a:ln>
                  </pic:spPr>
                </pic:pic>
              </a:graphicData>
            </a:graphic>
          </wp:inline>
        </w:drawing>
      </w:r>
    </w:p>
    <w:p w:rsidR="00876CA6" w:rsidRDefault="0031278A">
      <w:pPr>
        <w:keepNext/>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Eurostatin konsolidoitut vuotuiset sektoritilit, komission yksiköiden laskelmat.</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w:t>
      </w:r>
      <w:r>
        <w:rPr>
          <w:rFonts w:ascii="Times New Roman" w:hAnsi="Times New Roman"/>
          <w:noProof/>
          <w:sz w:val="20"/>
          <w:lang w:val="fi-FI" w:eastAsia="fi-FI" w:bidi="fi-FI"/>
        </w:rPr>
        <w:t>tetään vuoden 2017 velkasuhteen mukaisessa laskevassa järjestyksessä. Maakoodien alapuolella olevat numerot ilmoittavat huippuvuoden. Kasvua huippuvuoteen laskettaessa perusvuotena on vuoden 2000 sijaan käytetty Kroatian ja Irlannin tapauksessa vuotta 2001</w:t>
      </w:r>
      <w:r>
        <w:rPr>
          <w:rFonts w:ascii="Times New Roman" w:hAnsi="Times New Roman"/>
          <w:noProof/>
          <w:sz w:val="20"/>
          <w:lang w:val="fi-FI" w:eastAsia="fi-FI" w:bidi="fi-FI"/>
        </w:rPr>
        <w:t xml:space="preserve"> ja Kyproksen tapauksessa vuotta 2006. Luxemburgia, Irlantia ja Belgiaa koskevia havaintoja on typistetty, jotta ne mahtuisivat asteikolle.</w:t>
      </w:r>
    </w:p>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12: Kotitalouksien velkaantumisen väheneminen</w:t>
      </w:r>
    </w:p>
    <w:p w:rsidR="00876CA6" w:rsidRDefault="0031278A">
      <w:pPr>
        <w:keepNext/>
        <w:spacing w:before="120" w:after="120"/>
        <w:jc w:val="center"/>
        <w:rPr>
          <w:rFonts w:ascii="Times New Roman" w:eastAsia="MS Mincho" w:hAnsi="Times New Roman" w:cs="Times New Roman"/>
          <w:b/>
          <w:bCs/>
          <w:noProof/>
          <w:lang w:val="fi-FI" w:eastAsia="fi-FI" w:bidi="fi-FI"/>
        </w:rPr>
      </w:pPr>
      <w:r>
        <w:rPr>
          <w:noProof/>
          <w:lang w:eastAsia="en-GB"/>
        </w:rPr>
        <w:drawing>
          <wp:inline distT="0" distB="0" distL="0" distR="0">
            <wp:extent cx="5204460" cy="37109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4460" cy="3710940"/>
                    </a:xfrm>
                    <a:prstGeom prst="rect">
                      <a:avLst/>
                    </a:prstGeom>
                    <a:noFill/>
                    <a:ln>
                      <a:noFill/>
                    </a:ln>
                  </pic:spPr>
                </pic:pic>
              </a:graphicData>
            </a:graphic>
          </wp:inline>
        </w:drawing>
      </w:r>
    </w:p>
    <w:p w:rsidR="00876CA6" w:rsidRDefault="0031278A">
      <w:pPr>
        <w:keepNext/>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Eurostatin konsolidoitut vuotuiset sektoritilit, komiss</w:t>
      </w:r>
      <w:r>
        <w:rPr>
          <w:rFonts w:ascii="Times New Roman" w:hAnsi="Times New Roman"/>
          <w:noProof/>
          <w:sz w:val="20"/>
          <w:lang w:val="fi-FI" w:eastAsia="fi-FI" w:bidi="fi-FI"/>
        </w:rPr>
        <w:t>ion yksiköiden laskelmat.</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Maat esitetään vuoden 2017 velkasuhteen mukaisessa laskevassa järjestyksessä. Maakoodien alapuolella olevat numerot ilmoittavat huippuvuoden. Kasvua huippuvuoteen laskettaessa perusvuotena on vuoden 2000 sijaan käytetty Kroatian ja Irlannin tapauksessa vu</w:t>
      </w:r>
      <w:r>
        <w:rPr>
          <w:rFonts w:ascii="Times New Roman" w:hAnsi="Times New Roman"/>
          <w:noProof/>
          <w:sz w:val="20"/>
          <w:lang w:val="fi-FI" w:eastAsia="fi-FI" w:bidi="fi-FI"/>
        </w:rPr>
        <w:t xml:space="preserve">otta 2001. </w:t>
      </w:r>
    </w:p>
    <w:p w:rsidR="00876CA6" w:rsidRDefault="00876CA6">
      <w:pPr>
        <w:spacing w:before="120" w:after="120"/>
        <w:jc w:val="both"/>
        <w:rPr>
          <w:rFonts w:ascii="Times New Roman" w:eastAsia="Times New Roman" w:hAnsi="Times New Roman" w:cs="Times New Roman"/>
          <w:b/>
          <w:noProof/>
          <w:sz w:val="24"/>
          <w:szCs w:val="24"/>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Yksityisen sektorin velkasuhteet ovat pienenemässä huippulukemista useimmissa jäsenvaltioissa, mutta vauhti ei ole aina linjassa velan vähentämistarpeiden kanssa.</w:t>
      </w:r>
      <w:r>
        <w:rPr>
          <w:rFonts w:ascii="Times New Roman" w:hAnsi="Times New Roman"/>
          <w:noProof/>
          <w:lang w:val="fi-FI" w:eastAsia="fi-FI" w:bidi="fi-FI"/>
        </w:rPr>
        <w:t xml:space="preserve"> </w:t>
      </w:r>
      <w:r>
        <w:rPr>
          <w:noProof/>
          <w:lang w:val="fi-FI" w:eastAsia="fi-FI" w:bidi="fi-FI"/>
        </w:rPr>
        <w:t>Velkaantumisen purkaminen on alkanut rahoitusalan ulkopuolisista yrityksistä, ja</w:t>
      </w:r>
      <w:r>
        <w:rPr>
          <w:noProof/>
          <w:lang w:val="fi-FI" w:eastAsia="fi-FI" w:bidi="fi-FI"/>
        </w:rPr>
        <w:t xml:space="preserve"> se on niiden tapauksessa ollut nopeampaa kuin kotitaloussektorilla. Tämä johtuu sekä yrityssektorin negatiivisemmista nettoluottovirroista että nimellisen kasvun voimakkaammasta vaikutuksesta velkasuhteen supistumiseen, kun otetaan huomioon yritysten suur</w:t>
      </w:r>
      <w:r>
        <w:rPr>
          <w:noProof/>
          <w:lang w:val="fi-FI" w:eastAsia="fi-FI" w:bidi="fi-FI"/>
        </w:rPr>
        <w:t>emmat velkamäärät verrattuna kotitalouksiin.</w:t>
      </w:r>
      <w:r>
        <w:rPr>
          <w:rFonts w:ascii="Times New Roman" w:hAnsi="Times New Roman"/>
          <w:noProof/>
          <w:lang w:val="fi-FI" w:eastAsia="fi-FI" w:bidi="fi-FI"/>
        </w:rPr>
        <w:t xml:space="preserve"> </w:t>
      </w:r>
    </w:p>
    <w:p w:rsidR="00876CA6" w:rsidRDefault="0031278A">
      <w:pPr>
        <w:numPr>
          <w:ilvl w:val="0"/>
          <w:numId w:val="24"/>
        </w:numPr>
        <w:spacing w:before="120" w:after="120"/>
        <w:contextualSpacing/>
        <w:jc w:val="both"/>
        <w:rPr>
          <w:rFonts w:ascii="Times New Roman" w:eastAsia="Times New Roman" w:hAnsi="Times New Roman" w:cs="Times New Roman"/>
          <w:b/>
          <w:noProof/>
          <w:lang w:val="fi-FI" w:eastAsia="fi-FI" w:bidi="fi-FI"/>
        </w:rPr>
      </w:pPr>
      <w:r>
        <w:rPr>
          <w:rFonts w:ascii="Times New Roman" w:hAnsi="Times New Roman"/>
          <w:noProof/>
          <w:lang w:val="fi-FI" w:eastAsia="fi-FI" w:bidi="fi-FI"/>
        </w:rPr>
        <w:t xml:space="preserve">Useissa maissa </w:t>
      </w:r>
      <w:r>
        <w:rPr>
          <w:rFonts w:ascii="Times New Roman" w:hAnsi="Times New Roman"/>
          <w:b/>
          <w:noProof/>
          <w:lang w:val="fi-FI" w:eastAsia="fi-FI" w:bidi="fi-FI"/>
        </w:rPr>
        <w:t>rahoitusalan ulkopuoliset yritykset</w:t>
      </w:r>
      <w:r>
        <w:rPr>
          <w:rFonts w:ascii="Times New Roman" w:hAnsi="Times New Roman"/>
          <w:noProof/>
          <w:lang w:val="fi-FI" w:eastAsia="fi-FI" w:bidi="fi-FI"/>
        </w:rPr>
        <w:t xml:space="preserve"> ovat onnistuneet supistamaan ainakin noin puolella niitä velkasuhteita, jotka kertyivät vuoden 2000 ja sen vuoden välisenä aikana, jona niiden velka oli huipussaan (Espanja, Italia, Kroatia, Latvia, Liettua, Portugali, Romania, Ruotsi, Slovenia, Tanska, U</w:t>
      </w:r>
      <w:r>
        <w:rPr>
          <w:rFonts w:ascii="Times New Roman" w:hAnsi="Times New Roman"/>
          <w:noProof/>
          <w:lang w:val="fi-FI" w:eastAsia="fi-FI" w:bidi="fi-FI"/>
        </w:rPr>
        <w:t xml:space="preserve">nkari, Viro ja Yhdistynyt kuningaskunta). Velkaantumisen vähentämisvauhti ei kuitenkaan aina vastannut velkaantumisen vähentämistarpeita, sillä neljässä maassa, joissa yritysten velkasuhteet ovat suurimpien joukossa (Alankomaat, Belgia, Irlanti, Kypros ja </w:t>
      </w:r>
      <w:r>
        <w:rPr>
          <w:rFonts w:ascii="Times New Roman" w:hAnsi="Times New Roman"/>
          <w:noProof/>
          <w:lang w:val="fi-FI" w:eastAsia="fi-FI" w:bidi="fi-FI"/>
        </w:rPr>
        <w:t xml:space="preserve">Luxemburg), yritysten velkaantumisen vähentäminen on ollut vaatimatonta velkakantoihin nähden. Ranskassa rahoitusalan ulkopuolisten yritysten velkatasot puolestaan ovat edelleen kasvaneet (kuvio 11). </w:t>
      </w:r>
    </w:p>
    <w:p w:rsidR="00876CA6" w:rsidRDefault="0031278A">
      <w:pPr>
        <w:numPr>
          <w:ilvl w:val="0"/>
          <w:numId w:val="24"/>
        </w:numPr>
        <w:spacing w:before="120" w:after="120"/>
        <w:contextualSpacing/>
        <w:jc w:val="both"/>
        <w:rPr>
          <w:rFonts w:ascii="Times New Roman" w:eastAsia="Times New Roman" w:hAnsi="Times New Roman" w:cs="Times New Roman"/>
          <w:b/>
          <w:noProof/>
          <w:lang w:val="fi-FI" w:eastAsia="fi-FI" w:bidi="fi-FI"/>
        </w:rPr>
      </w:pPr>
      <w:r>
        <w:rPr>
          <w:rFonts w:ascii="Times New Roman" w:hAnsi="Times New Roman"/>
          <w:b/>
          <w:noProof/>
          <w:lang w:val="fi-FI" w:eastAsia="fi-FI" w:bidi="fi-FI"/>
        </w:rPr>
        <w:t>Kotitalouksien</w:t>
      </w:r>
      <w:r>
        <w:rPr>
          <w:noProof/>
          <w:lang w:val="fi-FI" w:eastAsia="fi-FI" w:bidi="fi-FI"/>
        </w:rPr>
        <w:t xml:space="preserve"> velkaantumisaste on kahden viimeksi kulu</w:t>
      </w:r>
      <w:r>
        <w:rPr>
          <w:noProof/>
          <w:lang w:val="fi-FI" w:eastAsia="fi-FI" w:bidi="fi-FI"/>
        </w:rPr>
        <w:t xml:space="preserve">neen vuoden aikana laskenut niissä kolmessa jäsenvaltiossa, joissa kotitalouksien velka oli suurin (ts. Alankomaissa, Kyproksessa ja Tanskassa), ja muissa sellaisissa jäsenvaltioissa, joissa kotitalouksilla on runsaasti velkaa, kuten Espanjassa, Kreikassa </w:t>
      </w:r>
      <w:r>
        <w:rPr>
          <w:noProof/>
          <w:lang w:val="fi-FI" w:eastAsia="fi-FI" w:bidi="fi-FI"/>
        </w:rPr>
        <w:t>ja Portugalissa (kuvio 12).</w:t>
      </w:r>
      <w:r>
        <w:rPr>
          <w:rFonts w:ascii="Times New Roman" w:hAnsi="Times New Roman"/>
          <w:noProof/>
          <w:lang w:val="fi-FI" w:eastAsia="fi-FI" w:bidi="fi-FI"/>
        </w:rPr>
        <w:t xml:space="preserve"> Kotitaloudet eivät enää vähennä velkojaan Yhdistyneessä kuningaskunnassa, ja suhteellisen korkeat velkasuhteet Suomessa ja Ruotsissa kasvoivat edelleen.</w:t>
      </w:r>
    </w:p>
    <w:p w:rsidR="00876CA6" w:rsidRDefault="00876CA6">
      <w:pPr>
        <w:rPr>
          <w:noProof/>
          <w:lang w:val="fi-FI" w:eastAsia="fi-FI" w:bidi="fi-FI"/>
        </w:rPr>
      </w:pPr>
    </w:p>
    <w:tbl>
      <w:tblPr>
        <w:tblW w:w="0" w:type="auto"/>
        <w:tblLook w:val="04A0" w:firstRow="1" w:lastRow="0" w:firstColumn="1" w:lastColumn="0" w:noHBand="0" w:noVBand="1"/>
      </w:tblPr>
      <w:tblGrid>
        <w:gridCol w:w="4738"/>
        <w:gridCol w:w="4550"/>
      </w:tblGrid>
      <w:tr w:rsidR="00876CA6" w:rsidRPr="0031278A">
        <w:tc>
          <w:tcPr>
            <w:tcW w:w="4644" w:type="dxa"/>
          </w:tcPr>
          <w:p w:rsidR="00876CA6" w:rsidRDefault="0031278A">
            <w:pPr>
              <w:spacing w:before="120" w:after="120"/>
              <w:jc w:val="both"/>
              <w:rPr>
                <w:rFonts w:ascii="Times New Roman" w:eastAsia="Times New Roman" w:hAnsi="Times New Roman" w:cs="Times New Roman"/>
                <w:noProof/>
                <w:sz w:val="24"/>
                <w:szCs w:val="24"/>
                <w:lang w:val="fi-FI" w:eastAsia="fi-FI" w:bidi="fi-FI"/>
              </w:rPr>
            </w:pPr>
            <w:r>
              <w:rPr>
                <w:rFonts w:ascii="Times New Roman" w:hAnsi="Times New Roman"/>
                <w:b/>
                <w:noProof/>
                <w:lang w:val="fi-FI" w:eastAsia="fi-FI" w:bidi="fi-FI"/>
              </w:rPr>
              <w:t xml:space="preserve">Kuvio 13: Rahoitusalan ulkopuolisten yritysten velkasuhteen muutos, eri </w:t>
            </w:r>
            <w:r>
              <w:rPr>
                <w:rFonts w:ascii="Times New Roman" w:hAnsi="Times New Roman"/>
                <w:b/>
                <w:noProof/>
                <w:lang w:val="fi-FI" w:eastAsia="fi-FI" w:bidi="fi-FI"/>
              </w:rPr>
              <w:t>osatekijöiden vaikutus (vuoden 2018 ensimmäinen neljännes)</w:t>
            </w:r>
          </w:p>
        </w:tc>
        <w:tc>
          <w:tcPr>
            <w:tcW w:w="4644" w:type="dxa"/>
          </w:tcPr>
          <w:p w:rsidR="00876CA6" w:rsidRDefault="0031278A">
            <w:pPr>
              <w:keepNext/>
              <w:spacing w:before="120" w:after="120"/>
              <w:jc w:val="both"/>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14: Kotitalouksien velkasuhteen muutos, eri osatekijöiden vaikutus (vuoden 2018 ensimmäinen neljännes)</w:t>
            </w:r>
          </w:p>
        </w:tc>
      </w:tr>
      <w:tr w:rsidR="00876CA6">
        <w:tc>
          <w:tcPr>
            <w:tcW w:w="4644" w:type="dxa"/>
          </w:tcPr>
          <w:p w:rsidR="00876CA6" w:rsidRDefault="0031278A">
            <w:pPr>
              <w:jc w:val="both"/>
              <w:rPr>
                <w:rFonts w:ascii="Times New Roman" w:eastAsia="Times New Roman" w:hAnsi="Times New Roman" w:cs="Times New Roman"/>
                <w:noProof/>
                <w:sz w:val="24"/>
                <w:szCs w:val="24"/>
                <w:lang w:val="fi-FI" w:eastAsia="fi-FI" w:bidi="fi-FI"/>
              </w:rPr>
            </w:pPr>
            <w:r>
              <w:rPr>
                <w:rFonts w:ascii="Times New Roman" w:eastAsia="Times New Roman" w:hAnsi="Times New Roman" w:cs="Times New Roman"/>
                <w:noProof/>
                <w:sz w:val="24"/>
                <w:szCs w:val="24"/>
                <w:lang w:eastAsia="en-GB"/>
              </w:rPr>
              <w:drawing>
                <wp:inline distT="0" distB="0" distL="0" distR="0">
                  <wp:extent cx="2961633" cy="2689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4754" cy="2692695"/>
                          </a:xfrm>
                          <a:prstGeom prst="rect">
                            <a:avLst/>
                          </a:prstGeom>
                          <a:noFill/>
                          <a:ln>
                            <a:noFill/>
                          </a:ln>
                        </pic:spPr>
                      </pic:pic>
                    </a:graphicData>
                  </a:graphic>
                </wp:inline>
              </w:drawing>
            </w:r>
          </w:p>
        </w:tc>
        <w:tc>
          <w:tcPr>
            <w:tcW w:w="4644" w:type="dxa"/>
          </w:tcPr>
          <w:p w:rsidR="00876CA6" w:rsidRDefault="0031278A">
            <w:pPr>
              <w:keepNext/>
              <w:jc w:val="both"/>
              <w:rPr>
                <w:rFonts w:ascii="Times New Roman" w:eastAsia="Times New Roman" w:hAnsi="Times New Roman" w:cs="Times New Roman"/>
                <w:noProof/>
                <w:sz w:val="24"/>
                <w:szCs w:val="24"/>
                <w:lang w:val="fi-FI" w:eastAsia="fi-FI" w:bidi="fi-FI"/>
              </w:rPr>
            </w:pPr>
            <w:r>
              <w:rPr>
                <w:rFonts w:ascii="Times New Roman" w:eastAsia="Times New Roman" w:hAnsi="Times New Roman" w:cs="Times New Roman"/>
                <w:noProof/>
                <w:sz w:val="24"/>
                <w:szCs w:val="24"/>
                <w:lang w:eastAsia="en-GB"/>
              </w:rPr>
              <w:drawing>
                <wp:inline distT="0" distB="0" distL="0" distR="0">
                  <wp:extent cx="2833080" cy="268986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5052" cy="2701227"/>
                          </a:xfrm>
                          <a:prstGeom prst="rect">
                            <a:avLst/>
                          </a:prstGeom>
                          <a:noFill/>
                          <a:ln>
                            <a:noFill/>
                          </a:ln>
                        </pic:spPr>
                      </pic:pic>
                    </a:graphicData>
                  </a:graphic>
                </wp:inline>
              </w:drawing>
            </w:r>
          </w:p>
        </w:tc>
      </w:tr>
    </w:tbl>
    <w:p w:rsidR="00876CA6" w:rsidRDefault="0031278A">
      <w:pPr>
        <w:keepNext/>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Lähteet:</w:t>
      </w:r>
      <w:r>
        <w:rPr>
          <w:rFonts w:ascii="Times New Roman" w:hAnsi="Times New Roman"/>
          <w:noProof/>
          <w:sz w:val="20"/>
          <w:lang w:val="fi-FI" w:eastAsia="fi-FI" w:bidi="fi-FI"/>
        </w:rPr>
        <w:t xml:space="preserve"> Eurostatin konsolidoimattomat neljännesvuosittaiset sektoritilit, komissi</w:t>
      </w:r>
      <w:r>
        <w:rPr>
          <w:rFonts w:ascii="Times New Roman" w:hAnsi="Times New Roman"/>
          <w:noProof/>
          <w:sz w:val="20"/>
          <w:lang w:val="fi-FI" w:eastAsia="fi-FI" w:bidi="fi-FI"/>
        </w:rPr>
        <w:t>on yksiköiden laskelmat.</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Huomautukset:</w:t>
      </w:r>
      <w:r>
        <w:rPr>
          <w:rFonts w:ascii="Times New Roman" w:hAnsi="Times New Roman"/>
          <w:noProof/>
          <w:sz w:val="20"/>
          <w:lang w:val="fi-FI" w:eastAsia="fi-FI" w:bidi="fi-FI"/>
        </w:rPr>
        <w:t xml:space="preserve"> Kuvioissa on esitetty velkasuhteen (velka suhteessa BKT:hen) vuotuinen kehitys jaoteltuna seuraaviin viiteen osatekijään: luottovirrat, reaalisen BKT:n potentiaalinen ja syklinen kasvu, inflaatio ja muut muutokset. BK</w:t>
      </w:r>
      <w:r>
        <w:rPr>
          <w:rFonts w:ascii="Times New Roman" w:hAnsi="Times New Roman"/>
          <w:noProof/>
          <w:sz w:val="20"/>
          <w:lang w:val="fi-FI" w:eastAsia="fi-FI" w:bidi="fi-FI"/>
        </w:rPr>
        <w:t>T:n kasvun syklinen komponentti lasketaan todellisen ja potentiaalisen kasvun välisenä erotuksena. Aktiivinen velkaantumisen purkaminen merkitsee velan nettomääräistä takaisinmaksua (negatiiviset nettoluottovirrat), joka yleensä johtaa sektorin taseen nime</w:t>
      </w:r>
      <w:r>
        <w:rPr>
          <w:rFonts w:ascii="Times New Roman" w:hAnsi="Times New Roman"/>
          <w:noProof/>
          <w:sz w:val="20"/>
          <w:lang w:val="fi-FI" w:eastAsia="fi-FI" w:bidi="fi-FI"/>
        </w:rPr>
        <w:t xml:space="preserve">lliseen supistumiseen. Passiivinen velkaantumisen purkaantuminen on sen sijaan seurausta siitä, että nimellisen BKT:n nopeampi kasvu kumoaa positiivisten nettoluottovirtojen vaikutuksen. Tämä johtaa siihen, että velka suhteessa BKT:hen vähenee. </w:t>
      </w:r>
    </w:p>
    <w:p w:rsidR="00876CA6" w:rsidRDefault="00876CA6">
      <w:pPr>
        <w:spacing w:before="120" w:after="120"/>
        <w:jc w:val="center"/>
        <w:rPr>
          <w:rFonts w:ascii="Times New Roman" w:eastAsia="Times New Roman" w:hAnsi="Times New Roman" w:cs="Times New Roman"/>
          <w:i/>
          <w:noProof/>
          <w:sz w:val="20"/>
          <w:szCs w:val="20"/>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Velkaantumisen purkaminen perustuu yhä enemmän nimellisen BKT:n kasvun nopeutumiseen. </w:t>
      </w:r>
      <w:r>
        <w:rPr>
          <w:rFonts w:ascii="Times New Roman" w:hAnsi="Times New Roman"/>
          <w:noProof/>
          <w:lang w:val="fi-FI" w:eastAsia="fi-FI" w:bidi="fi-FI"/>
        </w:rPr>
        <w:t>Yksityisen sektorin luottovirrat elpyvät mutta ovat edelleen maltillisia eivätkä yhdessäkään jäsenvaltiossa ylittäneet tulostaulun kynnysarvoa vuonna 2017. Nimellisen BKT</w:t>
      </w:r>
      <w:r>
        <w:rPr>
          <w:rFonts w:ascii="Times New Roman" w:hAnsi="Times New Roman"/>
          <w:noProof/>
          <w:lang w:val="fi-FI" w:eastAsia="fi-FI" w:bidi="fi-FI"/>
        </w:rPr>
        <w:t>:n kasvu on löysännyt paineita purkaa velkaantumista aktiivisesti. Tämä on johtanut siihen, että harvemmissa maissa esiintyy negatiivisia luottovirtoja joko yrityksille tai kotitalouksille, ja negatiivisten virtojen absoluuttiset arvot ovat keskimäärin pie</w:t>
      </w:r>
      <w:r>
        <w:rPr>
          <w:rFonts w:ascii="Times New Roman" w:hAnsi="Times New Roman"/>
          <w:noProof/>
          <w:lang w:val="fi-FI" w:eastAsia="fi-FI" w:bidi="fi-FI"/>
        </w:rPr>
        <w:t>nempiä (kuviot 13 ja 14). Lisäksi joissakin maissa, joissa ei ole aiemmin purettu velkaantuneisuutta, velkaantuminen on alkanut purkautumaan passiivisesti, toisin sanoen ainoastaan seurauksena siitä, että nimellisen BKT:n kasvu supistaa velkasuhteita samal</w:t>
      </w:r>
      <w:r>
        <w:rPr>
          <w:rFonts w:ascii="Times New Roman" w:hAnsi="Times New Roman"/>
          <w:noProof/>
          <w:lang w:val="fi-FI" w:eastAsia="fi-FI" w:bidi="fi-FI"/>
        </w:rPr>
        <w:t>la kun nettoluottovirrat lisäävät velkaa. Tämä koskee Italiaa, Itävaltaa ja Tšekkiä rahoitusalan ulkopuolisten yritysten osalta sekä Itävaltaa, Puolaa ja Viroa kotitaloussektorin osalta. Kuten kuvioista 13 ja 14 käy ilmi, viimeaikaisen nimelliskasvun arvio</w:t>
      </w:r>
      <w:r>
        <w:rPr>
          <w:rFonts w:ascii="Times New Roman" w:hAnsi="Times New Roman"/>
          <w:noProof/>
          <w:lang w:val="fi-FI" w:eastAsia="fi-FI" w:bidi="fi-FI"/>
        </w:rPr>
        <w:t>idaan pitkälti olleen luonteeltaan syklistä (esim. Espanjassa, Kreikassa, Kroatiassa Kyproksessa ja Portugalissa). Tulevaisuudessa mahdollisuudet passiiviseen velkaantumisen purkaantumiseen riippuvat yhä enemmän kasvupotentiaalista, sillä kasvun syklinen k</w:t>
      </w:r>
      <w:r>
        <w:rPr>
          <w:rFonts w:ascii="Times New Roman" w:hAnsi="Times New Roman"/>
          <w:noProof/>
          <w:lang w:val="fi-FI" w:eastAsia="fi-FI" w:bidi="fi-FI"/>
        </w:rPr>
        <w:t>omponentti alkaa tasaantua tuotantokuilujen kääntyessä positiivisiksi yhä useammissa maissa.</w:t>
      </w:r>
    </w:p>
    <w:p w:rsidR="00876CA6" w:rsidRDefault="0031278A">
      <w:pPr>
        <w:spacing w:before="120" w:after="120"/>
        <w:jc w:val="both"/>
        <w:rPr>
          <w:noProof/>
          <w:lang w:val="fi-FI" w:eastAsia="fi-FI" w:bidi="fi-FI"/>
        </w:rPr>
      </w:pPr>
      <w:r>
        <w:rPr>
          <w:rFonts w:ascii="Times New Roman" w:hAnsi="Times New Roman"/>
          <w:b/>
          <w:noProof/>
          <w:lang w:val="fi-FI" w:eastAsia="fi-FI" w:bidi="fi-FI"/>
        </w:rPr>
        <w:t xml:space="preserve">EU:n pankkisektorin olosuhteet ovat kohentumassa, mutta kannattavuus on yhä heikko ja järjestämättömiä lainoja on runsaasti joissakin maissa. </w:t>
      </w:r>
      <w:r>
        <w:rPr>
          <w:noProof/>
          <w:lang w:val="fi-FI" w:eastAsia="fi-FI" w:bidi="fi-FI"/>
        </w:rPr>
        <w:t>Tämä on tilanne etenkin Kreikassa, Kyproksessa, Italiassa ja Portugalissa (kuviot 15 ja 16). Myönteistä on, että vuonna 2017 pankkisektorin kannattavuus parani erityisen voimakkaasti näissä maissa, ja järjestämättömät lainat vähenivät usein varsin mittavas</w:t>
      </w:r>
      <w:r>
        <w:rPr>
          <w:noProof/>
          <w:lang w:val="fi-FI" w:eastAsia="fi-FI" w:bidi="fi-FI"/>
        </w:rPr>
        <w:t xml:space="preserve">ti. </w:t>
      </w:r>
    </w:p>
    <w:p w:rsidR="00876CA6" w:rsidRDefault="0031278A">
      <w:pPr>
        <w:numPr>
          <w:ilvl w:val="0"/>
          <w:numId w:val="1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Rahoitusalan velkojen kasvu hidastui vuonna 2017</w:t>
      </w:r>
      <w:r>
        <w:rPr>
          <w:noProof/>
          <w:lang w:val="fi-FI" w:eastAsia="fi-FI" w:bidi="fi-FI"/>
        </w:rPr>
        <w:t xml:space="preserve"> </w:t>
      </w:r>
      <w:r>
        <w:rPr>
          <w:rFonts w:ascii="Times New Roman" w:hAnsi="Times New Roman"/>
          <w:noProof/>
          <w:lang w:val="fi-FI" w:eastAsia="fi-FI" w:bidi="fi-FI"/>
        </w:rPr>
        <w:t>useimmissa EU-maissa ja on edelleen selvästi tulostaulun kynnysarvon sisällä kahta jäsenvaltiota lukuun ottamatta.</w:t>
      </w:r>
      <w:r>
        <w:rPr>
          <w:noProof/>
          <w:vertAlign w:val="superscript"/>
          <w:lang w:val="fi-FI" w:eastAsia="fi-FI" w:bidi="fi-FI"/>
        </w:rPr>
        <w:footnoteReference w:id="31"/>
      </w:r>
      <w:r>
        <w:rPr>
          <w:rFonts w:ascii="Times New Roman" w:hAnsi="Times New Roman"/>
          <w:noProof/>
          <w:lang w:val="fi-FI" w:eastAsia="fi-FI" w:bidi="fi-FI"/>
        </w:rPr>
        <w:t xml:space="preserve"> Pankkien luottovirrat asettuivat maltilliselle tasolle vuonna 2017 aiemman kasvun jälk</w:t>
      </w:r>
      <w:r>
        <w:rPr>
          <w:rFonts w:ascii="Times New Roman" w:hAnsi="Times New Roman"/>
          <w:noProof/>
          <w:lang w:val="fi-FI" w:eastAsia="fi-FI" w:bidi="fi-FI"/>
        </w:rPr>
        <w:t xml:space="preserve">een, ja pankkien luotonannon kasvu oli edelleen voimakkaampaa kotitaloussektorin kuin rahoitusalan ulkopuolisten yritysten tapauksessa. </w:t>
      </w:r>
    </w:p>
    <w:p w:rsidR="00876CA6" w:rsidRDefault="0031278A">
      <w:pPr>
        <w:numPr>
          <w:ilvl w:val="0"/>
          <w:numId w:val="18"/>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Pankkien kannattavuus ja vakavaraisuussuhteet ovat parantuneet useimmissa jäsenvaltioissa</w:t>
      </w:r>
      <w:r>
        <w:rPr>
          <w:noProof/>
          <w:lang w:val="fi-FI" w:eastAsia="fi-FI" w:bidi="fi-FI"/>
        </w:rPr>
        <w:t xml:space="preserve"> </w:t>
      </w:r>
      <w:r>
        <w:rPr>
          <w:rFonts w:ascii="Times New Roman" w:hAnsi="Times New Roman"/>
          <w:noProof/>
          <w:lang w:val="fi-FI" w:eastAsia="fi-FI" w:bidi="fi-FI"/>
        </w:rPr>
        <w:t>viime vuoden aikana. Pankkien</w:t>
      </w:r>
      <w:r>
        <w:rPr>
          <w:rFonts w:ascii="Times New Roman" w:hAnsi="Times New Roman"/>
          <w:noProof/>
          <w:lang w:val="fi-FI" w:eastAsia="fi-FI" w:bidi="fi-FI"/>
        </w:rPr>
        <w:t xml:space="preserve"> pääoman arvostukset ovat kasvaneet vuoden 2018 alkuun asti, minkä jälkeen niitä on korjattu alaspäin. Tällä tavoin on menetetty osa aiemmasta kasvusta. Menetykset johtuivat osittain tuottokäyrien tasoittumisesta ja siihen liittyvästä korkomarginaalien sup</w:t>
      </w:r>
      <w:r>
        <w:rPr>
          <w:rFonts w:ascii="Times New Roman" w:hAnsi="Times New Roman"/>
          <w:noProof/>
          <w:lang w:val="fi-FI" w:eastAsia="fi-FI" w:bidi="fi-FI"/>
        </w:rPr>
        <w:t xml:space="preserve">istumisesta. </w:t>
      </w:r>
      <w:r>
        <w:rPr>
          <w:noProof/>
          <w:lang w:val="fi-FI" w:eastAsia="fi-FI" w:bidi="fi-FI"/>
        </w:rPr>
        <w:t xml:space="preserve">Joissakin jäsenvaltioissa tilanteelle on ominaista heikko kannattavuus yhdistettynä maakohtaiseen jakaumaan suhteutettuna melko alhaisiin vakavaraisuussuhteisiin ja järjestämättömien lainojen suureen määrään. </w:t>
      </w:r>
    </w:p>
    <w:p w:rsidR="00876CA6" w:rsidRDefault="0031278A">
      <w:pPr>
        <w:numPr>
          <w:ilvl w:val="0"/>
          <w:numId w:val="11"/>
        </w:numPr>
        <w:spacing w:before="120" w:after="120"/>
        <w:ind w:left="567" w:hanging="425"/>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 xml:space="preserve">Järjestämättömien lainojen määrä </w:t>
      </w:r>
      <w:r>
        <w:rPr>
          <w:rFonts w:ascii="Times New Roman" w:hAnsi="Times New Roman"/>
          <w:b/>
          <w:noProof/>
          <w:lang w:val="fi-FI" w:eastAsia="fi-FI" w:bidi="fi-FI"/>
        </w:rPr>
        <w:t xml:space="preserve">on edelleen suuri useissa jäsenvaltioissa. </w:t>
      </w:r>
      <w:r>
        <w:rPr>
          <w:rFonts w:ascii="Times New Roman" w:hAnsi="Times New Roman"/>
          <w:noProof/>
          <w:lang w:val="fi-FI" w:eastAsia="fi-FI" w:bidi="fi-FI"/>
        </w:rPr>
        <w:t>Järjestämättömien lainojen osuus on vuonna 2017 erityisen suuri Kreikassa (45 % kaikista lainoista) ja Kyproksessa (30 % kaikista lainoista) sekä Italiassa, Portugalissa, Bulgariassa, Irlannissa ja Kroatiassa, joi</w:t>
      </w:r>
      <w:r>
        <w:rPr>
          <w:rFonts w:ascii="Times New Roman" w:hAnsi="Times New Roman"/>
          <w:noProof/>
          <w:lang w:val="fi-FI" w:eastAsia="fi-FI" w:bidi="fi-FI"/>
        </w:rPr>
        <w:t>ssa järjestämättömien lainojen osuus on pysynyt lähes 10 prosentissa kaikista lainoista</w:t>
      </w:r>
      <w:r>
        <w:rPr>
          <w:rFonts w:ascii="Times New Roman" w:hAnsi="Times New Roman"/>
          <w:noProof/>
          <w:vertAlign w:val="superscript"/>
          <w:lang w:val="fi-FI" w:eastAsia="fi-FI" w:bidi="fi-FI"/>
        </w:rPr>
        <w:footnoteReference w:id="32"/>
      </w:r>
      <w:r>
        <w:rPr>
          <w:rFonts w:ascii="Times New Roman" w:hAnsi="Times New Roman"/>
          <w:noProof/>
          <w:lang w:val="fi-FI" w:eastAsia="fi-FI" w:bidi="fi-FI"/>
        </w:rPr>
        <w:t xml:space="preserve">. Järjestämättömät lainat ovat kriisin jälkeisen kauden kasvun jälkeen alkaneet vähentyä eri vauhtia eri puolilla EU:ta. </w:t>
      </w:r>
      <w:r>
        <w:rPr>
          <w:rFonts w:ascii="Times New Roman" w:hAnsi="Times New Roman"/>
          <w:b/>
          <w:noProof/>
          <w:lang w:val="fi-FI" w:eastAsia="fi-FI" w:bidi="fi-FI"/>
        </w:rPr>
        <w:t>Viimeisimmät luvut osoittavat, että järjestämät</w:t>
      </w:r>
      <w:r>
        <w:rPr>
          <w:rFonts w:ascii="Times New Roman" w:hAnsi="Times New Roman"/>
          <w:b/>
          <w:noProof/>
          <w:lang w:val="fi-FI" w:eastAsia="fi-FI" w:bidi="fi-FI"/>
        </w:rPr>
        <w:t>tömien lainojen vähentämisessä on tapahtunut jatkuvaa edistystä</w:t>
      </w:r>
      <w:r>
        <w:rPr>
          <w:noProof/>
          <w:lang w:val="fi-FI" w:eastAsia="fi-FI" w:bidi="fi-FI"/>
        </w:rPr>
        <w:t>, myös maissa, joissa järjestämättömien lainojen osuus on suuri (Kreikkaa lukuun ottamatta), erityisesti Portugalissa ja Italiassa (kuvio 16)</w:t>
      </w:r>
      <w:r>
        <w:rPr>
          <w:rFonts w:ascii="Times New Roman" w:hAnsi="Times New Roman"/>
          <w:noProof/>
          <w:vertAlign w:val="superscript"/>
          <w:lang w:val="fi-FI" w:eastAsia="fi-FI" w:bidi="fi-FI"/>
        </w:rPr>
        <w:footnoteReference w:id="33"/>
      </w:r>
      <w:r>
        <w:rPr>
          <w:noProof/>
          <w:lang w:val="fi-FI" w:eastAsia="fi-FI" w:bidi="fi-FI"/>
        </w:rPr>
        <w:t>.</w:t>
      </w:r>
      <w:r>
        <w:rPr>
          <w:rFonts w:ascii="Times New Roman" w:hAnsi="Times New Roman"/>
          <w:noProof/>
          <w:lang w:val="fi-FI" w:eastAsia="fi-FI" w:bidi="fi-FI"/>
        </w:rPr>
        <w:t xml:space="preserve"> </w:t>
      </w:r>
    </w:p>
    <w:p w:rsidR="00876CA6" w:rsidRDefault="00876CA6">
      <w:pPr>
        <w:spacing w:before="120" w:after="120"/>
        <w:ind w:left="720"/>
        <w:jc w:val="both"/>
        <w:rPr>
          <w:rFonts w:ascii="Times New Roman" w:eastAsia="Times New Roman" w:hAnsi="Times New Roman" w:cs="Times New Roman"/>
          <w:noProof/>
          <w:sz w:val="24"/>
          <w:szCs w:val="24"/>
          <w:lang w:val="fi-FI" w:eastAsia="fi-FI" w:bidi="fi-FI"/>
        </w:rPr>
      </w:pPr>
    </w:p>
    <w:tbl>
      <w:tblPr>
        <w:tblW w:w="0" w:type="auto"/>
        <w:tblLook w:val="04A0" w:firstRow="1" w:lastRow="0" w:firstColumn="1" w:lastColumn="0" w:noHBand="0" w:noVBand="1"/>
      </w:tblPr>
      <w:tblGrid>
        <w:gridCol w:w="4644"/>
        <w:gridCol w:w="4644"/>
      </w:tblGrid>
      <w:tr w:rsidR="00876CA6">
        <w:tc>
          <w:tcPr>
            <w:tcW w:w="4643" w:type="dxa"/>
            <w:hideMark/>
          </w:tcPr>
          <w:p w:rsidR="00876CA6" w:rsidRDefault="0031278A">
            <w:pPr>
              <w:keepNext/>
              <w:spacing w:before="120" w:after="120"/>
              <w:jc w:val="center"/>
              <w:rPr>
                <w:rFonts w:eastAsia="MS Mincho"/>
                <w:b/>
                <w:bCs/>
                <w:noProof/>
                <w:lang w:val="fi-FI" w:eastAsia="fi-FI" w:bidi="fi-FI"/>
              </w:rPr>
            </w:pPr>
            <w:r>
              <w:rPr>
                <w:b/>
                <w:noProof/>
                <w:lang w:val="fi-FI" w:eastAsia="fi-FI" w:bidi="fi-FI"/>
              </w:rPr>
              <w:t>Kuvio 15: Pankkien kannattavuus ja vakavaraisuu</w:t>
            </w:r>
            <w:r>
              <w:rPr>
                <w:b/>
                <w:noProof/>
                <w:lang w:val="fi-FI" w:eastAsia="fi-FI" w:bidi="fi-FI"/>
              </w:rPr>
              <w:t>ssuhteet</w:t>
            </w:r>
          </w:p>
        </w:tc>
        <w:tc>
          <w:tcPr>
            <w:tcW w:w="4643" w:type="dxa"/>
          </w:tcPr>
          <w:p w:rsidR="00876CA6" w:rsidRDefault="0031278A">
            <w:pPr>
              <w:spacing w:before="120" w:after="120"/>
              <w:jc w:val="center"/>
              <w:rPr>
                <w:noProof/>
                <w:sz w:val="24"/>
                <w:szCs w:val="24"/>
                <w:lang w:val="fi-FI" w:eastAsia="fi-FI" w:bidi="fi-FI"/>
              </w:rPr>
            </w:pPr>
            <w:r>
              <w:rPr>
                <w:b/>
                <w:noProof/>
                <w:lang w:val="fi-FI" w:eastAsia="fi-FI" w:bidi="fi-FI"/>
              </w:rPr>
              <w:t>Kuvio 16: Järjestämättömät velkainstrumentit</w:t>
            </w:r>
          </w:p>
        </w:tc>
      </w:tr>
      <w:tr w:rsidR="00876CA6">
        <w:tc>
          <w:tcPr>
            <w:tcW w:w="4643" w:type="dxa"/>
            <w:hideMark/>
          </w:tcPr>
          <w:p w:rsidR="00876CA6" w:rsidRDefault="0031278A">
            <w:pPr>
              <w:spacing w:before="120" w:after="120"/>
              <w:jc w:val="both"/>
              <w:rPr>
                <w:noProof/>
                <w:sz w:val="24"/>
                <w:szCs w:val="24"/>
                <w:lang w:val="fi-FI" w:eastAsia="fi-FI" w:bidi="fi-FI"/>
              </w:rPr>
            </w:pPr>
            <w:r>
              <w:rPr>
                <w:noProof/>
                <w:sz w:val="24"/>
                <w:szCs w:val="24"/>
                <w:lang w:eastAsia="en-GB"/>
              </w:rPr>
              <w:drawing>
                <wp:inline distT="0" distB="0" distL="0" distR="0">
                  <wp:extent cx="2880360" cy="29641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964180"/>
                          </a:xfrm>
                          <a:prstGeom prst="rect">
                            <a:avLst/>
                          </a:prstGeom>
                          <a:noFill/>
                          <a:ln>
                            <a:noFill/>
                          </a:ln>
                        </pic:spPr>
                      </pic:pic>
                    </a:graphicData>
                  </a:graphic>
                </wp:inline>
              </w:drawing>
            </w:r>
          </w:p>
        </w:tc>
        <w:tc>
          <w:tcPr>
            <w:tcW w:w="4643" w:type="dxa"/>
            <w:hideMark/>
          </w:tcPr>
          <w:p w:rsidR="00876CA6" w:rsidRDefault="0031278A">
            <w:pPr>
              <w:spacing w:before="120" w:after="120"/>
              <w:jc w:val="both"/>
              <w:rPr>
                <w:noProof/>
                <w:sz w:val="24"/>
                <w:szCs w:val="24"/>
                <w:lang w:val="fi-FI" w:eastAsia="fi-FI" w:bidi="fi-FI"/>
              </w:rPr>
            </w:pPr>
            <w:r>
              <w:rPr>
                <w:noProof/>
                <w:sz w:val="24"/>
                <w:szCs w:val="24"/>
                <w:lang w:eastAsia="en-GB"/>
              </w:rPr>
              <w:drawing>
                <wp:inline distT="0" distB="0" distL="0" distR="0">
                  <wp:extent cx="2880360" cy="30022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3002280"/>
                          </a:xfrm>
                          <a:prstGeom prst="rect">
                            <a:avLst/>
                          </a:prstGeom>
                          <a:noFill/>
                          <a:ln>
                            <a:noFill/>
                          </a:ln>
                        </pic:spPr>
                      </pic:pic>
                    </a:graphicData>
                  </a:graphic>
                </wp:inline>
              </w:drawing>
            </w:r>
          </w:p>
        </w:tc>
      </w:tr>
    </w:tbl>
    <w:p w:rsidR="00876CA6" w:rsidRDefault="0031278A">
      <w:pPr>
        <w:keepNext/>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Lähteet:</w:t>
      </w:r>
      <w:r>
        <w:rPr>
          <w:rFonts w:ascii="Times New Roman" w:hAnsi="Times New Roman"/>
          <w:noProof/>
          <w:sz w:val="20"/>
          <w:lang w:val="fi-FI" w:eastAsia="fi-FI" w:bidi="fi-FI"/>
        </w:rPr>
        <w:t xml:space="preserve"> EKP, komission yksiköiden laskelmat.</w:t>
      </w:r>
    </w:p>
    <w:p w:rsidR="00876CA6" w:rsidRDefault="0031278A">
      <w:pPr>
        <w:spacing w:after="0"/>
        <w:jc w:val="both"/>
        <w:rPr>
          <w:rFonts w:ascii="Times New Roman" w:eastAsia="Times New Roman" w:hAnsi="Times New Roman" w:cs="Times New Roman"/>
          <w:noProof/>
          <w:sz w:val="20"/>
          <w:szCs w:val="20"/>
          <w:lang w:val="fi-FI" w:eastAsia="fi-FI" w:bidi="fi-FI"/>
        </w:rPr>
      </w:pPr>
      <w:r>
        <w:rPr>
          <w:rFonts w:ascii="Times New Roman" w:hAnsi="Times New Roman"/>
          <w:i/>
          <w:noProof/>
          <w:sz w:val="20"/>
          <w:lang w:val="fi-FI" w:eastAsia="fi-FI" w:bidi="fi-FI"/>
        </w:rPr>
        <w:t>Huomautukset:</w:t>
      </w:r>
      <w:r>
        <w:rPr>
          <w:rFonts w:ascii="Times New Roman" w:hAnsi="Times New Roman"/>
          <w:noProof/>
          <w:sz w:val="24"/>
          <w:lang w:val="fi-FI" w:eastAsia="fi-FI" w:bidi="fi-FI"/>
        </w:rPr>
        <w:t xml:space="preserve"> </w:t>
      </w:r>
      <w:r>
        <w:rPr>
          <w:rFonts w:ascii="Times New Roman" w:hAnsi="Times New Roman"/>
          <w:noProof/>
          <w:sz w:val="20"/>
          <w:lang w:val="fi-FI" w:eastAsia="fi-FI" w:bidi="fi-FI"/>
        </w:rPr>
        <w:t>Vuoden 2008 tietoja järjestämättömien velkainstrumenttien bruttomääristä ei ole saatavilla seuraavien maiden osalta: CZ, HR, SE ja SI.</w:t>
      </w:r>
    </w:p>
    <w:p w:rsidR="00876CA6" w:rsidRDefault="00876CA6">
      <w:pPr>
        <w:spacing w:before="120" w:after="120"/>
        <w:rPr>
          <w:rFonts w:ascii="Times New Roman" w:eastAsia="Times New Roman" w:hAnsi="Times New Roman" w:cs="Times New Roman"/>
          <w:b/>
          <w:noProof/>
          <w:sz w:val="24"/>
          <w:szCs w:val="24"/>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Asuntojen hinnat nousivat vuonna 2017 lähes kaikissa EU:n jäsenvaltioissa, mutta asuntojen hintojen nousu näyttää hidastuvan silloin, kun merkit yliarvostuksesta ovat vahvimpia.</w:t>
      </w:r>
      <w:r>
        <w:rPr>
          <w:rFonts w:ascii="Times New Roman" w:hAnsi="Times New Roman"/>
          <w:noProof/>
          <w:lang w:val="fi-FI" w:eastAsia="fi-FI" w:bidi="fi-FI"/>
        </w:rPr>
        <w:t xml:space="preserve"> Vaikka asuntojen hinnat ovat jatkuvasti nousseet kaikkialla EU:ssa, vuoden 201</w:t>
      </w:r>
      <w:r>
        <w:rPr>
          <w:rFonts w:ascii="Times New Roman" w:hAnsi="Times New Roman"/>
          <w:noProof/>
          <w:lang w:val="fi-FI" w:eastAsia="fi-FI" w:bidi="fi-FI"/>
        </w:rPr>
        <w:t>7 tietojen mukaan niiden maiden määrä, joissa asuntojen hintojen nousu ylittää tulostaulun kynnysarvon, on vähentynyt vuoteen 2016 verrattuna. Vuonna 2017 vain kuusi maata (Alankomaat, Bulgaria, Irlanti, Portugali, Slovenia ja Tšekki) ylitti kynnysarvon, k</w:t>
      </w:r>
      <w:r>
        <w:rPr>
          <w:rFonts w:ascii="Times New Roman" w:hAnsi="Times New Roman"/>
          <w:noProof/>
          <w:lang w:val="fi-FI" w:eastAsia="fi-FI" w:bidi="fi-FI"/>
        </w:rPr>
        <w:t>un taas varoitusmekanismia koskevassa vuoden 2018 kertomuksessa arvojen havaittiin ylittävän kynnysarvon vuoden 2016 tietojen perusteella kymmenessä maassa. Nämä muutokset osoittavat keskitasoista tai maltillista hidastumista kynnysarvon ylittäviltä tasoil</w:t>
      </w:r>
      <w:r>
        <w:rPr>
          <w:rFonts w:ascii="Times New Roman" w:hAnsi="Times New Roman"/>
          <w:noProof/>
          <w:lang w:val="fi-FI" w:eastAsia="fi-FI" w:bidi="fi-FI"/>
        </w:rPr>
        <w:t>ta ja kiihtymistä joissakin maissa. Asuntojen reaalihintojen kasvu oli negatiivista vain Kreikassa ja Italiassa vuonna 2017. Tuoreemmat tiedot osoittavat, että vuoden 2018 alkupuoliskolla kasvu edellisvuoden vastaavasta ajankohdasta on ylittänyt tulostaulu</w:t>
      </w:r>
      <w:r>
        <w:rPr>
          <w:rFonts w:ascii="Times New Roman" w:hAnsi="Times New Roman"/>
          <w:noProof/>
          <w:lang w:val="fi-FI" w:eastAsia="fi-FI" w:bidi="fi-FI"/>
        </w:rPr>
        <w:t>n 6 prosentin kynnysarvon Alankomaissa, Irlannissa, Latviassa, Portugalissa, Slovakiassa, Sloveniassa ja Unkarissa.</w:t>
      </w:r>
    </w:p>
    <w:p w:rsidR="00876CA6" w:rsidRDefault="0031278A">
      <w:pPr>
        <w:numPr>
          <w:ilvl w:val="0"/>
          <w:numId w:val="11"/>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Asuntojen reaalihintojen nousun jatkuminen on nostanut </w:t>
      </w:r>
      <w:r>
        <w:rPr>
          <w:rFonts w:ascii="Times New Roman" w:hAnsi="Times New Roman"/>
          <w:b/>
          <w:noProof/>
          <w:lang w:val="fi-FI" w:eastAsia="fi-FI" w:bidi="fi-FI"/>
        </w:rPr>
        <w:t>asuntojen hinnat takaisin vähintään kriisiä edeltäneelle huipputasolle</w:t>
      </w:r>
      <w:r>
        <w:rPr>
          <w:rFonts w:ascii="Times New Roman" w:hAnsi="Times New Roman"/>
          <w:noProof/>
          <w:lang w:val="fi-FI" w:eastAsia="fi-FI" w:bidi="fi-FI"/>
        </w:rPr>
        <w:t xml:space="preserve"> useissa maissa, nimittäin Belgiassa, Itävallassa, Luxemburgissa, Maltassa, Ruotsissa, Saksassa ja Tšekissä. Tulojen ja muiden asuntojen hintoihin tavallisesti vaikuttavien merkityksellisten muuttujien nousua nopeampi asuntojen reaalihintojen nousu nostaa </w:t>
      </w:r>
      <w:r>
        <w:rPr>
          <w:rFonts w:ascii="Times New Roman" w:hAnsi="Times New Roman"/>
          <w:noProof/>
          <w:lang w:val="fi-FI" w:eastAsia="fi-FI" w:bidi="fi-FI"/>
        </w:rPr>
        <w:t xml:space="preserve">asuntojen hintoja </w:t>
      </w:r>
      <w:r>
        <w:rPr>
          <w:rFonts w:ascii="Times New Roman" w:hAnsi="Times New Roman"/>
          <w:b/>
          <w:noProof/>
          <w:lang w:val="fi-FI" w:eastAsia="fi-FI" w:bidi="fi-FI"/>
        </w:rPr>
        <w:t>mahdolliselle yliarvostusalueelle yhä useammissa maissa</w:t>
      </w:r>
      <w:r>
        <w:rPr>
          <w:rFonts w:ascii="Times New Roman" w:hAnsi="Times New Roman"/>
          <w:noProof/>
          <w:lang w:val="fi-FI" w:eastAsia="fi-FI" w:bidi="fi-FI"/>
        </w:rPr>
        <w:t xml:space="preserve"> (kuvio 17).</w:t>
      </w:r>
      <w:r>
        <w:rPr>
          <w:rFonts w:ascii="Times New Roman" w:hAnsi="Times New Roman"/>
          <w:noProof/>
          <w:vertAlign w:val="superscript"/>
          <w:lang w:val="fi-FI" w:eastAsia="fi-FI" w:bidi="fi-FI"/>
        </w:rPr>
        <w:footnoteReference w:id="34"/>
      </w:r>
      <w:r>
        <w:rPr>
          <w:rFonts w:ascii="Times New Roman" w:hAnsi="Times New Roman"/>
          <w:noProof/>
          <w:lang w:val="fi-FI" w:eastAsia="fi-FI" w:bidi="fi-FI"/>
        </w:rPr>
        <w:t xml:space="preserve"> </w:t>
      </w:r>
    </w:p>
    <w:p w:rsidR="00876CA6" w:rsidRDefault="0031278A">
      <w:pPr>
        <w:numPr>
          <w:ilvl w:val="0"/>
          <w:numId w:val="11"/>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Asuntojen reaalihintojen nousu </w:t>
      </w:r>
      <w:r>
        <w:rPr>
          <w:rFonts w:ascii="Times New Roman" w:hAnsi="Times New Roman"/>
          <w:b/>
          <w:noProof/>
          <w:lang w:val="fi-FI" w:eastAsia="fi-FI" w:bidi="fi-FI"/>
        </w:rPr>
        <w:t>kiihtyi</w:t>
      </w:r>
      <w:r>
        <w:rPr>
          <w:rFonts w:ascii="Times New Roman" w:hAnsi="Times New Roman"/>
          <w:noProof/>
          <w:lang w:val="fi-FI" w:eastAsia="fi-FI" w:bidi="fi-FI"/>
        </w:rPr>
        <w:t xml:space="preserve"> vuonna 2017 erityisesti </w:t>
      </w:r>
      <w:r>
        <w:rPr>
          <w:rFonts w:ascii="Times New Roman" w:hAnsi="Times New Roman"/>
          <w:b/>
          <w:noProof/>
          <w:lang w:val="fi-FI" w:eastAsia="fi-FI" w:bidi="fi-FI"/>
        </w:rPr>
        <w:t>maissa, joissa arvostuserot olivat negatiivisia tai lievästi positiivisia</w:t>
      </w:r>
      <w:r>
        <w:rPr>
          <w:rFonts w:ascii="Times New Roman" w:hAnsi="Times New Roman"/>
          <w:noProof/>
          <w:lang w:val="fi-FI" w:eastAsia="fi-FI" w:bidi="fi-FI"/>
        </w:rPr>
        <w:t xml:space="preserve"> (kuvio 18).</w:t>
      </w:r>
      <w:r>
        <w:rPr>
          <w:noProof/>
          <w:lang w:val="fi-FI" w:eastAsia="fi-FI" w:bidi="fi-FI"/>
        </w:rPr>
        <w:t xml:space="preserve"> Sen sijaan </w:t>
      </w:r>
      <w:r>
        <w:rPr>
          <w:rFonts w:ascii="Times New Roman" w:hAnsi="Times New Roman"/>
          <w:b/>
          <w:noProof/>
          <w:lang w:val="fi-FI" w:eastAsia="fi-FI" w:bidi="fi-FI"/>
        </w:rPr>
        <w:t>hidastum</w:t>
      </w:r>
      <w:r>
        <w:rPr>
          <w:rFonts w:ascii="Times New Roman" w:hAnsi="Times New Roman"/>
          <w:b/>
          <w:noProof/>
          <w:lang w:val="fi-FI" w:eastAsia="fi-FI" w:bidi="fi-FI"/>
        </w:rPr>
        <w:t>ista</w:t>
      </w:r>
      <w:r>
        <w:rPr>
          <w:noProof/>
          <w:lang w:val="fi-FI" w:eastAsia="fi-FI" w:bidi="fi-FI"/>
        </w:rPr>
        <w:t xml:space="preserve"> havaittiin </w:t>
      </w:r>
      <w:r>
        <w:rPr>
          <w:rFonts w:ascii="Times New Roman" w:hAnsi="Times New Roman"/>
          <w:b/>
          <w:noProof/>
          <w:lang w:val="fi-FI" w:eastAsia="fi-FI" w:bidi="fi-FI"/>
        </w:rPr>
        <w:t>maissa, joissa on vahvempia merkkejä yliarvostuksesta</w:t>
      </w:r>
      <w:r>
        <w:rPr>
          <w:noProof/>
          <w:lang w:val="fi-FI" w:eastAsia="fi-FI" w:bidi="fi-FI"/>
        </w:rPr>
        <w:t>, muun muassa maksukykyrajoitusten, makrovakauspolitiikan täytäntöönpanon ja inflaation kiihtymiseen yhteydessä olevan, asuntojen reaalihintojen nousuun kohdistuvan mekaanisen vaikutuksen</w:t>
      </w:r>
      <w:r>
        <w:rPr>
          <w:noProof/>
          <w:lang w:val="fi-FI" w:eastAsia="fi-FI" w:bidi="fi-FI"/>
        </w:rPr>
        <w:t xml:space="preserve"> vuoksi (esim. Itävallassa, Luxemburgissa ja Yhdistyneessä kuningaskunnassa).</w:t>
      </w:r>
      <w:r>
        <w:rPr>
          <w:rFonts w:ascii="Times New Roman" w:hAnsi="Times New Roman"/>
          <w:noProof/>
          <w:lang w:val="fi-FI" w:eastAsia="fi-FI" w:bidi="fi-FI"/>
        </w:rPr>
        <w:t xml:space="preserve"> Tällä hetkellä asuntojen hintojen nousu on voimakkainta maissa, joissa on kohtalaisia tai ei lainkaan merkkejä yliarvostuksesta. Neljännesvuositiedot, myös vuoden 2018 alun osalt</w:t>
      </w:r>
      <w:r>
        <w:rPr>
          <w:rFonts w:ascii="Times New Roman" w:hAnsi="Times New Roman"/>
          <w:noProof/>
          <w:lang w:val="fi-FI" w:eastAsia="fi-FI" w:bidi="fi-FI"/>
        </w:rPr>
        <w:t xml:space="preserve">a, osoittavat hintojen nousun kiihtyvän Kroatiassa, Portugalissa, Puolassa, Slovakiassa, Sloveniassa, Unkarissa ja Virossa Hidastumista on havaittu erityisesti Bulgariassa, Romaniassa, Ruotsissa ja Tšekissä, joissa asuntojen hinnat kääntyivät vuositasolla </w:t>
      </w:r>
      <w:r>
        <w:rPr>
          <w:rFonts w:ascii="Times New Roman" w:hAnsi="Times New Roman"/>
          <w:noProof/>
          <w:lang w:val="fi-FI" w:eastAsia="fi-FI" w:bidi="fi-FI"/>
        </w:rPr>
        <w:t>laskuun vuoden 2018 ensimmäisellä puoliskolla</w:t>
      </w:r>
      <w:r>
        <w:rPr>
          <w:rFonts w:ascii="Times New Roman" w:hAnsi="Times New Roman"/>
          <w:noProof/>
          <w:vertAlign w:val="superscript"/>
          <w:lang w:val="fi-FI" w:eastAsia="fi-FI" w:bidi="fi-FI"/>
        </w:rPr>
        <w:footnoteReference w:id="35"/>
      </w:r>
      <w:r>
        <w:rPr>
          <w:rFonts w:ascii="Times New Roman" w:hAnsi="Times New Roman"/>
          <w:noProof/>
          <w:lang w:val="fi-FI" w:eastAsia="fi-FI" w:bidi="fi-FI"/>
        </w:rPr>
        <w:t>. Irlannissa, Portugalissa ja Sloveniassa kirjattiin vuoden 2018 ensimmäisellä puoliskolla kaksinumeroisia kasvuasteita edellisvuoden vastaavaan ajankohtaan verrattuna.</w:t>
      </w:r>
    </w:p>
    <w:p w:rsidR="00876CA6" w:rsidRDefault="0031278A">
      <w:pPr>
        <w:numPr>
          <w:ilvl w:val="0"/>
          <w:numId w:val="11"/>
        </w:numPr>
        <w:spacing w:before="120" w:after="120"/>
        <w:ind w:left="567" w:hanging="425"/>
        <w:jc w:val="both"/>
        <w:rPr>
          <w:rFonts w:ascii="Times New Roman" w:eastAsia="Times New Roman" w:hAnsi="Times New Roman" w:cs="Times New Roman"/>
          <w:noProof/>
          <w:lang w:val="fi-FI" w:eastAsia="fi-FI" w:bidi="fi-FI"/>
        </w:rPr>
      </w:pPr>
      <w:r>
        <w:rPr>
          <w:noProof/>
          <w:lang w:val="fi-FI" w:eastAsia="fi-FI" w:bidi="fi-FI"/>
        </w:rPr>
        <w:t>Monissa maissa, kuten Luxemburgissa, Ruot</w:t>
      </w:r>
      <w:r>
        <w:rPr>
          <w:noProof/>
          <w:lang w:val="fi-FI" w:eastAsia="fi-FI" w:bidi="fi-FI"/>
        </w:rPr>
        <w:t xml:space="preserve">sissa, Tanskassa ja Yhdistyneessä kuningaskunnassa, </w:t>
      </w:r>
      <w:r>
        <w:rPr>
          <w:b/>
          <w:noProof/>
          <w:lang w:val="fi-FI" w:eastAsia="fi-FI" w:bidi="fi-FI"/>
        </w:rPr>
        <w:t>asuntojen hinnat ovat yliarvostettuja samalla kun kotitalouksien velkamäärät ovat suuria</w:t>
      </w:r>
      <w:r>
        <w:rPr>
          <w:noProof/>
          <w:lang w:val="fi-FI" w:eastAsia="fi-FI" w:bidi="fi-FI"/>
        </w:rPr>
        <w:t>. Alankomaissa kotitalouksilla on erittäin paljon velkaa. Vuonna 2017 asuntolainakannan kasvu oli erityisen nopeaa (</w:t>
      </w:r>
      <w:r>
        <w:rPr>
          <w:noProof/>
          <w:lang w:val="fi-FI" w:eastAsia="fi-FI" w:bidi="fi-FI"/>
        </w:rPr>
        <w:t xml:space="preserve">yli 5 % nopeampaa kuin edellisenä vuonna) Belgiassa, Bulgariassa, Itävallassa, Liettuassa, Luxemburgissa, Maltassa, Puolassa, Ranskassa, Romaniassa, Slovakiassa, Tšekissä ja Virossa. </w:t>
      </w:r>
    </w:p>
    <w:p w:rsidR="00876CA6" w:rsidRDefault="00876CA6">
      <w:pPr>
        <w:spacing w:before="120" w:after="120"/>
        <w:jc w:val="both"/>
        <w:rPr>
          <w:rFonts w:ascii="Times New Roman" w:eastAsia="Times New Roman" w:hAnsi="Times New Roman" w:cs="Times New Roman"/>
          <w:noProof/>
          <w:lang w:val="fi-FI" w:eastAsia="fi-FI" w:bidi="fi-FI"/>
        </w:rPr>
      </w:pPr>
    </w:p>
    <w:tbl>
      <w:tblPr>
        <w:tblW w:w="0" w:type="auto"/>
        <w:tblLook w:val="04A0" w:firstRow="1" w:lastRow="0" w:firstColumn="1" w:lastColumn="0" w:noHBand="0" w:noVBand="1"/>
      </w:tblPr>
      <w:tblGrid>
        <w:gridCol w:w="4691"/>
        <w:gridCol w:w="4597"/>
      </w:tblGrid>
      <w:tr w:rsidR="00876CA6" w:rsidRPr="0031278A">
        <w:tc>
          <w:tcPr>
            <w:tcW w:w="4644" w:type="dxa"/>
          </w:tcPr>
          <w:p w:rsidR="00876CA6" w:rsidRDefault="0031278A">
            <w:pPr>
              <w:keepNext/>
              <w:spacing w:before="120" w:after="120"/>
              <w:jc w:val="both"/>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Kuvio 17: Asuntojen hintojen muutokset ja arvostuserot vuonna 2017</w:t>
            </w:r>
          </w:p>
        </w:tc>
        <w:tc>
          <w:tcPr>
            <w:tcW w:w="4644" w:type="dxa"/>
          </w:tcPr>
          <w:p w:rsidR="00876CA6" w:rsidRDefault="0031278A">
            <w:pPr>
              <w:keepNext/>
              <w:spacing w:before="120" w:after="120"/>
              <w:jc w:val="both"/>
              <w:rPr>
                <w:rFonts w:ascii="Times New Roman" w:eastAsia="MS Mincho" w:hAnsi="Times New Roman" w:cs="Times New Roman"/>
                <w:b/>
                <w:bCs/>
                <w:noProof/>
                <w:lang w:val="fi-FI" w:eastAsia="fi-FI" w:bidi="fi-FI"/>
              </w:rPr>
            </w:pPr>
            <w:r>
              <w:rPr>
                <w:rFonts w:ascii="Times New Roman" w:hAnsi="Times New Roman"/>
                <w:b/>
                <w:noProof/>
                <w:lang w:val="fi-FI" w:eastAsia="fi-FI" w:bidi="fi-FI"/>
              </w:rPr>
              <w:t>Kuvi</w:t>
            </w:r>
            <w:r>
              <w:rPr>
                <w:rFonts w:ascii="Times New Roman" w:hAnsi="Times New Roman"/>
                <w:b/>
                <w:noProof/>
                <w:lang w:val="fi-FI" w:eastAsia="fi-FI" w:bidi="fi-FI"/>
              </w:rPr>
              <w:t>o 18: Arvostuserot ja muutokset hintojen nousussa vuosien 2016 ja 2017 välillä</w:t>
            </w:r>
          </w:p>
        </w:tc>
      </w:tr>
      <w:tr w:rsidR="00876CA6">
        <w:tc>
          <w:tcPr>
            <w:tcW w:w="4644" w:type="dxa"/>
          </w:tcPr>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eastAsia="MS Mincho" w:hAnsi="Times New Roman" w:cs="Times New Roman"/>
                <w:b/>
                <w:bCs/>
                <w:noProof/>
                <w:lang w:eastAsia="en-GB"/>
              </w:rPr>
              <w:drawing>
                <wp:inline distT="0" distB="0" distL="0" distR="0">
                  <wp:extent cx="2880360" cy="30175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3017520"/>
                          </a:xfrm>
                          <a:prstGeom prst="rect">
                            <a:avLst/>
                          </a:prstGeom>
                          <a:noFill/>
                          <a:ln>
                            <a:noFill/>
                          </a:ln>
                        </pic:spPr>
                      </pic:pic>
                    </a:graphicData>
                  </a:graphic>
                </wp:inline>
              </w:drawing>
            </w:r>
          </w:p>
        </w:tc>
        <w:tc>
          <w:tcPr>
            <w:tcW w:w="4644" w:type="dxa"/>
          </w:tcPr>
          <w:p w:rsidR="00876CA6" w:rsidRDefault="0031278A">
            <w:pPr>
              <w:keepNext/>
              <w:spacing w:before="120" w:after="120"/>
              <w:jc w:val="center"/>
              <w:rPr>
                <w:rFonts w:ascii="Times New Roman" w:eastAsia="MS Mincho" w:hAnsi="Times New Roman" w:cs="Times New Roman"/>
                <w:b/>
                <w:bCs/>
                <w:noProof/>
                <w:lang w:val="fi-FI" w:eastAsia="fi-FI" w:bidi="fi-FI"/>
              </w:rPr>
            </w:pPr>
            <w:r>
              <w:rPr>
                <w:rFonts w:ascii="Times New Roman" w:eastAsia="MS Mincho" w:hAnsi="Times New Roman" w:cs="Times New Roman"/>
                <w:b/>
                <w:bCs/>
                <w:noProof/>
                <w:lang w:eastAsia="en-GB"/>
              </w:rPr>
              <w:drawing>
                <wp:inline distT="0" distB="0" distL="0" distR="0">
                  <wp:extent cx="2819400" cy="29489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948940"/>
                          </a:xfrm>
                          <a:prstGeom prst="rect">
                            <a:avLst/>
                          </a:prstGeom>
                          <a:noFill/>
                          <a:ln>
                            <a:noFill/>
                          </a:ln>
                        </pic:spPr>
                      </pic:pic>
                    </a:graphicData>
                  </a:graphic>
                </wp:inline>
              </w:drawing>
            </w:r>
          </w:p>
        </w:tc>
      </w:tr>
    </w:tbl>
    <w:p w:rsidR="00876CA6" w:rsidRDefault="0031278A">
      <w:pPr>
        <w:spacing w:after="0"/>
        <w:jc w:val="both"/>
        <w:rPr>
          <w:rFonts w:ascii="Times New Roman" w:eastAsia="Times New Roman" w:hAnsi="Times New Roman" w:cs="Times New Roman"/>
          <w:noProof/>
          <w:sz w:val="20"/>
          <w:szCs w:val="24"/>
          <w:lang w:val="fi-FI" w:eastAsia="fi-FI" w:bidi="fi-FI"/>
        </w:rPr>
      </w:pPr>
      <w:r>
        <w:rPr>
          <w:rFonts w:ascii="Times New Roman" w:hAnsi="Times New Roman"/>
          <w:i/>
          <w:noProof/>
          <w:sz w:val="20"/>
          <w:lang w:val="fi-FI" w:eastAsia="fi-FI" w:bidi="fi-FI"/>
        </w:rPr>
        <w:t>Lähde</w:t>
      </w:r>
      <w:r>
        <w:rPr>
          <w:noProof/>
          <w:lang w:val="fi-FI" w:eastAsia="fi-FI" w:bidi="fi-FI"/>
        </w:rPr>
        <w:t>:</w:t>
      </w:r>
      <w:r>
        <w:rPr>
          <w:rFonts w:ascii="Times New Roman" w:hAnsi="Times New Roman"/>
          <w:noProof/>
          <w:sz w:val="20"/>
          <w:lang w:val="fi-FI" w:eastAsia="fi-FI" w:bidi="fi-FI"/>
        </w:rPr>
        <w:t xml:space="preserve"> Eurostat ja komission yksiköiden laskelmat.</w:t>
      </w:r>
    </w:p>
    <w:p w:rsidR="00876CA6" w:rsidRDefault="0031278A">
      <w:pPr>
        <w:spacing w:after="0"/>
        <w:jc w:val="both"/>
        <w:rPr>
          <w:rFonts w:ascii="Times New Roman" w:eastAsia="Times New Roman" w:hAnsi="Times New Roman" w:cs="Times New Roman"/>
          <w:b/>
          <w:noProof/>
          <w:sz w:val="20"/>
          <w:szCs w:val="24"/>
          <w:lang w:val="fi-FI" w:eastAsia="fi-FI" w:bidi="fi-FI"/>
        </w:rPr>
      </w:pPr>
      <w:r>
        <w:rPr>
          <w:rFonts w:ascii="Times New Roman" w:hAnsi="Times New Roman"/>
          <w:i/>
          <w:noProof/>
          <w:sz w:val="20"/>
          <w:lang w:val="fi-FI" w:eastAsia="fi-FI" w:bidi="fi-FI"/>
        </w:rPr>
        <w:t>Huom.</w:t>
      </w:r>
      <w:r>
        <w:rPr>
          <w:rFonts w:ascii="Times New Roman" w:hAnsi="Times New Roman"/>
          <w:noProof/>
          <w:sz w:val="20"/>
          <w:lang w:val="fi-FI" w:eastAsia="fi-FI" w:bidi="fi-FI"/>
        </w:rPr>
        <w:t xml:space="preserve"> Positiivinen arvostusero on arvioitu seuraavien kolmen parametrin perusteella: hinta-tulosuhteen ja hinta-vuokrasuhteen poikkeamat niiden pitkän aikavälin keskiarvoista sekä arvostuserojen perustekijämallilla saadut tulokset. ks. alaviite </w:t>
      </w:r>
      <w:r>
        <w:rPr>
          <w:rFonts w:ascii="Times New Roman" w:eastAsia="Times New Roman" w:hAnsi="Times New Roman" w:cs="Times New Roman"/>
          <w:noProof/>
          <w:sz w:val="20"/>
          <w:szCs w:val="24"/>
          <w:lang w:val="fi-FI" w:eastAsia="fi-FI" w:bidi="fi-FI"/>
        </w:rPr>
        <w:fldChar w:fldCharType="begin" w:fldLock="1"/>
      </w:r>
      <w:r>
        <w:rPr>
          <w:rFonts w:ascii="Times New Roman" w:eastAsia="Times New Roman" w:hAnsi="Times New Roman" w:cs="Times New Roman"/>
          <w:noProof/>
          <w:sz w:val="20"/>
          <w:szCs w:val="24"/>
          <w:lang w:val="fi-FI" w:eastAsia="fi-FI" w:bidi="fi-FI"/>
        </w:rPr>
        <w:instrText xml:space="preserve"> NOTEREF _Ref526</w:instrText>
      </w:r>
      <w:r>
        <w:rPr>
          <w:rFonts w:ascii="Times New Roman" w:eastAsia="Times New Roman" w:hAnsi="Times New Roman" w:cs="Times New Roman"/>
          <w:noProof/>
          <w:sz w:val="20"/>
          <w:szCs w:val="24"/>
          <w:lang w:val="fi-FI" w:eastAsia="fi-FI" w:bidi="fi-FI"/>
        </w:rPr>
        <w:instrText xml:space="preserve">526185 \h  \* MERGEFORMAT </w:instrText>
      </w:r>
      <w:r>
        <w:rPr>
          <w:rFonts w:ascii="Times New Roman" w:eastAsia="Times New Roman" w:hAnsi="Times New Roman" w:cs="Times New Roman"/>
          <w:noProof/>
          <w:sz w:val="20"/>
          <w:szCs w:val="24"/>
          <w:lang w:val="fi-FI" w:eastAsia="fi-FI" w:bidi="fi-FI"/>
        </w:rPr>
      </w:r>
      <w:r>
        <w:rPr>
          <w:rFonts w:ascii="Times New Roman" w:eastAsia="Times New Roman" w:hAnsi="Times New Roman" w:cs="Times New Roman"/>
          <w:noProof/>
          <w:sz w:val="20"/>
          <w:szCs w:val="24"/>
          <w:lang w:val="fi-FI" w:eastAsia="fi-FI" w:bidi="fi-FI"/>
        </w:rPr>
        <w:fldChar w:fldCharType="separate"/>
      </w:r>
      <w:r>
        <w:rPr>
          <w:rFonts w:ascii="Times New Roman" w:eastAsia="Times New Roman" w:hAnsi="Times New Roman" w:cs="Times New Roman"/>
          <w:noProof/>
          <w:sz w:val="20"/>
          <w:szCs w:val="24"/>
          <w:lang w:val="fi-FI" w:eastAsia="fi-FI" w:bidi="fi-FI"/>
        </w:rPr>
        <w:t>34</w:t>
      </w:r>
      <w:r>
        <w:rPr>
          <w:rFonts w:ascii="Times New Roman" w:eastAsia="Times New Roman" w:hAnsi="Times New Roman" w:cs="Times New Roman"/>
          <w:noProof/>
          <w:sz w:val="20"/>
          <w:szCs w:val="24"/>
          <w:lang w:val="fi-FI" w:eastAsia="fi-FI" w:bidi="fi-FI"/>
        </w:rPr>
        <w:fldChar w:fldCharType="end"/>
      </w:r>
      <w:r>
        <w:rPr>
          <w:rFonts w:ascii="Times New Roman" w:hAnsi="Times New Roman"/>
          <w:noProof/>
          <w:sz w:val="20"/>
          <w:lang w:val="fi-FI" w:eastAsia="fi-FI" w:bidi="fi-FI"/>
        </w:rPr>
        <w:t>.</w:t>
      </w:r>
    </w:p>
    <w:p w:rsidR="00876CA6" w:rsidRDefault="00876CA6">
      <w:pPr>
        <w:spacing w:before="120" w:after="120"/>
        <w:jc w:val="both"/>
        <w:rPr>
          <w:rFonts w:ascii="Times New Roman" w:eastAsia="Times New Roman" w:hAnsi="Times New Roman" w:cs="Times New Roman"/>
          <w:b/>
          <w:noProof/>
          <w:lang w:val="fi-FI" w:eastAsia="fi-FI" w:bidi="fi-FI"/>
        </w:rPr>
      </w:pP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Julkisen talouden velkasuhde ei enää kasva EU:ssa, mutta velkatasot ovat edelleen korkeita monissa maissa. </w:t>
      </w:r>
      <w:r>
        <w:rPr>
          <w:rFonts w:ascii="Times New Roman" w:hAnsi="Times New Roman"/>
          <w:noProof/>
          <w:lang w:val="fi-FI" w:eastAsia="fi-FI" w:bidi="fi-FI"/>
        </w:rPr>
        <w:t>Tulostaulun arvot ylittivät kynnysarvon 15 jäsenva</w:t>
      </w:r>
      <w:r>
        <w:rPr>
          <w:rFonts w:ascii="Times New Roman" w:hAnsi="Times New Roman"/>
          <w:noProof/>
          <w:lang w:val="fi-FI" w:eastAsia="fi-FI" w:bidi="fi-FI"/>
        </w:rPr>
        <w:t>ltiossa vuonna 2017. Belgiassa, Italiassa, Kreikassa ja Portugalissa velkatasot ovat yli 100 prosenttia suhteessa BKT:hen, ja Italian rahoituskustannukset kasvoivat merkittävästi vuonna 2018. Kahdeksassa maassa (Belgia, Espanja, Irlanti, Kypros, Portugali,</w:t>
      </w:r>
      <w:r>
        <w:rPr>
          <w:rFonts w:ascii="Times New Roman" w:hAnsi="Times New Roman"/>
          <w:noProof/>
          <w:lang w:val="fi-FI" w:eastAsia="fi-FI" w:bidi="fi-FI"/>
        </w:rPr>
        <w:t xml:space="preserve"> Ranska, Suomi ja Yhdistynyt kuningaskunta) julkisen velan määrä on yli 60 % suhteessa BKT:hen ja myös yksityisen sektorin velkaantuneisuus ylittää kynnysarvon. Julkinen velka suhteessa BKT:hen on yleensä kääntynyt laskuun (kuvio 19). Maissa, joissa julkis</w:t>
      </w:r>
      <w:r>
        <w:rPr>
          <w:rFonts w:ascii="Times New Roman" w:hAnsi="Times New Roman"/>
          <w:noProof/>
          <w:lang w:val="fi-FI" w:eastAsia="fi-FI" w:bidi="fi-FI"/>
        </w:rPr>
        <w:t>en velan määrä on suuri, velkaantumisen purkaminen on kuitenkin käynnistynyt vasta hiljattain, ja se etenee hitaasti. Kaikista EU-maista velkasuhteiden ennustetaan kasvavan vain Liettuassa ja Romaniassa vuonna 2019. Yleisesti ottaen voidaan todeta, että ju</w:t>
      </w:r>
      <w:r>
        <w:rPr>
          <w:rFonts w:ascii="Times New Roman" w:hAnsi="Times New Roman"/>
          <w:noProof/>
          <w:lang w:val="fi-FI" w:eastAsia="fi-FI" w:bidi="fi-FI"/>
        </w:rPr>
        <w:t>lkisen talouden velkaantuminen on vähentynyt viime vuosina tapahtuneen julkisen talouden rahoitusaseman vähittäisen kohenemisen, nimellisen BKT:n kasvun jatkumisen ja alhaisempien korkomaksujen seurauksena. Yhä useampien maiden odotetaan kuitenkin harjoitt</w:t>
      </w:r>
      <w:r>
        <w:rPr>
          <w:rFonts w:ascii="Times New Roman" w:hAnsi="Times New Roman"/>
          <w:noProof/>
          <w:lang w:val="fi-FI" w:eastAsia="fi-FI" w:bidi="fi-FI"/>
        </w:rPr>
        <w:t xml:space="preserve">avan myötäsyklistä elvyttävää finanssipolitiikkaa, joka mahdollisesti heikentää tulevaisuudessa käytettävissä olevaa liikkumavaraa negatiivisten tuotantohäiriöiden vaimentamiseksi. </w:t>
      </w:r>
    </w:p>
    <w:p w:rsidR="00876CA6" w:rsidRDefault="0031278A">
      <w:pPr>
        <w:rPr>
          <w:rFonts w:ascii="Times New Roman" w:eastAsia="Times New Roman" w:hAnsi="Times New Roman" w:cs="Times New Roman"/>
          <w:b/>
          <w:noProof/>
          <w:lang w:val="fi-FI" w:eastAsia="fi-FI" w:bidi="fi-FI"/>
        </w:rPr>
      </w:pPr>
      <w:r>
        <w:rPr>
          <w:rFonts w:ascii="Times New Roman" w:eastAsia="Times New Roman" w:hAnsi="Times New Roman" w:cs="Times New Roman"/>
          <w:b/>
          <w:noProof/>
          <w:lang w:val="fi-FI" w:eastAsia="fi-FI" w:bidi="fi-FI"/>
        </w:rPr>
        <w:br w:type="page"/>
      </w:r>
    </w:p>
    <w:p w:rsidR="00876CA6" w:rsidRDefault="00876CA6">
      <w:pPr>
        <w:spacing w:before="120" w:after="120"/>
        <w:rPr>
          <w:rFonts w:ascii="Times New Roman" w:eastAsia="Times New Roman" w:hAnsi="Times New Roman" w:cs="Times New Roman"/>
          <w:b/>
          <w:noProof/>
          <w:lang w:val="fi-FI" w:eastAsia="fi-FI" w:bidi="fi-FI"/>
        </w:rPr>
      </w:pPr>
    </w:p>
    <w:p w:rsidR="00876CA6" w:rsidRDefault="0031278A">
      <w:pPr>
        <w:spacing w:before="120" w:after="120"/>
        <w:jc w:val="center"/>
        <w:rPr>
          <w:rFonts w:ascii="Times New Roman" w:eastAsia="Times New Roman" w:hAnsi="Times New Roman" w:cs="Times New Roman"/>
          <w:b/>
          <w:noProof/>
          <w:lang w:val="fi-FI" w:eastAsia="fi-FI" w:bidi="fi-FI"/>
        </w:rPr>
      </w:pPr>
      <w:r>
        <w:rPr>
          <w:rFonts w:ascii="Times New Roman" w:hAnsi="Times New Roman"/>
          <w:b/>
          <w:noProof/>
          <w:lang w:val="fi-FI" w:eastAsia="fi-FI" w:bidi="fi-FI"/>
        </w:rPr>
        <w:t>Kuvio 19: Julkinen velka</w:t>
      </w:r>
    </w:p>
    <w:p w:rsidR="00876CA6" w:rsidRDefault="0031278A">
      <w:pPr>
        <w:spacing w:before="120" w:after="120"/>
        <w:jc w:val="center"/>
        <w:rPr>
          <w:rFonts w:ascii="Times New Roman" w:eastAsia="Times New Roman" w:hAnsi="Times New Roman" w:cs="Times New Roman"/>
          <w:noProof/>
          <w:sz w:val="24"/>
          <w:szCs w:val="24"/>
          <w:lang w:val="fi-FI" w:eastAsia="fi-FI" w:bidi="fi-FI"/>
        </w:rPr>
      </w:pPr>
      <w:r>
        <w:rPr>
          <w:noProof/>
          <w:lang w:eastAsia="en-GB"/>
        </w:rPr>
        <w:drawing>
          <wp:inline distT="0" distB="0" distL="0" distR="0">
            <wp:extent cx="5219700" cy="32080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3208020"/>
                    </a:xfrm>
                    <a:prstGeom prst="rect">
                      <a:avLst/>
                    </a:prstGeom>
                    <a:noFill/>
                    <a:ln>
                      <a:noFill/>
                    </a:ln>
                  </pic:spPr>
                </pic:pic>
              </a:graphicData>
            </a:graphic>
          </wp:inline>
        </w:drawing>
      </w:r>
    </w:p>
    <w:p w:rsidR="00876CA6" w:rsidRDefault="0031278A">
      <w:pPr>
        <w:spacing w:before="120" w:after="120"/>
        <w:rPr>
          <w:rFonts w:ascii="Times New Roman" w:eastAsia="Times New Roman" w:hAnsi="Times New Roman" w:cs="Times New Roman"/>
          <w:noProof/>
          <w:sz w:val="20"/>
          <w:szCs w:val="24"/>
          <w:lang w:val="fi-FI" w:eastAsia="fi-FI" w:bidi="fi-FI"/>
        </w:rPr>
      </w:pPr>
      <w:r>
        <w:rPr>
          <w:rFonts w:ascii="Times New Roman" w:hAnsi="Times New Roman"/>
          <w:i/>
          <w:noProof/>
          <w:sz w:val="20"/>
          <w:lang w:val="fi-FI" w:eastAsia="fi-FI" w:bidi="fi-FI"/>
        </w:rPr>
        <w:t>Lähde:</w:t>
      </w:r>
      <w:r>
        <w:rPr>
          <w:rFonts w:ascii="Times New Roman" w:hAnsi="Times New Roman"/>
          <w:noProof/>
          <w:sz w:val="20"/>
          <w:lang w:val="fi-FI" w:eastAsia="fi-FI" w:bidi="fi-FI"/>
        </w:rPr>
        <w:t xml:space="preserve"> Eurostat</w:t>
      </w:r>
    </w:p>
    <w:p w:rsidR="00876CA6" w:rsidRDefault="00876CA6">
      <w:pPr>
        <w:spacing w:before="120" w:after="120"/>
        <w:rPr>
          <w:rFonts w:ascii="Times New Roman" w:eastAsia="Times New Roman" w:hAnsi="Times New Roman" w:cs="Times New Roman"/>
          <w:noProof/>
          <w:sz w:val="20"/>
          <w:szCs w:val="24"/>
          <w:lang w:val="fi-FI" w:eastAsia="fi-FI" w:bidi="fi-FI"/>
        </w:rPr>
      </w:pPr>
    </w:p>
    <w:p w:rsidR="00876CA6" w:rsidRDefault="0031278A">
      <w:pPr>
        <w:rPr>
          <w:rFonts w:ascii="Times New Roman" w:eastAsia="Times New Roman" w:hAnsi="Times New Roman" w:cs="Times New Roman"/>
          <w:i/>
          <w:noProof/>
          <w:sz w:val="20"/>
          <w:szCs w:val="20"/>
          <w:lang w:val="fi-FI" w:eastAsia="fi-FI" w:bidi="fi-FI"/>
        </w:rPr>
      </w:pPr>
      <w:r>
        <w:rPr>
          <w:noProof/>
          <w:lang w:val="fi-FI" w:eastAsia="fi-FI" w:bidi="fi-FI"/>
        </w:rPr>
        <w:br w:type="page"/>
      </w:r>
    </w:p>
    <w:p w:rsidR="00876CA6" w:rsidRDefault="00876CA6">
      <w:pPr>
        <w:spacing w:before="120" w:after="120"/>
        <w:jc w:val="center"/>
        <w:rPr>
          <w:rFonts w:ascii="Times New Roman" w:eastAsia="Times New Roman" w:hAnsi="Times New Roman" w:cs="Times New Roman"/>
          <w:i/>
          <w:noProof/>
          <w:sz w:val="20"/>
          <w:szCs w:val="20"/>
          <w:lang w:val="fi-FI" w:eastAsia="fi-FI" w:bidi="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76CA6" w:rsidRPr="0031278A">
        <w:tc>
          <w:tcPr>
            <w:tcW w:w="9288" w:type="dxa"/>
            <w:tcBorders>
              <w:top w:val="single" w:sz="4" w:space="0" w:color="auto"/>
              <w:left w:val="single" w:sz="4" w:space="0" w:color="auto"/>
              <w:bottom w:val="single" w:sz="4" w:space="0" w:color="auto"/>
              <w:right w:val="single" w:sz="4" w:space="0" w:color="auto"/>
            </w:tcBorders>
            <w:shd w:val="clear" w:color="auto" w:fill="BFBFBF"/>
          </w:tcPr>
          <w:p w:rsidR="00876CA6" w:rsidRDefault="0031278A">
            <w:pPr>
              <w:spacing w:before="120" w:after="120" w:line="240" w:lineRule="auto"/>
              <w:jc w:val="center"/>
              <w:rPr>
                <w:rFonts w:ascii="Times New Roman" w:eastAsia="Times New Roman" w:hAnsi="Times New Roman" w:cs="Times New Roman"/>
                <w:b/>
                <w:i/>
                <w:noProof/>
                <w:lang w:val="fi-FI" w:eastAsia="fi-FI" w:bidi="fi-FI"/>
              </w:rPr>
            </w:pPr>
            <w:r>
              <w:rPr>
                <w:rFonts w:ascii="Times New Roman" w:hAnsi="Times New Roman"/>
                <w:b/>
                <w:i/>
                <w:noProof/>
                <w:lang w:val="fi-FI" w:eastAsia="fi-FI" w:bidi="fi-FI"/>
              </w:rPr>
              <w:t xml:space="preserve">Tekstikehys 3: </w:t>
            </w:r>
            <w:r>
              <w:rPr>
                <w:rFonts w:ascii="Times New Roman" w:hAnsi="Times New Roman"/>
                <w:b/>
                <w:noProof/>
                <w:lang w:val="fi-FI" w:eastAsia="fi-FI" w:bidi="fi-FI"/>
              </w:rPr>
              <w:t>Työllisyys ja sosiaalinen kehitys</w:t>
            </w:r>
          </w:p>
          <w:p w:rsidR="00876CA6" w:rsidRDefault="0031278A">
            <w:pPr>
              <w:autoSpaceDE w:val="0"/>
              <w:autoSpaceDN w:val="0"/>
              <w:adjustRightInd w:val="0"/>
              <w:spacing w:after="0" w:line="240" w:lineRule="auto"/>
              <w:jc w:val="both"/>
              <w:rPr>
                <w:rFonts w:ascii="Times New Roman" w:hAnsi="Times New Roman" w:cs="Times New Roman"/>
                <w:noProof/>
                <w:lang w:val="fi-FI" w:eastAsia="fi-FI" w:bidi="fi-FI"/>
              </w:rPr>
            </w:pPr>
            <w:r>
              <w:rPr>
                <w:rFonts w:ascii="Times New Roman" w:hAnsi="Times New Roman"/>
                <w:b/>
                <w:noProof/>
                <w:lang w:val="fi-FI" w:eastAsia="fi-FI" w:bidi="fi-FI"/>
              </w:rPr>
              <w:t>EU:n työmarkkinat paranivat edelleen vuoden 2017 ja vuoden 2018 ensimmäisen puoliskon aikana, ja EU-maiden väliset suuret erot kaventuivat.</w:t>
            </w:r>
            <w:r>
              <w:rPr>
                <w:rFonts w:ascii="Times New Roman" w:hAnsi="Times New Roman"/>
                <w:noProof/>
                <w:lang w:val="fi-FI" w:eastAsia="fi-FI" w:bidi="fi-FI"/>
              </w:rPr>
              <w:t xml:space="preserve"> Työllisyys on lisääntynyt entisestään, ja työllisten määrä koko EU:ssa on noussut ennätyksellisen suureksi. Työttömyys on vähentynyt kaikissa EU-maissa, vaikka useat maat kärsivät edelleen suuresta työttömyydestä. Elpyminen on edistänyt eräiden köyhyysind</w:t>
            </w:r>
            <w:r>
              <w:rPr>
                <w:rFonts w:ascii="Times New Roman" w:hAnsi="Times New Roman"/>
                <w:noProof/>
                <w:lang w:val="fi-FI" w:eastAsia="fi-FI" w:bidi="fi-FI"/>
              </w:rPr>
              <w:t xml:space="preserve">ikaattoreiden laskua, mutta sosiaalinen tilanne on edelleen huolestuttava joissakin jäsenvaltioissa. Vuodesta 2008 lähtien suhteellinen köyhyysriski on kasvanut EU:ssa, mutta vakava aineellinen puute on vähentynyt erityisesti Itä-Euroopan jäsenvaltioissa, </w:t>
            </w:r>
            <w:r>
              <w:rPr>
                <w:rFonts w:ascii="Times New Roman" w:hAnsi="Times New Roman"/>
                <w:noProof/>
                <w:lang w:val="fi-FI" w:eastAsia="fi-FI" w:bidi="fi-FI"/>
              </w:rPr>
              <w:t>joissa sen lähtötaso oli korkea.</w:t>
            </w:r>
          </w:p>
          <w:p w:rsidR="00876CA6" w:rsidRDefault="00876CA6">
            <w:pPr>
              <w:autoSpaceDE w:val="0"/>
              <w:autoSpaceDN w:val="0"/>
              <w:adjustRightInd w:val="0"/>
              <w:spacing w:after="0" w:line="240" w:lineRule="auto"/>
              <w:rPr>
                <w:rFonts w:ascii="Times New Roman" w:hAnsi="Times New Roman" w:cs="Times New Roman"/>
                <w:noProof/>
                <w:lang w:val="fi-FI" w:eastAsia="fi-FI" w:bidi="fi-FI"/>
              </w:rPr>
            </w:pPr>
          </w:p>
          <w:p w:rsidR="00876CA6" w:rsidRDefault="0031278A">
            <w:pPr>
              <w:autoSpaceDE w:val="0"/>
              <w:autoSpaceDN w:val="0"/>
              <w:adjustRightInd w:val="0"/>
              <w:spacing w:after="0" w:line="240" w:lineRule="auto"/>
              <w:jc w:val="both"/>
              <w:rPr>
                <w:rFonts w:ascii="Times New Roman" w:hAnsi="Times New Roman" w:cs="Times New Roman"/>
                <w:noProof/>
                <w:lang w:val="fi-FI" w:eastAsia="fi-FI" w:bidi="fi-FI"/>
              </w:rPr>
            </w:pPr>
            <w:r>
              <w:rPr>
                <w:rFonts w:ascii="Times New Roman" w:hAnsi="Times New Roman"/>
                <w:b/>
                <w:i/>
                <w:noProof/>
                <w:lang w:val="fi-FI" w:eastAsia="fi-FI" w:bidi="fi-FI"/>
              </w:rPr>
              <w:t>Työttömyysaste</w:t>
            </w:r>
            <w:r>
              <w:rPr>
                <w:rFonts w:ascii="Times New Roman" w:hAnsi="Times New Roman"/>
                <w:b/>
                <w:noProof/>
                <w:lang w:val="fi-FI" w:eastAsia="fi-FI" w:bidi="fi-FI"/>
              </w:rPr>
              <w:t xml:space="preserve"> laski vuonna 2017 kaikissa jäsenvaltioissa.</w:t>
            </w:r>
            <w:r>
              <w:rPr>
                <w:rFonts w:ascii="Times New Roman" w:hAnsi="Times New Roman"/>
                <w:noProof/>
                <w:lang w:val="fi-FI" w:eastAsia="fi-FI" w:bidi="fi-FI"/>
              </w:rPr>
              <w:t xml:space="preserve"> Lasku oli suurinta niissä jäsenvaltioissa, joissa työttömyysasteet olivat korkeimmat (työttömyysaste laski vähintään 2 prosenttiyksikköä Espanjassa, Kreikassa, Kro</w:t>
            </w:r>
            <w:r>
              <w:rPr>
                <w:rFonts w:ascii="Times New Roman" w:hAnsi="Times New Roman"/>
                <w:noProof/>
                <w:lang w:val="fi-FI" w:eastAsia="fi-FI" w:bidi="fi-FI"/>
              </w:rPr>
              <w:t xml:space="preserve">atiassa ja Portugalissa). Seitsemässä jäsenvaltiossa (Espanjassa, Italiassa, Kreikassa, Kroatiassa, Kyproksessa, Portugalissa ja Ranskassa) työttömyysasteet ylittivät kuitenkin edelleen tulostaulun indikaattorin kynnysarvon, joka on 10 prosenttia viimeksi </w:t>
            </w:r>
            <w:r>
              <w:rPr>
                <w:rFonts w:ascii="Times New Roman" w:hAnsi="Times New Roman"/>
                <w:noProof/>
                <w:lang w:val="fi-FI" w:eastAsia="fi-FI" w:bidi="fi-FI"/>
              </w:rPr>
              <w:t>kuluneiden kolmen vuoden jaksolta laskettuna keskiarvona. Työttömyysasteet olivat vuonna 2017 edelleen korkeampia kuin vuonna 2008 noin kahdessa kolmasosassa jäsenvaltioista. Koko EU:ssa ja euroalueella työttömyysasteet olivat noin 3 prosenttiyksikköä alha</w:t>
            </w:r>
            <w:r>
              <w:rPr>
                <w:rFonts w:ascii="Times New Roman" w:hAnsi="Times New Roman"/>
                <w:noProof/>
                <w:lang w:val="fi-FI" w:eastAsia="fi-FI" w:bidi="fi-FI"/>
              </w:rPr>
              <w:t>isempia kuin vuonna 2013 saavutettu huippu, mutta edelleen ½ ja 1½ prosenttiyksikköä korkeampia kuin vuonna 2008. Työttömyysasteet laskivat edelleen tasaisesti vuoden 2018 ensimmäisellä puoliskolla: EU:n työttömyysaste laski 6,9 prosenttiin ja euroalueen 8</w:t>
            </w:r>
            <w:r>
              <w:rPr>
                <w:rFonts w:ascii="Times New Roman" w:hAnsi="Times New Roman"/>
                <w:noProof/>
                <w:lang w:val="fi-FI" w:eastAsia="fi-FI" w:bidi="fi-FI"/>
              </w:rPr>
              <w:t xml:space="preserve">,3 prosenttiin vuoden 2018 toisella neljänneksellä. </w:t>
            </w:r>
          </w:p>
          <w:p w:rsidR="00876CA6" w:rsidRDefault="00876CA6">
            <w:pPr>
              <w:autoSpaceDE w:val="0"/>
              <w:autoSpaceDN w:val="0"/>
              <w:adjustRightInd w:val="0"/>
              <w:spacing w:after="0" w:line="240" w:lineRule="auto"/>
              <w:jc w:val="both"/>
              <w:rPr>
                <w:rFonts w:ascii="Times New Roman" w:hAnsi="Times New Roman" w:cs="Times New Roman"/>
                <w:noProof/>
                <w:lang w:val="fi-FI" w:eastAsia="fi-FI" w:bidi="fi-FI"/>
              </w:rPr>
            </w:pPr>
          </w:p>
          <w:p w:rsidR="00876CA6" w:rsidRDefault="0031278A">
            <w:pPr>
              <w:autoSpaceDE w:val="0"/>
              <w:autoSpaceDN w:val="0"/>
              <w:adjustRightInd w:val="0"/>
              <w:spacing w:after="0" w:line="240" w:lineRule="auto"/>
              <w:jc w:val="both"/>
              <w:rPr>
                <w:rFonts w:ascii="Times New Roman" w:hAnsi="Times New Roman" w:cs="Times New Roman"/>
                <w:noProof/>
                <w:lang w:val="fi-FI" w:eastAsia="fi-FI" w:bidi="fi-FI"/>
              </w:rPr>
            </w:pPr>
            <w:r>
              <w:rPr>
                <w:rFonts w:ascii="Times New Roman" w:hAnsi="Times New Roman"/>
                <w:b/>
                <w:i/>
                <w:noProof/>
                <w:lang w:val="fi-FI" w:eastAsia="fi-FI" w:bidi="fi-FI"/>
              </w:rPr>
              <w:t>Työllisyysasteet</w:t>
            </w:r>
            <w:r>
              <w:rPr>
                <w:noProof/>
                <w:lang w:val="fi-FI" w:eastAsia="fi-FI" w:bidi="fi-FI"/>
              </w:rPr>
              <w:t xml:space="preserve"> </w:t>
            </w:r>
            <w:r>
              <w:rPr>
                <w:rFonts w:ascii="Times New Roman" w:hAnsi="Times New Roman"/>
                <w:b/>
                <w:noProof/>
                <w:lang w:val="fi-FI" w:eastAsia="fi-FI" w:bidi="fi-FI"/>
              </w:rPr>
              <w:t>nousivat lähes kaikissa jäsenvaltioissa, mikä merkitsi viime vuosien myönteisen kehityksen jatkumista.</w:t>
            </w:r>
            <w:r>
              <w:rPr>
                <w:rFonts w:ascii="Times New Roman" w:hAnsi="Times New Roman"/>
                <w:noProof/>
                <w:lang w:val="fi-FI" w:eastAsia="fi-FI" w:bidi="fi-FI"/>
              </w:rPr>
              <w:t xml:space="preserve"> Työllisyysaste (20–64-vuotiaat) oli vuonna 2017 koko EU:ssa 72,1 prosenttia, eli s</w:t>
            </w:r>
            <w:r>
              <w:rPr>
                <w:rFonts w:ascii="Times New Roman" w:hAnsi="Times New Roman"/>
                <w:noProof/>
                <w:lang w:val="fi-FI" w:eastAsia="fi-FI" w:bidi="fi-FI"/>
              </w:rPr>
              <w:t xml:space="preserve">e ylitti selvästi ennen kriisiä vuonna 2008 saavutetun huipun, joka oli 70,3 prosenttia. Työllisyysaste jatkoi kasvuaan vuoden 2018 toisella neljänneksellä, jonka päättyessä se oli ennätyksellisen korkea, 73,2 prosenttia. </w:t>
            </w:r>
          </w:p>
          <w:p w:rsidR="00876CA6" w:rsidRDefault="00876CA6">
            <w:pPr>
              <w:autoSpaceDE w:val="0"/>
              <w:autoSpaceDN w:val="0"/>
              <w:adjustRightInd w:val="0"/>
              <w:spacing w:after="0" w:line="240" w:lineRule="auto"/>
              <w:rPr>
                <w:rFonts w:ascii="Times New Roman" w:hAnsi="Times New Roman" w:cs="Times New Roman"/>
                <w:noProof/>
                <w:lang w:val="fi-FI" w:eastAsia="fi-FI" w:bidi="fi-FI"/>
              </w:rPr>
            </w:pPr>
          </w:p>
          <w:p w:rsidR="00876CA6" w:rsidRDefault="0031278A">
            <w:pPr>
              <w:autoSpaceDE w:val="0"/>
              <w:autoSpaceDN w:val="0"/>
              <w:adjustRightInd w:val="0"/>
              <w:spacing w:after="0" w:line="240" w:lineRule="auto"/>
              <w:jc w:val="both"/>
              <w:rPr>
                <w:rFonts w:ascii="Times New Roman" w:hAnsi="Times New Roman" w:cs="Times New Roman"/>
                <w:noProof/>
                <w:lang w:val="fi-FI" w:eastAsia="fi-FI" w:bidi="fi-FI"/>
              </w:rPr>
            </w:pPr>
            <w:r>
              <w:rPr>
                <w:rFonts w:ascii="Times New Roman" w:hAnsi="Times New Roman"/>
                <w:b/>
                <w:i/>
                <w:noProof/>
                <w:lang w:val="fi-FI" w:eastAsia="fi-FI" w:bidi="fi-FI"/>
              </w:rPr>
              <w:t>Työvoimaosuudet</w:t>
            </w:r>
            <w:r>
              <w:rPr>
                <w:rFonts w:ascii="Times New Roman" w:hAnsi="Times New Roman"/>
                <w:b/>
                <w:noProof/>
                <w:lang w:val="fi-FI" w:eastAsia="fi-FI" w:bidi="fi-FI"/>
              </w:rPr>
              <w:t xml:space="preserve"> kasvoivat edelle</w:t>
            </w:r>
            <w:r>
              <w:rPr>
                <w:rFonts w:ascii="Times New Roman" w:hAnsi="Times New Roman"/>
                <w:b/>
                <w:noProof/>
                <w:lang w:val="fi-FI" w:eastAsia="fi-FI" w:bidi="fi-FI"/>
              </w:rPr>
              <w:t>en lähes kaikkialla EU:ssa.</w:t>
            </w:r>
            <w:r>
              <w:rPr>
                <w:rFonts w:ascii="Times New Roman" w:hAnsi="Times New Roman"/>
                <w:noProof/>
                <w:lang w:val="fi-FI" w:eastAsia="fi-FI" w:bidi="fi-FI"/>
              </w:rPr>
              <w:t xml:space="preserve"> Työvoimaosuus on kolmen viime vuoden aikana laskenut ainoastaan kolmessa maassa: Espanjassa (–0,3 prosenttiyksikköä), Kyproksessa (–0,4 prosenttiyksikköä) ja Luxemburgissa (–0,6 prosenttiyksikköä). Kaikissa kolmessa tapauksessa </w:t>
            </w:r>
            <w:r>
              <w:rPr>
                <w:rFonts w:ascii="Times New Roman" w:hAnsi="Times New Roman"/>
                <w:noProof/>
                <w:lang w:val="fi-FI" w:eastAsia="fi-FI" w:bidi="fi-FI"/>
              </w:rPr>
              <w:t>lasku ylittää tulostaulun kynnysarvon, joka on –0,2 prosenttiyksikköä. Koko EU:n työvoimaosuus oli 73,3 prosenttia vuonna 2017 eli 2½ prosenttiyksikköä suurempi kuin vuonna 2008. Vastaavat euroalueen luvut olivat 73,1 prosenttia ja 2 prosenttiyksikköä. Työ</w:t>
            </w:r>
            <w:r>
              <w:rPr>
                <w:rFonts w:ascii="Times New Roman" w:hAnsi="Times New Roman"/>
                <w:noProof/>
                <w:lang w:val="fi-FI" w:eastAsia="fi-FI" w:bidi="fi-FI"/>
              </w:rPr>
              <w:t xml:space="preserve">voimaosuuden kasvu johtuu lähinnä siitä, että iäkkäämpien työntekijöiden ja naisten osallistuminen työmarkkinoille on lisääntynyt. </w:t>
            </w:r>
          </w:p>
          <w:p w:rsidR="00876CA6" w:rsidRDefault="00876CA6">
            <w:pPr>
              <w:autoSpaceDE w:val="0"/>
              <w:autoSpaceDN w:val="0"/>
              <w:adjustRightInd w:val="0"/>
              <w:spacing w:after="0" w:line="240" w:lineRule="auto"/>
              <w:rPr>
                <w:rFonts w:ascii="Times New Roman" w:hAnsi="Times New Roman" w:cs="Times New Roman"/>
                <w:noProof/>
                <w:lang w:val="fi-FI" w:eastAsia="fi-FI" w:bidi="fi-FI"/>
              </w:rPr>
            </w:pPr>
          </w:p>
          <w:p w:rsidR="00876CA6" w:rsidRDefault="0031278A">
            <w:pPr>
              <w:autoSpaceDE w:val="0"/>
              <w:autoSpaceDN w:val="0"/>
              <w:adjustRightInd w:val="0"/>
              <w:spacing w:after="0" w:line="240" w:lineRule="auto"/>
              <w:jc w:val="both"/>
              <w:rPr>
                <w:rFonts w:ascii="Times New Roman" w:hAnsi="Times New Roman" w:cs="Times New Roman"/>
                <w:noProof/>
                <w:lang w:val="fi-FI" w:eastAsia="fi-FI" w:bidi="fi-FI"/>
              </w:rPr>
            </w:pPr>
            <w:r>
              <w:rPr>
                <w:rFonts w:ascii="Times New Roman" w:hAnsi="Times New Roman"/>
                <w:b/>
                <w:noProof/>
                <w:lang w:val="fi-FI" w:eastAsia="fi-FI" w:bidi="fi-FI"/>
              </w:rPr>
              <w:t>Pitkäaikais- ja nuorisotyöttömyys ovat edelleen korkealla tasolla monissa EU-maissa, mutta ne ovat parantuneet muita työmar</w:t>
            </w:r>
            <w:r>
              <w:rPr>
                <w:rFonts w:ascii="Times New Roman" w:hAnsi="Times New Roman"/>
                <w:b/>
                <w:noProof/>
                <w:lang w:val="fi-FI" w:eastAsia="fi-FI" w:bidi="fi-FI"/>
              </w:rPr>
              <w:t>kkinoita vahvemmin.</w:t>
            </w:r>
            <w:r>
              <w:rPr>
                <w:rFonts w:ascii="Times New Roman" w:hAnsi="Times New Roman"/>
                <w:i/>
                <w:noProof/>
                <w:lang w:val="fi-FI" w:eastAsia="fi-FI" w:bidi="fi-FI"/>
              </w:rPr>
              <w:t xml:space="preserve"> Pitkäaikaistyöttömyys</w:t>
            </w:r>
            <w:r>
              <w:rPr>
                <w:noProof/>
                <w:lang w:val="fi-FI" w:eastAsia="fi-FI" w:bidi="fi-FI"/>
              </w:rPr>
              <w:t xml:space="preserve"> väheni kaikissa jäsenvaltioissa vuonna 2017.</w:t>
            </w:r>
            <w:r>
              <w:rPr>
                <w:rFonts w:ascii="Times New Roman" w:hAnsi="Times New Roman"/>
                <w:noProof/>
                <w:lang w:val="fi-FI" w:eastAsia="fi-FI" w:bidi="fi-FI"/>
              </w:rPr>
              <w:t xml:space="preserve"> Vain kahdessa maassa pitkäaikaistyöttömyys oli korkeampi kuin kolme vuotta aiemmin: Itävallassa pitkäaikaistyöttömyys oli 1,8 prosenttia (0,3 prosenttiyksikköä enemmän k</w:t>
            </w:r>
            <w:r>
              <w:rPr>
                <w:rFonts w:ascii="Times New Roman" w:hAnsi="Times New Roman"/>
                <w:noProof/>
                <w:lang w:val="fi-FI" w:eastAsia="fi-FI" w:bidi="fi-FI"/>
              </w:rPr>
              <w:t>uin vuonna 2014), ja Suomessa se oli 2,1 prosenttia (0,2 prosenttiyksikön nousu vuodesta 2014). Kummassakaan maassa nousu ei ylitä tulostaulun kynnysarvoa, joka on 0,5 prosenttiyksikköä. Suurimmat pitkäaikaistyöttömien osuudet olivat Kreikassa (15,6 prosen</w:t>
            </w:r>
            <w:r>
              <w:rPr>
                <w:rFonts w:ascii="Times New Roman" w:hAnsi="Times New Roman"/>
                <w:noProof/>
                <w:lang w:val="fi-FI" w:eastAsia="fi-FI" w:bidi="fi-FI"/>
              </w:rPr>
              <w:t xml:space="preserve">ttia), Espanjassa (7,7 prosenttia), Italiassa (6,5 prosenttia) ja Slovakiassa (5,1 prosenttia). </w:t>
            </w:r>
            <w:r>
              <w:rPr>
                <w:rFonts w:ascii="Times New Roman" w:hAnsi="Times New Roman"/>
                <w:i/>
                <w:noProof/>
                <w:lang w:val="fi-FI" w:eastAsia="fi-FI" w:bidi="fi-FI"/>
              </w:rPr>
              <w:t>Nuorisotyöttömyysaste</w:t>
            </w:r>
            <w:r>
              <w:rPr>
                <w:rFonts w:ascii="Times New Roman" w:hAnsi="Times New Roman"/>
                <w:noProof/>
                <w:lang w:val="fi-FI" w:eastAsia="fi-FI" w:bidi="fi-FI"/>
              </w:rPr>
              <w:t xml:space="preserve"> laski kaikissa EU:n jäsenvaltioissa kolmen vuotta 2017 edeltäneen vuoden aikana. Lasku oli kyseisellä ajanjaksolla vähintään 10 prosenttiy</w:t>
            </w:r>
            <w:r>
              <w:rPr>
                <w:rFonts w:ascii="Times New Roman" w:hAnsi="Times New Roman"/>
                <w:noProof/>
                <w:lang w:val="fi-FI" w:eastAsia="fi-FI" w:bidi="fi-FI"/>
              </w:rPr>
              <w:t>ksikköä Bulgariassa, Espanjassa, Kroatiassa, Kyproksessa, Portugalissa ja Slovakiassa. Nuorisotyöttömyysaste on kuitenkin edelleen yli 30 prosenttia Espanjassa, Italiassa ja Kreikassa, ja niiden nuorten osuus, jotka eivät ole työelämässä tai koulutuksessa,</w:t>
            </w:r>
            <w:r>
              <w:rPr>
                <w:rFonts w:ascii="Times New Roman" w:hAnsi="Times New Roman"/>
                <w:noProof/>
                <w:lang w:val="fi-FI" w:eastAsia="fi-FI" w:bidi="fi-FI"/>
              </w:rPr>
              <w:t xml:space="preserve"> on edelleen yli 15 prosenttia Bulgariassa, Italiassa, Kreikassa, Kroatiassa, Kyproksessa ja Romaniassa.  </w:t>
            </w:r>
          </w:p>
          <w:p w:rsidR="00876CA6" w:rsidRDefault="00876CA6">
            <w:pPr>
              <w:autoSpaceDE w:val="0"/>
              <w:autoSpaceDN w:val="0"/>
              <w:adjustRightInd w:val="0"/>
              <w:spacing w:after="0" w:line="240" w:lineRule="auto"/>
              <w:rPr>
                <w:rFonts w:ascii="Times New Roman" w:hAnsi="Times New Roman" w:cs="Times New Roman"/>
                <w:i/>
                <w:iCs/>
                <w:noProof/>
                <w:lang w:val="fi-FI" w:eastAsia="fi-FI" w:bidi="fi-FI"/>
              </w:rPr>
            </w:pPr>
          </w:p>
          <w:p w:rsidR="00876CA6" w:rsidRDefault="0031278A">
            <w:pPr>
              <w:autoSpaceDE w:val="0"/>
              <w:autoSpaceDN w:val="0"/>
              <w:adjustRightInd w:val="0"/>
              <w:spacing w:before="120" w:after="0" w:line="240" w:lineRule="auto"/>
              <w:jc w:val="both"/>
              <w:rPr>
                <w:rFonts w:ascii="Times New Roman" w:eastAsia="Times New Roman" w:hAnsi="Times New Roman" w:cs="Times New Roman"/>
                <w:noProof/>
                <w:sz w:val="24"/>
                <w:szCs w:val="24"/>
                <w:lang w:val="fi-FI" w:eastAsia="fi-FI" w:bidi="fi-FI"/>
              </w:rPr>
            </w:pPr>
            <w:r>
              <w:rPr>
                <w:rFonts w:ascii="Times New Roman" w:hAnsi="Times New Roman"/>
                <w:b/>
                <w:noProof/>
                <w:lang w:val="fi-FI" w:eastAsia="fi-FI" w:bidi="fi-FI"/>
              </w:rPr>
              <w:t>Sosiaalinen tilanne aiheuttaa parantumisestaan huolimatta edelleen huolta monissa EU-maissa, kuten köyhyyden ja puutteen tavanomaiset mittausvälinee</w:t>
            </w:r>
            <w:r>
              <w:rPr>
                <w:rFonts w:ascii="Times New Roman" w:hAnsi="Times New Roman"/>
                <w:b/>
                <w:noProof/>
                <w:lang w:val="fi-FI" w:eastAsia="fi-FI" w:bidi="fi-FI"/>
              </w:rPr>
              <w:t>t osoittavat.</w:t>
            </w:r>
            <w:r>
              <w:rPr>
                <w:rFonts w:ascii="Times New Roman" w:hAnsi="Times New Roman"/>
                <w:noProof/>
                <w:lang w:val="fi-FI" w:eastAsia="fi-FI" w:bidi="fi-FI"/>
              </w:rPr>
              <w:t xml:space="preserve"> Köyhyysriskin tai sosiaalisen syrjäytymisen riskin alaisen väestön osuus on vuosien 2016 ja 2017 välisenä aikana vähentynyt EU:ssa yhdellä prosenttiyksiköllä 22,5 prosenttiin</w:t>
            </w:r>
            <w:r>
              <w:rPr>
                <w:rFonts w:ascii="Times New Roman" w:hAnsi="Times New Roman"/>
                <w:noProof/>
                <w:vertAlign w:val="superscript"/>
                <w:lang w:val="fi-FI" w:eastAsia="fi-FI" w:bidi="fi-FI"/>
              </w:rPr>
              <w:footnoteReference w:id="36"/>
            </w:r>
            <w:r>
              <w:rPr>
                <w:rFonts w:ascii="Times New Roman" w:hAnsi="Times New Roman"/>
                <w:noProof/>
                <w:lang w:val="fi-FI" w:eastAsia="fi-FI" w:bidi="fi-FI"/>
              </w:rPr>
              <w:t xml:space="preserve">. Osuus on noin prosenttiyksikön alhaisempi kuin kriisin alussa </w:t>
            </w:r>
            <w:r>
              <w:rPr>
                <w:rFonts w:ascii="Times New Roman" w:hAnsi="Times New Roman"/>
                <w:noProof/>
                <w:lang w:val="fi-FI" w:eastAsia="fi-FI" w:bidi="fi-FI"/>
              </w:rPr>
              <w:t>havaittu osuus ja noin kaksi prosenttiyksikköä alhaisempi kuin vuonna 2013 havaittu huippu. Useimmissa maissa tapahtui laskua vuonna 2017. Nousua tapahtui Alankomaissa, Itävallassa, Luxemburgissa ja Tanskassa, tosin lähtötasot olivat niissä suhteellisen al</w:t>
            </w:r>
            <w:r>
              <w:rPr>
                <w:rFonts w:ascii="Times New Roman" w:hAnsi="Times New Roman"/>
                <w:noProof/>
                <w:lang w:val="fi-FI" w:eastAsia="fi-FI" w:bidi="fi-FI"/>
              </w:rPr>
              <w:t>haiset. Köyhyys- ja syrjäytymisriskiaste vaihteli huomattavasti: se oli suurin Bulgariassa (38,9 prosenttia), jonka jälkeen tulivat Romania, Kreikka ja Liettua, ja alhaisin Tšekissä (noin 12 prosenttia), jonka jälkeen tulivat Suomi, Slovakia ja Alankomaat.</w:t>
            </w:r>
            <w:r>
              <w:rPr>
                <w:rFonts w:ascii="Times New Roman" w:hAnsi="Times New Roman"/>
                <w:noProof/>
                <w:lang w:val="fi-FI" w:eastAsia="fi-FI" w:bidi="fi-FI"/>
              </w:rPr>
              <w:t xml:space="preserve"> Köyhyyden ja sosiaalisen syrjäytymisen yleinen kehitys on tulosta sen eri osatekijöiden erilaisesta kehityksestä.</w:t>
            </w:r>
            <w:r>
              <w:rPr>
                <w:rFonts w:ascii="Times New Roman" w:hAnsi="Times New Roman"/>
                <w:b/>
                <w:noProof/>
                <w:lang w:val="fi-FI" w:eastAsia="fi-FI" w:bidi="fi-FI"/>
              </w:rPr>
              <w:t xml:space="preserve"> </w:t>
            </w:r>
            <w:r>
              <w:rPr>
                <w:rFonts w:ascii="Times New Roman" w:hAnsi="Times New Roman"/>
                <w:noProof/>
                <w:lang w:val="fi-FI" w:eastAsia="fi-FI" w:bidi="fi-FI"/>
              </w:rPr>
              <w:t>Köyhyysriskin alaisen väestön osuus on lisääntynyt viime vuosina joissakin jäsenvaltioissa ja toisissa puolestaan laskenut. Kolmen vuoden aik</w:t>
            </w:r>
            <w:r>
              <w:rPr>
                <w:rFonts w:ascii="Times New Roman" w:hAnsi="Times New Roman"/>
                <w:noProof/>
                <w:lang w:val="fi-FI" w:eastAsia="fi-FI" w:bidi="fi-FI"/>
              </w:rPr>
              <w:t>ana suurimmat lisäykset kirjattiin Liettuassa (3,8 prosenttiyksikköä) ja Luxemburgissa (2,3 prosenttiyksikköä), kun taas merkittävät laskut kirjattiin Kreikassa (1,9 prosenttiyksikköä) ja Puolassa (2,0 prosenttiyksikköä). Vakava aineellinen puute väheni ko</w:t>
            </w:r>
            <w:r>
              <w:rPr>
                <w:rFonts w:ascii="Times New Roman" w:hAnsi="Times New Roman"/>
                <w:noProof/>
                <w:lang w:val="fi-FI" w:eastAsia="fi-FI" w:bidi="fi-FI"/>
              </w:rPr>
              <w:t>lmen viime vuoden aikana (ja myös vuonna 2017) useimmissa EU:n jäsenvaltioissa. Sitä kuvaava indikaattori laski kolmen vuoden tarkastelujaksolla yli 5 prosenttiyksikköä Latviassa, Maltassa, Romaniassa ja Unkarissa. Lopuksi on todettava, että vaikka elpymin</w:t>
            </w:r>
            <w:r>
              <w:rPr>
                <w:rFonts w:ascii="Times New Roman" w:hAnsi="Times New Roman"/>
                <w:noProof/>
                <w:lang w:val="fi-FI" w:eastAsia="fi-FI" w:bidi="fi-FI"/>
              </w:rPr>
              <w:t>en on vähentänyt hyvin alhaisen työssäkäyntiasteen kotitalouksissa asuvien (alle 60-vuotiaiden) henkilöiden osuutta useimmissa maissa, tämä osuus on kasvanut Suomessa ja Liettuassa kolmen vuotta 2017 edeltävän vuoden aikana. Lisäksi työssäkäyvien köyhyys v</w:t>
            </w:r>
            <w:r>
              <w:rPr>
                <w:rFonts w:ascii="Times New Roman" w:hAnsi="Times New Roman"/>
                <w:noProof/>
                <w:lang w:val="fi-FI" w:eastAsia="fi-FI" w:bidi="fi-FI"/>
              </w:rPr>
              <w:t>akiintui 9,6 prosentin ennätystasolle koko EU:ssa kahden viime vuoden aikana.</w:t>
            </w:r>
          </w:p>
        </w:tc>
      </w:tr>
    </w:tbl>
    <w:p w:rsidR="00876CA6" w:rsidRDefault="0031278A">
      <w:pPr>
        <w:rPr>
          <w:rFonts w:ascii="Times New Roman" w:eastAsia="Times New Roman" w:hAnsi="Times New Roman" w:cs="Times New Roman"/>
          <w:b/>
          <w:noProof/>
          <w:sz w:val="24"/>
          <w:szCs w:val="24"/>
          <w:lang w:val="fi-FI" w:eastAsia="fi-FI" w:bidi="fi-FI"/>
        </w:rPr>
      </w:pPr>
      <w:r>
        <w:rPr>
          <w:noProof/>
          <w:lang w:val="fi-FI" w:eastAsia="fi-FI" w:bidi="fi-FI"/>
        </w:rPr>
        <w:br w:type="page"/>
      </w:r>
    </w:p>
    <w:p w:rsidR="00876CA6" w:rsidRDefault="0031278A">
      <w:pPr>
        <w:rPr>
          <w:rFonts w:ascii="Times New Roman Bold" w:eastAsia="MS Gothic" w:hAnsi="Times New Roman Bold" w:cs="Times New Roman" w:hint="eastAsia"/>
          <w:b/>
          <w:bCs/>
          <w:smallCaps/>
          <w:noProof/>
          <w:lang w:val="fi-FI" w:eastAsia="fi-FI" w:bidi="fi-FI"/>
        </w:rPr>
      </w:pPr>
      <w:r>
        <w:rPr>
          <w:rFonts w:ascii="Times New Roman Bold" w:hAnsi="Times New Roman Bold"/>
          <w:b/>
          <w:smallCaps/>
          <w:noProof/>
          <w:lang w:val="fi-FI" w:eastAsia="fi-FI" w:bidi="fi-FI"/>
        </w:rPr>
        <w:t>3.</w:t>
      </w:r>
      <w:r>
        <w:rPr>
          <w:noProof/>
          <w:lang w:val="fi-FI" w:eastAsia="fi-FI" w:bidi="fi-FI"/>
        </w:rPr>
        <w:tab/>
      </w:r>
      <w:r>
        <w:rPr>
          <w:rFonts w:ascii="Times New Roman Bold" w:hAnsi="Times New Roman Bold"/>
          <w:b/>
          <w:smallCaps/>
          <w:noProof/>
          <w:lang w:val="fi-FI" w:eastAsia="fi-FI" w:bidi="fi-FI"/>
        </w:rPr>
        <w:t>Tiivistelmä tärkeimmistä haasteista jäsenvaltioissa ja valvontaa koskevista päätelmistä</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 xml:space="preserve">Yleisesti ottaen riskejä on edelleen monissa jäsenvaltioissa, ja niiden yhdistelmät </w:t>
      </w:r>
      <w:r>
        <w:rPr>
          <w:rFonts w:ascii="Times New Roman" w:hAnsi="Times New Roman"/>
          <w:b/>
          <w:noProof/>
          <w:lang w:val="fi-FI" w:eastAsia="fi-FI" w:bidi="fi-FI"/>
        </w:rPr>
        <w:t>vaihtelevat.</w:t>
      </w:r>
      <w:r>
        <w:rPr>
          <w:rFonts w:ascii="Times New Roman" w:hAnsi="Times New Roman"/>
          <w:noProof/>
          <w:lang w:val="fi-FI" w:eastAsia="fi-FI" w:bidi="fi-FI"/>
        </w:rPr>
        <w:t xml:space="preserve"> Makrotalouden vakauteen kohdistuvien haasteiden vakavuus vaihtelee huomattavasti eri jäsenvaltioissa riippuen haavoittuvuuksien ja kestämättömien suuntausten luonteesta ja laajuudesta sekä siitä, miten ne vaikuttavat toisiinsa ja yhdistyvät. T</w:t>
      </w:r>
      <w:r>
        <w:rPr>
          <w:rFonts w:ascii="Times New Roman" w:hAnsi="Times New Roman"/>
          <w:noProof/>
          <w:lang w:val="fi-FI" w:eastAsia="fi-FI" w:bidi="fi-FI"/>
        </w:rPr>
        <w:t>ärkeimmät riskilähteet yhdistyvät useiden typologioiden mukaisesti seuraavassa tiivistetyllä tavalla:</w:t>
      </w:r>
    </w:p>
    <w:p w:rsidR="00876CA6" w:rsidRDefault="0031278A">
      <w:pPr>
        <w:numPr>
          <w:ilvl w:val="0"/>
          <w:numId w:val="2"/>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Useat jäsenvaltiot kärsivät pääasiassa </w:t>
      </w:r>
      <w:r>
        <w:rPr>
          <w:rFonts w:ascii="Times New Roman" w:hAnsi="Times New Roman"/>
          <w:i/>
          <w:noProof/>
          <w:lang w:val="fi-FI" w:eastAsia="fi-FI" w:bidi="fi-FI"/>
        </w:rPr>
        <w:t>moninaisista ja toisiinsa liittyvistä varantohaavoittuvuuksista</w:t>
      </w:r>
      <w:r>
        <w:rPr>
          <w:rFonts w:ascii="Times New Roman" w:hAnsi="Times New Roman"/>
          <w:noProof/>
          <w:lang w:val="fi-FI" w:eastAsia="fi-FI" w:bidi="fi-FI"/>
        </w:rPr>
        <w:t>. Tämä koskee yleensä maita, joihin luototuksen suhd</w:t>
      </w:r>
      <w:r>
        <w:rPr>
          <w:rFonts w:ascii="Times New Roman" w:hAnsi="Times New Roman"/>
          <w:noProof/>
          <w:lang w:val="fi-FI" w:eastAsia="fi-FI" w:bidi="fi-FI"/>
        </w:rPr>
        <w:t xml:space="preserve">annevaihtelut ovat iskeneet kovimmin ja joissa myös vaihtotase on kääntynyt vastakkaiseen suuntaan, millä on myös ollut vaikutuksia pankkisektoriin ja julkiseen velkaan. </w:t>
      </w:r>
    </w:p>
    <w:p w:rsidR="00876CA6" w:rsidRDefault="0031278A">
      <w:pPr>
        <w:numPr>
          <w:ilvl w:val="1"/>
          <w:numId w:val="2"/>
        </w:numPr>
        <w:spacing w:before="120" w:after="120"/>
        <w:ind w:left="1134"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Kyproksen ja Kreikan tapauksessa korkeat velkakannat ja suuret ulkomaiset nettovarall</w:t>
      </w:r>
      <w:r>
        <w:rPr>
          <w:rFonts w:ascii="Times New Roman" w:hAnsi="Times New Roman"/>
          <w:noProof/>
          <w:lang w:val="fi-FI" w:eastAsia="fi-FI" w:bidi="fi-FI"/>
        </w:rPr>
        <w:t>isuusasemat yhdistyvät finanssisektorin jäljellä oleviin haasteisiin. Näiden maiden on edelleen vähennettävä huomattavasti velkojaan tilanteessa, jossa julkisen talouden liikkumavaraa on vähän, työttömyys on korkea (joskin vähenemässä) ja potentiaalinen ka</w:t>
      </w:r>
      <w:r>
        <w:rPr>
          <w:rFonts w:ascii="Times New Roman" w:hAnsi="Times New Roman"/>
          <w:noProof/>
          <w:lang w:val="fi-FI" w:eastAsia="fi-FI" w:bidi="fi-FI"/>
        </w:rPr>
        <w:t xml:space="preserve">svu vaatimatonta. </w:t>
      </w:r>
    </w:p>
    <w:p w:rsidR="00876CA6" w:rsidRDefault="0031278A">
      <w:pPr>
        <w:numPr>
          <w:ilvl w:val="1"/>
          <w:numId w:val="2"/>
        </w:numPr>
        <w:spacing w:before="120" w:after="120"/>
        <w:ind w:left="1134"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Espanjassa, Irlannissa, Kroatiassa ja Portugalissa on myös varantoja koskevista vanhoista ongelmista aiheutuvia merkittäviä, moninaisia ja toisiinsa liittyviä haavoittuvuuksia. Bulgariassa yritysten suuri velkaantuneisuus yhdistyy finans</w:t>
      </w:r>
      <w:r>
        <w:rPr>
          <w:rFonts w:ascii="Times New Roman" w:hAnsi="Times New Roman"/>
          <w:noProof/>
          <w:lang w:val="fi-FI" w:eastAsia="fi-FI" w:bidi="fi-FI"/>
        </w:rPr>
        <w:t>sisektoriin liittyviin pitkällisiin ongelmiin. Näissä maissa varantoepätasapainot ovat väistymässä talouden laajentumisen myötä. Tähän liittyy joissakin tapauksissa asuntojen hintojen tasolla ilmenevien kustannuspaineiden uudelleen kehittyminen (erityisest</w:t>
      </w:r>
      <w:r>
        <w:rPr>
          <w:rFonts w:ascii="Times New Roman" w:hAnsi="Times New Roman"/>
          <w:noProof/>
          <w:lang w:val="fi-FI" w:eastAsia="fi-FI" w:bidi="fi-FI"/>
        </w:rPr>
        <w:t xml:space="preserve">i Irlannissa ja yhä enenevässä määrin myös Portugalissa) sekä kustannuskilpailukyvyn parantumisen pysähtyminen (erityisesti Bulgariassa yksikkötyökustannukset ovat nousseet voimakkaasti).  </w:t>
      </w:r>
    </w:p>
    <w:p w:rsidR="00876CA6" w:rsidRDefault="0031278A">
      <w:pPr>
        <w:numPr>
          <w:ilvl w:val="0"/>
          <w:numId w:val="2"/>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Joissakin jäsenvaltioissa haavoittuvuus johtuu pääasiassa </w:t>
      </w:r>
      <w:r>
        <w:rPr>
          <w:rFonts w:ascii="Times New Roman" w:hAnsi="Times New Roman"/>
          <w:i/>
          <w:noProof/>
          <w:lang w:val="fi-FI" w:eastAsia="fi-FI" w:bidi="fi-FI"/>
        </w:rPr>
        <w:t>suuresta</w:t>
      </w:r>
      <w:r>
        <w:rPr>
          <w:rFonts w:ascii="Times New Roman" w:hAnsi="Times New Roman"/>
          <w:i/>
          <w:noProof/>
          <w:lang w:val="fi-FI" w:eastAsia="fi-FI" w:bidi="fi-FI"/>
        </w:rPr>
        <w:t xml:space="preserve"> julkisesta velasta</w:t>
      </w:r>
      <w:r>
        <w:rPr>
          <w:rFonts w:ascii="Times New Roman" w:hAnsi="Times New Roman"/>
          <w:noProof/>
          <w:lang w:val="fi-FI" w:eastAsia="fi-FI" w:bidi="fi-FI"/>
        </w:rPr>
        <w:t xml:space="preserve"> ja ongelmista, jotka liittyvät </w:t>
      </w:r>
      <w:r>
        <w:rPr>
          <w:rFonts w:ascii="Times New Roman" w:hAnsi="Times New Roman"/>
          <w:i/>
          <w:noProof/>
          <w:lang w:val="fi-FI" w:eastAsia="fi-FI" w:bidi="fi-FI"/>
        </w:rPr>
        <w:t>potentiaaliseen tuotannon kasvuun</w:t>
      </w:r>
      <w:r>
        <w:rPr>
          <w:rFonts w:ascii="Times New Roman" w:hAnsi="Times New Roman"/>
          <w:noProof/>
          <w:lang w:val="fi-FI" w:eastAsia="fi-FI" w:bidi="fi-FI"/>
        </w:rPr>
        <w:t xml:space="preserve"> ja </w:t>
      </w:r>
      <w:r>
        <w:rPr>
          <w:rFonts w:ascii="Times New Roman" w:hAnsi="Times New Roman"/>
          <w:i/>
          <w:noProof/>
          <w:lang w:val="fi-FI" w:eastAsia="fi-FI" w:bidi="fi-FI"/>
        </w:rPr>
        <w:t>kilpailukykyyn</w:t>
      </w:r>
      <w:r>
        <w:rPr>
          <w:rFonts w:ascii="Times New Roman" w:hAnsi="Times New Roman"/>
          <w:noProof/>
          <w:lang w:val="fi-FI" w:eastAsia="fi-FI" w:bidi="fi-FI"/>
        </w:rPr>
        <w:t>. Tämä koskee erityisesti Italiaa, jossa haavoittuvuudet liittyvät myös pankkisektoriin ja järjestämättömien lainojen suureen määrään, joka on kuitenkin v</w:t>
      </w:r>
      <w:r>
        <w:rPr>
          <w:rFonts w:ascii="Times New Roman" w:hAnsi="Times New Roman"/>
          <w:noProof/>
          <w:lang w:val="fi-FI" w:eastAsia="fi-FI" w:bidi="fi-FI"/>
        </w:rPr>
        <w:t>iime aikoina vähentynyt nopeaan tahtiin. Myös Belgiassa ja Ranskassa on suureen julkiseen velkaan ja potentiaaliseen kasvuun liittyviä ongelmia tiukassa kilpailukykytilanteessa, mutta niissä ei ole vastaavia julkiseen velkaan tai haavoittuvassa asemassa ol</w:t>
      </w:r>
      <w:r>
        <w:rPr>
          <w:rFonts w:ascii="Times New Roman" w:hAnsi="Times New Roman"/>
          <w:noProof/>
          <w:lang w:val="fi-FI" w:eastAsia="fi-FI" w:bidi="fi-FI"/>
        </w:rPr>
        <w:t>eviin pankkeihin liittyviä potentiaalisia riskejä. Ranskassa yritysten suhteellisen suuri velkamäärä on kasvussa. Belgiassa kotitalouksien suhteellisen suuri velkamäärä yhdistyy mahdollisesti yliarvostettuihin asuntojen hintoihin.</w:t>
      </w:r>
    </w:p>
    <w:p w:rsidR="00876CA6" w:rsidRDefault="0031278A">
      <w:pPr>
        <w:numPr>
          <w:ilvl w:val="0"/>
          <w:numId w:val="2"/>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Joillekin jäsenvaltioille</w:t>
      </w:r>
      <w:r>
        <w:rPr>
          <w:rFonts w:ascii="Times New Roman" w:hAnsi="Times New Roman"/>
          <w:noProof/>
          <w:lang w:val="fi-FI" w:eastAsia="fi-FI" w:bidi="fi-FI"/>
        </w:rPr>
        <w:t xml:space="preserve"> ovat ominaista </w:t>
      </w:r>
      <w:r>
        <w:rPr>
          <w:rFonts w:ascii="Times New Roman" w:hAnsi="Times New Roman"/>
          <w:i/>
          <w:noProof/>
          <w:lang w:val="fi-FI" w:eastAsia="fi-FI" w:bidi="fi-FI"/>
        </w:rPr>
        <w:t>suuret ja jatkuvat vaihtotaseen ylijäämät</w:t>
      </w:r>
      <w:r>
        <w:rPr>
          <w:rFonts w:ascii="Times New Roman" w:hAnsi="Times New Roman"/>
          <w:noProof/>
          <w:lang w:val="fi-FI" w:eastAsia="fi-FI" w:bidi="fi-FI"/>
        </w:rPr>
        <w:t>, jotka heijastavat vaihtelevassa määrin myös vaimeaa yksityistä kulutusta ja vaimeita investointeja ja jotka ylittävät sen, mikä olisi perusteltavissa talouden perustekijöillä. Tämä koskee erityises</w:t>
      </w:r>
      <w:r>
        <w:rPr>
          <w:rFonts w:ascii="Times New Roman" w:hAnsi="Times New Roman"/>
          <w:noProof/>
          <w:lang w:val="fi-FI" w:eastAsia="fi-FI" w:bidi="fi-FI"/>
        </w:rPr>
        <w:t>ti Saksaa ja Alankomaita. Saksan tapauksessa tähän yhdistyy lisäksi se, että kaikilla talouden sektoreilla vähennetään velkoja, vaikka velkatasot eivät ole suhteellisesti kovin suuria. Alankomaissa suuri ylijäämä yhdistyy kotitalouksien suureen velkamäärää</w:t>
      </w:r>
      <w:r>
        <w:rPr>
          <w:rFonts w:ascii="Times New Roman" w:hAnsi="Times New Roman"/>
          <w:noProof/>
          <w:lang w:val="fi-FI" w:eastAsia="fi-FI" w:bidi="fi-FI"/>
        </w:rPr>
        <w:t>n ja asuntojen hintojen voimakkaaseen nousuun. Suuret ja jatkuvat ylijäämät saattavat merkitä sitä, että kasvua ja kotimaisia investointimahdollisuuksia menetetään, mikä vaikuttaa muuhun euroalueeseen tilanteessa, jossa inflaatio on edelleen tavoitetta hit</w:t>
      </w:r>
      <w:r>
        <w:rPr>
          <w:rFonts w:ascii="Times New Roman" w:hAnsi="Times New Roman"/>
          <w:noProof/>
          <w:lang w:val="fi-FI" w:eastAsia="fi-FI" w:bidi="fi-FI"/>
        </w:rPr>
        <w:t>aampaa ja jossa ulkoinen ympäristö muuttuu yhä epävarmemmaksi ja voi osoittautua kasvua vähemmän tukevaksi.</w:t>
      </w:r>
    </w:p>
    <w:p w:rsidR="00876CA6" w:rsidRDefault="0031278A">
      <w:pPr>
        <w:numPr>
          <w:ilvl w:val="0"/>
          <w:numId w:val="2"/>
        </w:numPr>
        <w:spacing w:before="120" w:after="120"/>
        <w:ind w:left="567"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 xml:space="preserve">Joissakin jäsenvaltioissa </w:t>
      </w:r>
      <w:r>
        <w:rPr>
          <w:rFonts w:ascii="Times New Roman" w:hAnsi="Times New Roman"/>
          <w:i/>
          <w:noProof/>
          <w:lang w:val="fi-FI" w:eastAsia="fi-FI" w:bidi="fi-FI"/>
        </w:rPr>
        <w:t>hinta- tai kustannusmuuttujien kehityksessä on merkkejä mahdollisesta ylikuumenemisesta etenkin asunto- tai työmarkkinoill</w:t>
      </w:r>
      <w:r>
        <w:rPr>
          <w:rFonts w:ascii="Times New Roman" w:hAnsi="Times New Roman"/>
          <w:i/>
          <w:noProof/>
          <w:lang w:val="fi-FI" w:eastAsia="fi-FI" w:bidi="fi-FI"/>
        </w:rPr>
        <w:t>a</w:t>
      </w:r>
      <w:r>
        <w:rPr>
          <w:rFonts w:ascii="Times New Roman" w:hAnsi="Times New Roman"/>
          <w:noProof/>
          <w:lang w:val="fi-FI" w:eastAsia="fi-FI" w:bidi="fi-FI"/>
        </w:rPr>
        <w:t xml:space="preserve">. </w:t>
      </w:r>
    </w:p>
    <w:p w:rsidR="00876CA6" w:rsidRDefault="0031278A">
      <w:pPr>
        <w:numPr>
          <w:ilvl w:val="1"/>
          <w:numId w:val="2"/>
        </w:numPr>
        <w:spacing w:before="120" w:after="120"/>
        <w:ind w:left="1134"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Ruotsissa, ja pienemmässä määrin Alankomaissa, Itävallassa, Luxemburgissa, Tanskassa ja Yhdistyneessä kuningaskunnassa, asuntojen hintojen nousu on jatkunut tilanteessa, jossa mahdollisesti esiintyy positiivisia arvostuseroja ja jossa kotitalouksilla on ru</w:t>
      </w:r>
      <w:r>
        <w:rPr>
          <w:rFonts w:ascii="Times New Roman" w:hAnsi="Times New Roman"/>
          <w:noProof/>
          <w:lang w:val="fi-FI" w:eastAsia="fi-FI" w:bidi="fi-FI"/>
        </w:rPr>
        <w:t xml:space="preserve">nsaasti velkaa. Viimeaikainen näyttö viittaa kuitenkin siihen, että asuntojen hintojen nousu on hidastunut näissä maissa. Monissa maissa asuntojen hintojen voimakkaaseen nousuun liittyy vähemmän näyttöä yliarvostuksesta, ja kotitalouksien velkakannat ovat </w:t>
      </w:r>
      <w:r>
        <w:rPr>
          <w:rFonts w:ascii="Times New Roman" w:hAnsi="Times New Roman"/>
          <w:noProof/>
          <w:lang w:val="fi-FI" w:eastAsia="fi-FI" w:bidi="fi-FI"/>
        </w:rPr>
        <w:t xml:space="preserve">maltilliset (esim. Latvia, Tšekki ja Unkari). </w:t>
      </w:r>
    </w:p>
    <w:p w:rsidR="00876CA6" w:rsidRDefault="0031278A">
      <w:pPr>
        <w:numPr>
          <w:ilvl w:val="1"/>
          <w:numId w:val="2"/>
        </w:numPr>
        <w:spacing w:before="120" w:after="120"/>
        <w:ind w:left="1134" w:hanging="425"/>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Latviassa, Liettuassa, Romaniassa, Tšekissä, Unkarissa ja Virossa yksikkötyökustannukset kasvavat edelleen suhteellisen ripeää tahtia samaan aikaan kun hintakilpailukyky heikkenee vähitellen. Romaniassa yksikk</w:t>
      </w:r>
      <w:r>
        <w:rPr>
          <w:rFonts w:ascii="Times New Roman" w:hAnsi="Times New Roman"/>
          <w:noProof/>
          <w:lang w:val="fi-FI" w:eastAsia="fi-FI" w:bidi="fi-FI"/>
        </w:rPr>
        <w:t>ötyökustannusten kasvu on kiihtynyt tilanteessa, jossa vaihtotaseen alijäämä on kasvanut ja jossa harjoitetaan myötäsyklistä finanssipolitiikka, joka saattaa lisätä mahdollisia ylikuumenemispaineita.</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noProof/>
          <w:lang w:val="fi-FI" w:eastAsia="fi-FI" w:bidi="fi-FI"/>
        </w:rPr>
        <w:t>Tulevissa perusteellisissa tarkasteluissa on mahdollista</w:t>
      </w:r>
      <w:r>
        <w:rPr>
          <w:rFonts w:ascii="Times New Roman" w:hAnsi="Times New Roman"/>
          <w:noProof/>
          <w:lang w:val="fi-FI" w:eastAsia="fi-FI" w:bidi="fi-FI"/>
        </w:rPr>
        <w:t xml:space="preserve"> syventää näiden haasteiden analyysia ja politiikkatoimien arviointia.  </w:t>
      </w:r>
    </w:p>
    <w:p w:rsidR="00876CA6" w:rsidRDefault="0031278A">
      <w:pPr>
        <w:spacing w:before="120" w:after="120"/>
        <w:jc w:val="both"/>
        <w:rPr>
          <w:rFonts w:ascii="Times New Roman" w:eastAsia="Times New Roman" w:hAnsi="Times New Roman" w:cs="Times New Roman"/>
          <w:noProof/>
          <w:lang w:val="fi-FI" w:eastAsia="fi-FI" w:bidi="fi-FI"/>
        </w:rPr>
      </w:pPr>
      <w:r>
        <w:rPr>
          <w:rFonts w:ascii="Times New Roman" w:hAnsi="Times New Roman"/>
          <w:b/>
          <w:noProof/>
          <w:lang w:val="fi-FI" w:eastAsia="fi-FI" w:bidi="fi-FI"/>
        </w:rPr>
        <w:t>Yhteenvetona voidaan todeta, että perusteellinen tarkastelu on tarpeen 13 jäsenvaltion osalta. Nämä jäsenvaltiot ovat Alankomaat, Bulgaria, Espanja, Irlanti, Italia, Kreikka, Kroatia,</w:t>
      </w:r>
      <w:r>
        <w:rPr>
          <w:rFonts w:ascii="Times New Roman" w:hAnsi="Times New Roman"/>
          <w:b/>
          <w:noProof/>
          <w:lang w:val="fi-FI" w:eastAsia="fi-FI" w:bidi="fi-FI"/>
        </w:rPr>
        <w:t xml:space="preserve"> Kypros, Portugali, Ranska, Romania, Ruotsi ja Saksa.</w:t>
      </w:r>
      <w:r>
        <w:rPr>
          <w:rFonts w:ascii="Times New Roman" w:hAnsi="Times New Roman"/>
          <w:noProof/>
          <w:lang w:val="fi-FI" w:eastAsia="fi-FI" w:bidi="fi-FI"/>
        </w:rPr>
        <w:t xml:space="preserve"> Näistä jäsenvaltioista yksitoista oli perusteellisen tarkastelun kohteena makrotalouden epätasapainoa koskevan vuotuisen menettelyn edellisellä kierroksella. Vakiintuneen käytännön mukaisesti uusi perus</w:t>
      </w:r>
      <w:r>
        <w:rPr>
          <w:rFonts w:ascii="Times New Roman" w:hAnsi="Times New Roman"/>
          <w:noProof/>
          <w:lang w:val="fi-FI" w:eastAsia="fi-FI" w:bidi="fi-FI"/>
        </w:rPr>
        <w:t>teellinen tarkastelu tehdään sen arvioimiseksi, ovatko havaitut epätasapainot pahenemassa vai korjautumassa, jotta voidaan päivittää aikaisempaa arviota. Kyseiset yksitoista jäsenvaltiota ovat Alankomaat, Bulgaria, Espanja, Irlanti, Italia, Kroatia, Kypros</w:t>
      </w:r>
      <w:r>
        <w:rPr>
          <w:rFonts w:ascii="Times New Roman" w:hAnsi="Times New Roman"/>
          <w:noProof/>
          <w:lang w:val="fi-FI" w:eastAsia="fi-FI" w:bidi="fi-FI"/>
        </w:rPr>
        <w:t xml:space="preserve">, Portugali, Ranska, Ruotsi ja Saksa. Perusteellinen tarkastelu tehdään myös Kreikasta, jotta voidaan arvioida useista lähteistä, etenkin varantohaavoittuvuuksista, aiheutuvia mahdollisia epätasapainoja. Kreikka oli aikaisemmin makrotalouden epätasapainoa </w:t>
      </w:r>
      <w:r>
        <w:rPr>
          <w:rFonts w:ascii="Times New Roman" w:hAnsi="Times New Roman"/>
          <w:noProof/>
          <w:lang w:val="fi-FI" w:eastAsia="fi-FI" w:bidi="fi-FI"/>
        </w:rPr>
        <w:t>koskevan menettelyn mukaisen valvonnan ulkopuolella, koska se oli rahoitustukeen liittyvän makrotalouden sopeutusohjelman kohteena elokuuhun 2018 asti. Varoitusmekanismia koskevassa kertomuksessa esitetty arviointi ei viittaa merkittäviin lisäriskeihin ver</w:t>
      </w:r>
      <w:r>
        <w:rPr>
          <w:rFonts w:ascii="Times New Roman" w:hAnsi="Times New Roman"/>
          <w:noProof/>
          <w:lang w:val="fi-FI" w:eastAsia="fi-FI" w:bidi="fi-FI"/>
        </w:rPr>
        <w:t>rattuna viimeisimmissä saatavilla olevissa perusteellisissa tarkasteluissa havaittuihin riskeihin useissa sellaisissa jäsenvaltioissa, joiden osalta makrotalouden epätasapainoa koskevan menettelyn mukainen valvonta on lopetettu viime vuosina (Slovenia vuon</w:t>
      </w:r>
      <w:r>
        <w:rPr>
          <w:rFonts w:ascii="Times New Roman" w:hAnsi="Times New Roman"/>
          <w:noProof/>
          <w:lang w:val="fi-FI" w:eastAsia="fi-FI" w:bidi="fi-FI"/>
        </w:rPr>
        <w:t>na 2018, Suomi vuonna 2017, Belgia ja Unkari vuonna 2016) tai joista tehdyissä perusteellisissa tarkasteluissa ei havaittu epätasapainoja (Itävalta ja Viro vuonna 2016). Sen sijaan vaikuttaa aiheelliselta tehdä Romaniasta perusteellinen tarkastelu, jotta v</w:t>
      </w:r>
      <w:r>
        <w:rPr>
          <w:rFonts w:ascii="Times New Roman" w:hAnsi="Times New Roman"/>
          <w:noProof/>
          <w:lang w:val="fi-FI" w:eastAsia="fi-FI" w:bidi="fi-FI"/>
        </w:rPr>
        <w:t xml:space="preserve">oidaan arvioida kehitystä ja jo aikaisemmissa perusteellisissa tarkasteluissa havaittujen riskialttiiden kehityssuuntausten mahdollista uusimista, erityisesti kilpailukyvyn ja ulkoisen tasapainon osalta. </w:t>
      </w:r>
    </w:p>
    <w:p w:rsidR="00876CA6" w:rsidRDefault="00876CA6">
      <w:pPr>
        <w:rPr>
          <w:rFonts w:ascii="Times New Roman" w:hAnsi="Times New Roman" w:cs="Times New Roman"/>
          <w:noProof/>
          <w:lang w:val="fi-FI" w:eastAsia="fi-FI" w:bidi="fi-FI"/>
        </w:rPr>
      </w:pPr>
    </w:p>
    <w:p w:rsidR="00876CA6" w:rsidRDefault="0031278A">
      <w:pPr>
        <w:rPr>
          <w:rFonts w:ascii="Times New Roman" w:hAnsi="Times New Roman" w:cs="Times New Roman"/>
          <w:b/>
          <w:noProof/>
          <w:lang w:val="fi-FI" w:eastAsia="fi-FI" w:bidi="fi-FI"/>
        </w:rPr>
      </w:pPr>
      <w:r>
        <w:rPr>
          <w:noProof/>
          <w:lang w:val="fi-FI" w:eastAsia="fi-FI" w:bidi="fi-FI"/>
        </w:rPr>
        <w:br w:type="page"/>
      </w:r>
    </w:p>
    <w:p w:rsidR="00876CA6" w:rsidRDefault="0031278A">
      <w:pPr>
        <w:keepNext/>
        <w:keepLines/>
        <w:spacing w:before="240" w:after="240" w:line="240" w:lineRule="auto"/>
        <w:jc w:val="both"/>
        <w:outlineLvl w:val="0"/>
        <w:rPr>
          <w:rFonts w:ascii="Times New Roman Bold" w:eastAsia="MS Gothic" w:hAnsi="Times New Roman Bold" w:cs="Times New Roman" w:hint="eastAsia"/>
          <w:b/>
          <w:bCs/>
          <w:smallCaps/>
          <w:noProof/>
          <w:sz w:val="24"/>
          <w:szCs w:val="24"/>
          <w:lang w:val="fi-FI" w:eastAsia="fi-FI" w:bidi="fi-FI"/>
        </w:rPr>
      </w:pPr>
      <w:r>
        <w:rPr>
          <w:rFonts w:ascii="Times New Roman Bold" w:eastAsia="MS Gothic" w:hAnsi="Times New Roman Bold" w:cs="Times New Roman"/>
          <w:b/>
          <w:bCs/>
          <w:smallCaps/>
          <w:noProof/>
          <w:sz w:val="24"/>
          <w:szCs w:val="24"/>
          <w:lang w:val="fi-FI" w:eastAsia="fi-FI" w:bidi="fi-FI"/>
        </w:rPr>
        <w:t>4.</w:t>
      </w:r>
      <w:r>
        <w:rPr>
          <w:rFonts w:ascii="Times New Roman Bold" w:eastAsia="MS Gothic" w:hAnsi="Times New Roman Bold" w:cs="Times New Roman"/>
          <w:b/>
          <w:bCs/>
          <w:smallCaps/>
          <w:noProof/>
          <w:sz w:val="24"/>
          <w:szCs w:val="24"/>
          <w:lang w:val="fi-FI" w:eastAsia="fi-FI" w:bidi="fi-FI"/>
        </w:rPr>
        <w:tab/>
        <w:t>Epätasapainot, riskit ja sopeutus: jäsenvalti</w:t>
      </w:r>
      <w:r>
        <w:rPr>
          <w:rFonts w:ascii="Times New Roman Bold" w:eastAsia="MS Gothic" w:hAnsi="Times New Roman Bold" w:cs="Times New Roman"/>
          <w:b/>
          <w:bCs/>
          <w:smallCaps/>
          <w:noProof/>
          <w:sz w:val="24"/>
          <w:szCs w:val="24"/>
          <w:lang w:val="fi-FI" w:eastAsia="fi-FI" w:bidi="fi-FI"/>
        </w:rPr>
        <w:t>okohtaiset kommentit</w:t>
      </w:r>
    </w:p>
    <w:p w:rsidR="00876CA6" w:rsidRDefault="00876CA6">
      <w:pPr>
        <w:spacing w:after="160" w:line="259" w:lineRule="auto"/>
        <w:rPr>
          <w:rFonts w:ascii="Times New Roman" w:eastAsia="Calibri" w:hAnsi="Times New Roman" w:cs="Times New Roman"/>
          <w:b/>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59264" behindDoc="0" locked="0" layoutInCell="1" allowOverlap="1">
            <wp:simplePos x="0" y="0"/>
            <wp:positionH relativeFrom="column">
              <wp:posOffset>3236595</wp:posOffset>
            </wp:positionH>
            <wp:positionV relativeFrom="paragraph">
              <wp:posOffset>655320</wp:posOffset>
            </wp:positionV>
            <wp:extent cx="2466000" cy="2703600"/>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0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fi-FI" w:eastAsia="fi-FI" w:bidi="fi-FI"/>
        </w:rPr>
        <w:t>Belgia:</w:t>
      </w:r>
      <w:r>
        <w:rPr>
          <w:rFonts w:ascii="Times New Roman" w:hAnsi="Times New Roman"/>
          <w:noProof/>
          <w:lang w:val="fi-FI" w:eastAsia="fi-FI" w:bidi="fi-FI"/>
        </w:rPr>
        <w:t xml:space="preserve"> Makrotalouden epätasapainoa koskevan menettelyn edellisellä kierroksella Belgialla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xml:space="preserve">. Ajan tasalle saatetussa tulostaulussa seuraavat indikaattorit ylittävät ohjeelliset kynnysarvot: yksityinen velka ja julkinen velka. </w:t>
      </w:r>
    </w:p>
    <w:p w:rsidR="00876CA6" w:rsidRDefault="0031278A">
      <w:pPr>
        <w:spacing w:after="120" w:line="300" w:lineRule="atLeast"/>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 xml:space="preserve">Ulkoista kestävyyttä tukevat paraneva vaihtotase ja suotuisa ulkomainen nettovarallisuusasema. Yksikkötyökustannukset </w:t>
      </w:r>
      <w:r>
        <w:rPr>
          <w:rFonts w:ascii="Times New Roman" w:hAnsi="Times New Roman"/>
          <w:noProof/>
          <w:lang w:val="fi-FI" w:eastAsia="fi-FI" w:bidi="fi-FI"/>
        </w:rPr>
        <w:t>ovat joitakin vuosia jatkuneen maltillisen palkkakehityksen jälkeen kasvaneet, mutta ne ovat hallinnassa. Vientimarkkinaosuus supistui hieman vuonna 2017. Yksityisen velan määrä on suhteellisen suuri erityisesti rahoitusalan ulkopuolisissa yrityksissä, vai</w:t>
      </w:r>
      <w:r>
        <w:rPr>
          <w:rFonts w:ascii="Times New Roman" w:hAnsi="Times New Roman"/>
          <w:noProof/>
          <w:lang w:val="fi-FI" w:eastAsia="fi-FI" w:bidi="fi-FI"/>
        </w:rPr>
        <w:t>kkakin laajalti käytössä olevat kansainväliset konsernilainat kasvattavat velkalukuja. Kotitalouksien velkaan liittyvät riskit johtuvat pääasiassa asuntomarkkinoista. Asuntojen reaalihintojen nousu on ollut viime vuosina maltillista, joskaan vuotta 2008 ed</w:t>
      </w:r>
      <w:r>
        <w:rPr>
          <w:rFonts w:ascii="Times New Roman" w:hAnsi="Times New Roman"/>
          <w:noProof/>
          <w:lang w:val="fi-FI" w:eastAsia="fi-FI" w:bidi="fi-FI"/>
        </w:rPr>
        <w:t>eltänyttä nopeaa kasvua tasoittavaa korjausliikettä ei ole tapahtunut. Julkisen velan kasvu on tasoittunut, ja julkinen velka on hieman supistunut vuoden 2014 velkahuipusta. Suuri julkinen velka muodostaa edelleen merkittävän haasteen julkisen talouden pit</w:t>
      </w:r>
      <w:r>
        <w:rPr>
          <w:rFonts w:ascii="Times New Roman" w:hAnsi="Times New Roman"/>
          <w:noProof/>
          <w:lang w:val="fi-FI" w:eastAsia="fi-FI" w:bidi="fi-FI"/>
        </w:rPr>
        <w:t>kän aikavälin kestävyydelle. Työmarkkinatilanne on parantunut työttömyyden laskun jatkuessa. Myös pitkäaikais- ja nuorisotyöttömyys on vähentynyt. Työvoimaosuus on edelleen alhainen verrattuna muihin EU-maihin, kun taas avoimien työpaikkojen määrä on suuri</w:t>
      </w:r>
      <w:r>
        <w:rPr>
          <w:rFonts w:ascii="Times New Roman" w:hAnsi="Times New Roman"/>
          <w:noProof/>
          <w:lang w:val="fi-FI" w:eastAsia="fi-FI" w:bidi="fi-FI"/>
        </w:rPr>
        <w:t xml:space="preserve"> ja kasvaa.</w:t>
      </w:r>
    </w:p>
    <w:p w:rsidR="00876CA6" w:rsidRDefault="0031278A">
      <w:pPr>
        <w:spacing w:after="120" w:line="300" w:lineRule="atLeast"/>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lähinnä julkisen mutta myös yksityisen sektorin velkaantuneisuuteen liittyvät kysymykset, mutta riskit näyttävät olevan hallinnassa. Tästä syystä komissio ei tässä vaiheessa ryhdy perusteellisiin j</w:t>
      </w:r>
      <w:r>
        <w:rPr>
          <w:rFonts w:ascii="Times New Roman" w:hAnsi="Times New Roman"/>
          <w:i/>
          <w:noProof/>
          <w:lang w:val="fi-FI" w:eastAsia="fi-FI" w:bidi="fi-FI"/>
        </w:rPr>
        <w:t>atkotutkimuksiin makrotalouden epätasapainoa koskevan menettelyn yhteydessä.</w:t>
      </w:r>
    </w:p>
    <w:p w:rsidR="00876CA6" w:rsidRDefault="0031278A">
      <w:pPr>
        <w:spacing w:after="120" w:line="300" w:lineRule="atLeast"/>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60288" behindDoc="0" locked="0" layoutInCell="1" allowOverlap="1">
            <wp:simplePos x="0" y="0"/>
            <wp:positionH relativeFrom="column">
              <wp:posOffset>4045585</wp:posOffset>
            </wp:positionH>
            <wp:positionV relativeFrom="paragraph">
              <wp:posOffset>254635</wp:posOffset>
            </wp:positionV>
            <wp:extent cx="2034540" cy="240030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454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CA6" w:rsidRDefault="0031278A">
      <w:pPr>
        <w:spacing w:after="160"/>
        <w:jc w:val="both"/>
        <w:rPr>
          <w:noProof/>
          <w:lang w:val="fi-FI" w:eastAsia="fi-FI" w:bidi="fi-FI"/>
        </w:rPr>
      </w:pPr>
      <w:r>
        <w:rPr>
          <w:rFonts w:ascii="Times New Roman" w:hAnsi="Times New Roman"/>
          <w:b/>
          <w:noProof/>
          <w:lang w:val="fi-FI" w:eastAsia="fi-FI" w:bidi="fi-FI"/>
        </w:rPr>
        <w:t>Bulgaria</w:t>
      </w:r>
      <w:r>
        <w:rPr>
          <w:rFonts w:ascii="Times New Roman" w:hAnsi="Times New Roman"/>
          <w:b/>
          <w:i/>
          <w:noProof/>
          <w:lang w:val="fi-FI" w:eastAsia="fi-FI" w:bidi="fi-FI"/>
        </w:rPr>
        <w:t xml:space="preserve">: </w:t>
      </w:r>
      <w:r>
        <w:rPr>
          <w:rFonts w:ascii="Times New Roman" w:hAnsi="Times New Roman"/>
          <w:noProof/>
          <w:lang w:val="fi-FI" w:eastAsia="fi-FI" w:bidi="fi-FI"/>
        </w:rPr>
        <w:t xml:space="preserve">Komissio päätteli maaliskuussa 2018, että Bulgarialla oli </w:t>
      </w:r>
      <w:r>
        <w:rPr>
          <w:rFonts w:ascii="Times New Roman" w:hAnsi="Times New Roman"/>
          <w:i/>
          <w:noProof/>
          <w:lang w:val="fi-FI" w:eastAsia="fi-FI" w:bidi="fi-FI"/>
        </w:rPr>
        <w:t>epätasapainotiloja</w:t>
      </w:r>
      <w:r>
        <w:rPr>
          <w:rFonts w:ascii="Times New Roman" w:hAnsi="Times New Roman"/>
          <w:noProof/>
          <w:lang w:val="fi-FI" w:eastAsia="fi-FI" w:bidi="fi-FI"/>
        </w:rPr>
        <w:t xml:space="preserve">, jotka liittyivät erityisesti rahoitusalan haavoittuvuustekijöihin sekä yritysten suureen </w:t>
      </w:r>
      <w:r>
        <w:rPr>
          <w:rFonts w:ascii="Times New Roman" w:hAnsi="Times New Roman"/>
          <w:noProof/>
          <w:lang w:val="fi-FI" w:eastAsia="fi-FI" w:bidi="fi-FI"/>
        </w:rPr>
        <w:t>velkaantuneisuuteen ja niiden järjestämättömien lainojen suureen määrään. Ajan tasalle saatetussa tulostaulussa seuraavat kolme indikaattoria ylittävät ohjeelliset kynnysarvot: ulkomainen nettovarallisuusasema, nimellisten yksikkötyökustannusten kasvu ja a</w:t>
      </w:r>
      <w:r>
        <w:rPr>
          <w:rFonts w:ascii="Times New Roman" w:hAnsi="Times New Roman"/>
          <w:noProof/>
          <w:lang w:val="fi-FI" w:eastAsia="fi-FI" w:bidi="fi-FI"/>
        </w:rPr>
        <w:t xml:space="preserve">suntojen reaalihintojen kasvu. </w:t>
      </w:r>
    </w:p>
    <w:p w:rsidR="00876CA6" w:rsidRDefault="0031278A">
      <w:pPr>
        <w:spacing w:after="160"/>
        <w:jc w:val="both"/>
        <w:rPr>
          <w:noProof/>
          <w:lang w:val="fi-FI" w:eastAsia="fi-FI" w:bidi="fi-FI"/>
        </w:rPr>
      </w:pPr>
      <w:r>
        <w:rPr>
          <w:rFonts w:ascii="Times New Roman" w:hAnsi="Times New Roman"/>
          <w:noProof/>
          <w:lang w:val="fi-FI" w:eastAsia="fi-FI" w:bidi="fi-FI"/>
        </w:rPr>
        <w:t>Vaihtotaseen ylijäämä kasvoi edelleen vuonna 2017 samalla kun pääasiassa suorista ulkomaisista sijoituksista muodostuva negatiivinen ulkomainen nettovarallisuusasema parani entistään. Yksikkötyökustannusten kasvu nopeutui se</w:t>
      </w:r>
      <w:r>
        <w:rPr>
          <w:rFonts w:ascii="Times New Roman" w:hAnsi="Times New Roman"/>
          <w:noProof/>
          <w:lang w:val="fi-FI" w:eastAsia="fi-FI" w:bidi="fi-FI"/>
        </w:rPr>
        <w:t>lvästi vuonna 2017, mutta reaalinen efektiivinen valuuttakurssi säilyi melko vakaana, ja vientimarkkinaosuudet kasvoivat jonkin verran. Ongelmana on edelleen yrityssektorin suuri velka, vaikka velkasuhde on viime vuosina vähitellen supistunut, mikä osaltaa</w:t>
      </w:r>
      <w:r>
        <w:rPr>
          <w:rFonts w:ascii="Times New Roman" w:hAnsi="Times New Roman"/>
          <w:noProof/>
          <w:lang w:val="fi-FI" w:eastAsia="fi-FI" w:bidi="fi-FI"/>
        </w:rPr>
        <w:t>n johtuu nimellisen BKT:n voimakkaasta kasvusta. Luottovirrat ovat jälleen piristymässä, mikä hidastaa velkavivun purkamista mutta saattaa toisaalta tukea yksityisten investointien vilkastumista ja potentiaalisen kasvun vahvistumista. Järjestämättömien lai</w:t>
      </w:r>
      <w:r>
        <w:rPr>
          <w:rFonts w:ascii="Times New Roman" w:hAnsi="Times New Roman"/>
          <w:noProof/>
          <w:lang w:val="fi-FI" w:eastAsia="fi-FI" w:bidi="fi-FI"/>
        </w:rPr>
        <w:t>nojen osuus on edelleen suuri etenkin yrityssektorilla, vaikka se onkin supistumassa. Vaikka rahoitusalan valvonnan parantamisessa on edistytty vuonna 2016 toteutetun omaisuuserien laaduntarkastelun jälkeen, jäljellä on joitakin haavoittuvuustekijöitä, joi</w:t>
      </w:r>
      <w:r>
        <w:rPr>
          <w:rFonts w:ascii="Times New Roman" w:hAnsi="Times New Roman"/>
          <w:noProof/>
          <w:lang w:val="fi-FI" w:eastAsia="fi-FI" w:bidi="fi-FI"/>
        </w:rPr>
        <w:t>hin on syytä kiinnittää edelleen huomiota. Näihin kuuluvat muun muassa lähipiiriliiketoimet ja vaikeasti arvostettavissa oleviin omaisuuseriin liittyvät vastuut. Asuntojen reaalihinnat ovat nousseet nopeasti. Samalla rakentaminen on lisääntynyt ja asuntolu</w:t>
      </w:r>
      <w:r>
        <w:rPr>
          <w:rFonts w:ascii="Times New Roman" w:hAnsi="Times New Roman"/>
          <w:noProof/>
          <w:lang w:val="fi-FI" w:eastAsia="fi-FI" w:bidi="fi-FI"/>
        </w:rPr>
        <w:t>ottojen määrä on kasvanut. Tässä vaiheessa ei vielä ole merkkejä yliarvostuksesta, mutta asuntomarkkinoiden nykyisen dynamiikan vuoksi tilannetta on perusteltua seurata tarkkaan. Tässä myönteisessä suhdannetilanteessa työttömyys on edelleen vähentynyt erit</w:t>
      </w:r>
      <w:r>
        <w:rPr>
          <w:rFonts w:ascii="Times New Roman" w:hAnsi="Times New Roman"/>
          <w:noProof/>
          <w:lang w:val="fi-FI" w:eastAsia="fi-FI" w:bidi="fi-FI"/>
        </w:rPr>
        <w:t>yisesti nuorten ja pitkäaikaistyöttömien keskuudessa, ja työvoimaosuus on kohentunut.</w:t>
      </w:r>
    </w:p>
    <w:p w:rsidR="00876CA6" w:rsidRDefault="0031278A">
      <w:pPr>
        <w:spacing w:after="160"/>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kysymykset, jotka liittyvät rahoitusalalla edelleen oleviin haavoittuvuustekijöihin ja yrityssektorin velkaan. Komissio kat</w:t>
      </w:r>
      <w:r>
        <w:rPr>
          <w:rFonts w:ascii="Times New Roman" w:hAnsi="Times New Roman"/>
          <w:i/>
          <w:noProof/>
          <w:lang w:val="fi-FI" w:eastAsia="fi-FI" w:bidi="fi-FI"/>
        </w:rPr>
        <w:t>soo tämän vuoksi ja myös ottaen huomioon maaliskuussa 2018 havaittu epätasapaino, että on aiheellista selvittää tarkemmin, jatkuvatko vai purkautuvatko epätasapainot.</w:t>
      </w:r>
    </w:p>
    <w:p w:rsidR="00876CA6" w:rsidRDefault="00876CA6">
      <w:pPr>
        <w:spacing w:after="160" w:line="259" w:lineRule="auto"/>
        <w:jc w:val="both"/>
        <w:rPr>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Tšekki:</w:t>
      </w:r>
      <w:r>
        <w:rPr>
          <w:rFonts w:ascii="Times New Roman" w:hAnsi="Times New Roman"/>
          <w:noProof/>
          <w:lang w:val="fi-FI" w:eastAsia="fi-FI" w:bidi="fi-FI"/>
        </w:rPr>
        <w:t xml:space="preserve"> Makrotalouden epätasapainoa koskevan menettelyn edellisellä kierroksella Tšekill</w:t>
      </w:r>
      <w:r>
        <w:rPr>
          <w:rFonts w:ascii="Times New Roman" w:hAnsi="Times New Roman"/>
          <w:noProof/>
          <w:lang w:val="fi-FI" w:eastAsia="fi-FI" w:bidi="fi-FI"/>
        </w:rPr>
        <w:t xml:space="preserve">ä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xml:space="preserve">. Ajan tasalle saatetussa tulostaulussa seuraavat indikaattorit ylittävät ohjeelliset kynnysarvot: asuntojen reaalihintojen nousu ja rahoitusalan kokonaisvastuut. </w:t>
      </w:r>
    </w:p>
    <w:p w:rsidR="00876CA6" w:rsidRDefault="0031278A">
      <w:pPr>
        <w:spacing w:after="160" w:line="259" w:lineRule="auto"/>
        <w:jc w:val="both"/>
        <w:rPr>
          <w:rFonts w:ascii="Times New Roman" w:hAnsi="Times New Roman"/>
          <w:noProof/>
          <w:lang w:val="fi-FI" w:eastAsia="fi-FI" w:bidi="fi-FI"/>
        </w:rPr>
      </w:pPr>
      <w:r>
        <w:rPr>
          <w:noProof/>
          <w:lang w:eastAsia="en-GB"/>
        </w:rPr>
        <w:drawing>
          <wp:anchor distT="0" distB="0" distL="114300" distR="114300" simplePos="0" relativeHeight="251661312" behindDoc="0" locked="0" layoutInCell="1" allowOverlap="1">
            <wp:simplePos x="0" y="0"/>
            <wp:positionH relativeFrom="column">
              <wp:posOffset>3009265</wp:posOffset>
            </wp:positionH>
            <wp:positionV relativeFrom="paragraph">
              <wp:posOffset>25400</wp:posOffset>
            </wp:positionV>
            <wp:extent cx="2794000" cy="27965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000"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 xml:space="preserve">Vaihtotase on kehittynyt parempaan suuntaan, </w:t>
      </w:r>
      <w:r>
        <w:rPr>
          <w:rFonts w:ascii="Times New Roman" w:hAnsi="Times New Roman"/>
          <w:noProof/>
          <w:lang w:val="fi-FI" w:eastAsia="fi-FI" w:bidi="fi-FI"/>
        </w:rPr>
        <w:t>ja se oli vuonna 2017 hieman ylijäämäinen. Valuuttakurssisitoumuksen päätyttyä huhtikuussa 2017 reaalinen efektiivinen valuuttakurssi vahvistui samalla kun ulkomainen nettovarallisuusasema lujittui edelleen, vaikkakin hitaammin kuin edellisinä vuosina. Nim</w:t>
      </w:r>
      <w:r>
        <w:rPr>
          <w:rFonts w:ascii="Times New Roman" w:hAnsi="Times New Roman"/>
          <w:noProof/>
          <w:lang w:val="fi-FI" w:eastAsia="fi-FI" w:bidi="fi-FI"/>
        </w:rPr>
        <w:t>elliset yksikkötyökustannukset ovat kasvaneet merkittävien palkankorotusten seurauksena, ja niiden kasvun ennustetaan edelleen kiihtyvän akuutin työvoimapulan vuoksi. Reaalisen efektiivisen valuuttakurssin vahvistumisesta huolimatta vientimarkkinaosuudet o</w:t>
      </w:r>
      <w:r>
        <w:rPr>
          <w:rFonts w:ascii="Times New Roman" w:hAnsi="Times New Roman"/>
          <w:noProof/>
          <w:lang w:val="fi-FI" w:eastAsia="fi-FI" w:bidi="fi-FI"/>
        </w:rPr>
        <w:t>vat viime vuosina edelleen kasvaneet jonkin verran. Asuntojen hintojen nousu ja asuntolainojen määrän kasvu ovat kiihtyneet entisestään ja edellyttävät tiivistä seurantaa. Yksityisen sektorin velka on kuitenkin maltillisella tasolla. Tämä koskee myös kotit</w:t>
      </w:r>
      <w:r>
        <w:rPr>
          <w:rFonts w:ascii="Times New Roman" w:hAnsi="Times New Roman"/>
          <w:noProof/>
          <w:lang w:val="fi-FI" w:eastAsia="fi-FI" w:bidi="fi-FI"/>
        </w:rPr>
        <w:t>alouksien velkaa, joka on säilynyt ennallaan. Julkista velkaa on vähän, ja velan määrä vähenee edelleen julkisen talouden ylijäämän tukemana. Rahoitusalan velkojen kasvu kiihtyi huomattavasti vuonna 2017, ja niiden määrä ylitti ohjeellisen kynnysarvon. Täm</w:t>
      </w:r>
      <w:r>
        <w:rPr>
          <w:rFonts w:ascii="Times New Roman" w:hAnsi="Times New Roman"/>
          <w:noProof/>
          <w:lang w:val="fi-FI" w:eastAsia="fi-FI" w:bidi="fi-FI"/>
        </w:rPr>
        <w:t>ä johtui pääasiassa siitä, että ulkomaiset yksiköt olivat ostaneet Tšekin korunan määräisiä talletuksia ennen valuuttakurssisitoumuksen päättymistä. Työttömyysaste laski edelleen, ja työmarkkinat olivat erittäin kireät.</w:t>
      </w:r>
    </w:p>
    <w:p w:rsidR="00876CA6" w:rsidRDefault="0031278A">
      <w:pPr>
        <w:rPr>
          <w:noProof/>
          <w:lang w:val="fi-FI" w:eastAsia="fi-FI" w:bidi="fi-FI"/>
        </w:rPr>
      </w:pPr>
      <w:r>
        <w:rPr>
          <w:noProof/>
          <w:lang w:val="fi-FI" w:eastAsia="fi-FI" w:bidi="fi-FI"/>
        </w:rPr>
        <w:br w:type="page"/>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w:t>
      </w:r>
      <w:r>
        <w:rPr>
          <w:rFonts w:ascii="Times New Roman" w:hAnsi="Times New Roman"/>
          <w:i/>
          <w:noProof/>
          <w:lang w:val="fi-FI" w:eastAsia="fi-FI" w:bidi="fi-FI"/>
        </w:rPr>
        <w:t>iin nousevat kilpailukykyyn ja asuntomarkkinoiden paineisiin liittyvät kysymykset, vaikka riskit näyttävät olevan tässä vaiheessa hallinnassa. Tästä syystä komissio ei tässä vaiheessa katso tarpeelliseksi ryhtyä perusteellisiin jatkotutkimuksiin makrotalou</w:t>
      </w:r>
      <w:r>
        <w:rPr>
          <w:rFonts w:ascii="Times New Roman" w:hAnsi="Times New Roman"/>
          <w:i/>
          <w:noProof/>
          <w:lang w:val="fi-FI" w:eastAsia="fi-FI" w:bidi="fi-FI"/>
        </w:rPr>
        <w:t>den epätasapainoa koskevan menettelyn yhteydessä.</w:t>
      </w:r>
    </w:p>
    <w:p w:rsidR="00876CA6" w:rsidRDefault="00876CA6">
      <w:pPr>
        <w:spacing w:after="160" w:line="259" w:lineRule="auto"/>
        <w:rPr>
          <w:rFonts w:ascii="Times New Roman" w:eastAsia="Calibri" w:hAnsi="Times New Roman" w:cs="Times New Roman"/>
          <w:b/>
          <w:noProof/>
          <w:lang w:val="fi-FI" w:eastAsia="fi-FI" w:bidi="fi-FI"/>
        </w:rPr>
      </w:pPr>
    </w:p>
    <w:p w:rsidR="00876CA6" w:rsidRDefault="0031278A">
      <w:pPr>
        <w:spacing w:after="160" w:line="259" w:lineRule="auto"/>
        <w:jc w:val="both"/>
        <w:rPr>
          <w:noProof/>
          <w:lang w:val="fi-FI" w:eastAsia="fi-FI" w:bidi="fi-FI"/>
        </w:rPr>
      </w:pPr>
      <w:r>
        <w:rPr>
          <w:rFonts w:ascii="Times New Roman" w:hAnsi="Times New Roman"/>
          <w:b/>
          <w:noProof/>
          <w:lang w:val="fi-FI" w:eastAsia="fi-FI" w:bidi="fi-FI"/>
        </w:rPr>
        <w:t>Tanska:</w:t>
      </w:r>
      <w:r>
        <w:rPr>
          <w:rFonts w:ascii="Times New Roman" w:hAnsi="Times New Roman"/>
          <w:i/>
          <w:noProof/>
          <w:lang w:val="fi-FI" w:eastAsia="fi-FI" w:bidi="fi-FI"/>
        </w:rPr>
        <w:t xml:space="preserve"> </w:t>
      </w:r>
      <w:r>
        <w:rPr>
          <w:rFonts w:ascii="Times New Roman" w:hAnsi="Times New Roman"/>
          <w:noProof/>
          <w:lang w:val="fi-FI" w:eastAsia="fi-FI" w:bidi="fi-FI"/>
        </w:rPr>
        <w:t xml:space="preserve">Makrotalouden epätasapainoa koskevan menettelyn edellisellä kierroksella Tanskalla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xml:space="preserve">. Ajan tasalle saatetussa tulostaulussa seuraavat indikaattorit ylittävät ohjeelliset kynnysarvot: vaihtotase ja yksityisen sektorin velka.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62336" behindDoc="0" locked="0" layoutInCell="1" allowOverlap="1">
            <wp:simplePos x="0" y="0"/>
            <wp:positionH relativeFrom="column">
              <wp:posOffset>3451225</wp:posOffset>
            </wp:positionH>
            <wp:positionV relativeFrom="paragraph">
              <wp:posOffset>26670</wp:posOffset>
            </wp:positionV>
            <wp:extent cx="2475230" cy="2621280"/>
            <wp:effectExtent l="0" t="0" r="127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523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 on edelleen voimakkaasti ylijäämäinen. Peräkkäisistä ylijäämistä on ollut seurauksena suuri positiivine</w:t>
      </w:r>
      <w:r>
        <w:rPr>
          <w:rFonts w:ascii="Times New Roman" w:hAnsi="Times New Roman"/>
          <w:noProof/>
          <w:lang w:val="fi-FI" w:eastAsia="fi-FI" w:bidi="fi-FI"/>
        </w:rPr>
        <w:t>n ulkomainen nettovarallisuusasema, joka on tuottanut positiivisia nettoensituloja. Tämä on puolestaan vahvistanut vaihtotaseen ylijäämää. Yksikkötyökustannusten kasvu on hillittyä, vaikka kiristyneet työmarkkinat aiheuttavat painetta palkkoihin, ja tuotta</w:t>
      </w:r>
      <w:r>
        <w:rPr>
          <w:rFonts w:ascii="Times New Roman" w:hAnsi="Times New Roman"/>
          <w:noProof/>
          <w:lang w:val="fi-FI" w:eastAsia="fi-FI" w:bidi="fi-FI"/>
        </w:rPr>
        <w:t>vuuden kehitys on vaimeaa. Vientimarkkinaosuuksien kasvu on pitkälti pysynyt ennallaan. Vaikka asuntojen hintojen nousu hidastui kansallisella tasolla, hinnat nousivat edelleen keskimääräistä nopeammin tärkeimmillä suurkaupunkialueilla. Tätä kehitystä on s</w:t>
      </w:r>
      <w:r>
        <w:rPr>
          <w:rFonts w:ascii="Times New Roman" w:hAnsi="Times New Roman"/>
          <w:noProof/>
          <w:lang w:val="fi-FI" w:eastAsia="fi-FI" w:bidi="fi-FI"/>
        </w:rPr>
        <w:t>eurattava tarkkaan. Kotitalouksien velka suhteessa BKT:hen on edelleen EU:n suurin, ja se supistuu vain hitaasti tilanteessa, jossa luotonannon kasvu on vaatimatonta. Kotitaloudet ovat jatkaneet säästöjensä kasvattamista, mikä on osoitus pyrkimyksestä vähe</w:t>
      </w:r>
      <w:r>
        <w:rPr>
          <w:rFonts w:ascii="Times New Roman" w:hAnsi="Times New Roman"/>
          <w:noProof/>
          <w:lang w:val="fi-FI" w:eastAsia="fi-FI" w:bidi="fi-FI"/>
        </w:rPr>
        <w:t>ntää velkaantumista, ja makrovakaustoimenpiteitä on toteutettu riskialttiin luotonoton rajoittamiseksi. Yritysten velkaantuneisuus on sen sijaan edelleen maltillista. Tilanne työmarkkinoilla paranee jatkuvasti, työllisyyden kasvu on vakaata, ja työvoimapul</w:t>
      </w:r>
      <w:r>
        <w:rPr>
          <w:rFonts w:ascii="Times New Roman" w:hAnsi="Times New Roman"/>
          <w:noProof/>
          <w:lang w:val="fi-FI" w:eastAsia="fi-FI" w:bidi="fi-FI"/>
        </w:rPr>
        <w:t>a yleistyy.</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i/>
          <w:noProof/>
          <w:lang w:val="fi-FI" w:eastAsia="fi-FI" w:bidi="fi-FI"/>
        </w:rPr>
        <w:t>Talouspoliittisissa päätelmissä esiin nousevat vaihtotaseeseen, yksityiseen velkaan ja asuntosektoriin liittyvät kysymykset, mutta riskit näyttävät olevan hallinnassa. Tästä syystä komissio ei tässä vaiheessa ryhdy perusteellisiin jatkotutkimuk</w:t>
      </w:r>
      <w:r>
        <w:rPr>
          <w:rFonts w:ascii="Times New Roman" w:hAnsi="Times New Roman"/>
          <w:i/>
          <w:noProof/>
          <w:lang w:val="fi-FI" w:eastAsia="fi-FI" w:bidi="fi-FI"/>
        </w:rPr>
        <w:t>siin makrotalouden epätasapainoa koskevan menettelyn yhteydessä.</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63360" behindDoc="0" locked="0" layoutInCell="1" allowOverlap="1">
            <wp:simplePos x="0" y="0"/>
            <wp:positionH relativeFrom="column">
              <wp:posOffset>3451225</wp:posOffset>
            </wp:positionH>
            <wp:positionV relativeFrom="paragraph">
              <wp:posOffset>156845</wp:posOffset>
            </wp:positionV>
            <wp:extent cx="2613660" cy="262128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366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CA6" w:rsidRDefault="0031278A">
      <w:pPr>
        <w:spacing w:after="160" w:line="259" w:lineRule="auto"/>
        <w:jc w:val="both"/>
        <w:rPr>
          <w:noProof/>
          <w:lang w:val="fi-FI" w:eastAsia="fi-FI" w:bidi="fi-FI"/>
        </w:rPr>
      </w:pPr>
      <w:r>
        <w:rPr>
          <w:rFonts w:ascii="Times New Roman" w:hAnsi="Times New Roman"/>
          <w:b/>
          <w:noProof/>
          <w:lang w:val="fi-FI" w:eastAsia="fi-FI" w:bidi="fi-FI"/>
        </w:rPr>
        <w:t>Saksa</w:t>
      </w:r>
      <w:r>
        <w:rPr>
          <w:rFonts w:ascii="Times New Roman" w:hAnsi="Times New Roman"/>
          <w:b/>
          <w:i/>
          <w:noProof/>
          <w:lang w:val="fi-FI" w:eastAsia="fi-FI" w:bidi="fi-FI"/>
        </w:rPr>
        <w:t>:</w:t>
      </w:r>
      <w:r>
        <w:rPr>
          <w:rFonts w:ascii="Times New Roman" w:hAnsi="Times New Roman"/>
          <w:noProof/>
          <w:lang w:val="fi-FI" w:eastAsia="fi-FI" w:bidi="fi-FI"/>
        </w:rPr>
        <w:t xml:space="preserve"> Komissio päätteli maaliskuussa 2018, että Saksalla oli </w:t>
      </w:r>
      <w:r>
        <w:rPr>
          <w:rFonts w:ascii="Times New Roman" w:hAnsi="Times New Roman"/>
          <w:i/>
          <w:noProof/>
          <w:lang w:val="fi-FI" w:eastAsia="fi-FI" w:bidi="fi-FI"/>
        </w:rPr>
        <w:t>makrotalouden epätasapainotiloja</w:t>
      </w:r>
      <w:r>
        <w:rPr>
          <w:rFonts w:ascii="Times New Roman" w:hAnsi="Times New Roman"/>
          <w:noProof/>
          <w:lang w:val="fi-FI" w:eastAsia="fi-FI" w:bidi="fi-FI"/>
        </w:rPr>
        <w:t>, jotka liittyivät erityisesti sen suureen vaihtotaseen ylijäämään. Tämä ylijäämä johtuu sekä j</w:t>
      </w:r>
      <w:r>
        <w:rPr>
          <w:rFonts w:ascii="Times New Roman" w:hAnsi="Times New Roman"/>
          <w:noProof/>
          <w:lang w:val="fi-FI" w:eastAsia="fi-FI" w:bidi="fi-FI"/>
        </w:rPr>
        <w:t xml:space="preserve">ulkisen että yksityisen sektorin säästöihin verrattuna vaimeista investoinneista. Ajan tasalle saatetussa tulostaulussa seuraavat indikaattorit ylittävät edelleen ohjeelliset kynnysarvot: vaihtotase ja julkinen velka. </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Vaihtotaseen ylijäämä on edelleen eri</w:t>
      </w:r>
      <w:r>
        <w:rPr>
          <w:rFonts w:ascii="Times New Roman" w:hAnsi="Times New Roman"/>
          <w:noProof/>
          <w:lang w:val="fi-FI" w:eastAsia="fi-FI" w:bidi="fi-FI"/>
        </w:rPr>
        <w:t>ttäin suuri, mutta se supistui hieman vuositasolla vuonna 2017. Vaihtotaseen ylijäämän odotetaan edelleen supistuvan kotimaisen kysynnän tasaisen kasvun myötä mutta pysyttelevän tästä huolimatta edelleen suurena ja kasvattavan ulkomaista nettovarallisuusas</w:t>
      </w:r>
      <w:r>
        <w:rPr>
          <w:rFonts w:ascii="Times New Roman" w:hAnsi="Times New Roman"/>
          <w:noProof/>
          <w:lang w:val="fi-FI" w:eastAsia="fi-FI" w:bidi="fi-FI"/>
        </w:rPr>
        <w:t>emaa entisestään.</w:t>
      </w:r>
      <w:r>
        <w:rPr>
          <w:rFonts w:ascii="Times New Roman" w:hAnsi="Times New Roman"/>
          <w:noProof/>
          <w:lang w:val="fi-FI" w:eastAsia="fi-FI" w:bidi="fi-FI"/>
        </w:rPr>
        <w:tab/>
        <w:t xml:space="preserve"> Yksikkötyökustannusten kasvu on jatkunut maltillisena. Viennin kasvu voimistui vuonna 2017, mutta vientimarkkinaosuudet supistuivat hieman. Yksityisen sektorin velkaantuminen vähenee edelleen, vaikka sektorin velka on pieni. Samaan aikaa</w:t>
      </w:r>
      <w:r>
        <w:rPr>
          <w:rFonts w:ascii="Times New Roman" w:hAnsi="Times New Roman"/>
          <w:noProof/>
          <w:lang w:val="fi-FI" w:eastAsia="fi-FI" w:bidi="fi-FI"/>
        </w:rPr>
        <w:t>n yritysinvestoinnit kasvavat suhteessa BKT:hen. Myös investoinnit asuntosektorille kasvavat, mutta ne eivät edelleenkään riitä täyttämään suurkaupunkialueiden asuntotarpeita. Asuntojen reaalihintojen nousu on nopeutunut, ja rakennuskustannukset ovat kasva</w:t>
      </w:r>
      <w:r>
        <w:rPr>
          <w:rFonts w:ascii="Times New Roman" w:hAnsi="Times New Roman"/>
          <w:noProof/>
          <w:lang w:val="fi-FI" w:eastAsia="fi-FI" w:bidi="fi-FI"/>
        </w:rPr>
        <w:t xml:space="preserve">neet. Molempiin seikkoihin olisi kiinnitettävä huomiota myös alueellisten hintaerojen ja asuntojen saatavuuden osalta. Luotonannon kasvu on vähitellen vahvistumassa. Kotitalouksien säästämisaste on edelleen korkea, vaikka palkkojen kasvu on maltillista ja </w:t>
      </w:r>
      <w:r>
        <w:rPr>
          <w:rFonts w:ascii="Times New Roman" w:hAnsi="Times New Roman"/>
          <w:noProof/>
          <w:lang w:val="fi-FI" w:eastAsia="fi-FI" w:bidi="fi-FI"/>
        </w:rPr>
        <w:t>yksityinen kulutus voimakasta. Tämä johtuu yritysten kotitalouksille jakamien tulojen kasvusta. Julkinen velka väheni edelleen, ja sen odotetaan supistuvan alle kynnysarvon (60 % suhteessa BKT:hen) vuoteen 2019 mennessä. Samalla julkisten investointitarpei</w:t>
      </w:r>
      <w:r>
        <w:rPr>
          <w:rFonts w:ascii="Times New Roman" w:hAnsi="Times New Roman"/>
          <w:noProof/>
          <w:lang w:val="fi-FI" w:eastAsia="fi-FI" w:bidi="fi-FI"/>
        </w:rPr>
        <w:t xml:space="preserve">den merkittävä kasauma säilyy. Kokonaistyöttömyys samoin kuin nuoriso- ja pitkäaikaistyöttömyys ovat edelleen vähentyneet ja pysyttelevät hyvin alhaisella tasolla.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kysymykset, jotka liittyvät pitkäaikaiseen s</w:t>
      </w:r>
      <w:r>
        <w:rPr>
          <w:rFonts w:ascii="Times New Roman" w:hAnsi="Times New Roman"/>
          <w:i/>
          <w:noProof/>
          <w:lang w:val="fi-FI" w:eastAsia="fi-FI" w:bidi="fi-FI"/>
        </w:rPr>
        <w:t>äästöjen ylijäämään suhteessa investointeihin. Tämä näkyy suurena ja vain vähitellen supistuvana vaihtotaseen ylijäämänä ja korostaa tarvetta jatkaa tasapainottamista. Komissio katsoo tämän vuoksi ja myös ottaen huomioon maaliskuussa 2018 havaittu epätasap</w:t>
      </w:r>
      <w:r>
        <w:rPr>
          <w:rFonts w:ascii="Times New Roman" w:hAnsi="Times New Roman"/>
          <w:i/>
          <w:noProof/>
          <w:lang w:val="fi-FI" w:eastAsia="fi-FI" w:bidi="fi-FI"/>
        </w:rPr>
        <w:t xml:space="preserve">aino, että on hyödyllistä selvittää tarkemmin, jatkuvatko vai purkautuvatko epätasapainot. </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noProof/>
          <w:lang w:val="fi-FI" w:eastAsia="fi-FI" w:bidi="fi-FI"/>
        </w:rPr>
      </w:pPr>
      <w:r>
        <w:rPr>
          <w:noProof/>
          <w:lang w:eastAsia="en-GB"/>
        </w:rPr>
        <w:drawing>
          <wp:anchor distT="0" distB="0" distL="114300" distR="114300" simplePos="0" relativeHeight="251664384" behindDoc="0" locked="0" layoutInCell="1" allowOverlap="1">
            <wp:simplePos x="0" y="0"/>
            <wp:positionH relativeFrom="column">
              <wp:posOffset>3306445</wp:posOffset>
            </wp:positionH>
            <wp:positionV relativeFrom="paragraph">
              <wp:posOffset>42545</wp:posOffset>
            </wp:positionV>
            <wp:extent cx="2553970" cy="2948940"/>
            <wp:effectExtent l="0" t="0" r="0"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3970"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Viro:</w:t>
      </w:r>
      <w:r>
        <w:rPr>
          <w:rFonts w:ascii="Times New Roman" w:hAnsi="Times New Roman"/>
          <w:i/>
          <w:noProof/>
          <w:lang w:val="fi-FI" w:eastAsia="fi-FI" w:bidi="fi-FI"/>
        </w:rPr>
        <w:t xml:space="preserve"> </w:t>
      </w:r>
      <w:r>
        <w:rPr>
          <w:rFonts w:ascii="Times New Roman" w:hAnsi="Times New Roman"/>
          <w:noProof/>
          <w:lang w:val="fi-FI" w:eastAsia="fi-FI" w:bidi="fi-FI"/>
        </w:rPr>
        <w:t xml:space="preserve">Makrotalouden epätasapainoa koskevan menettelyn edellisellä kierroksella Virolla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w:t>
      </w:r>
      <w:r>
        <w:rPr>
          <w:rFonts w:ascii="Times New Roman" w:hAnsi="Times New Roman"/>
          <w:noProof/>
          <w:lang w:val="fi-FI" w:eastAsia="fi-FI" w:bidi="fi-FI"/>
        </w:rPr>
        <w:t xml:space="preserve">taulussa nimellisten yksikkötyökustannusten kasvu ylittää ohjeellisen kynnysarvon. </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 xml:space="preserve">Vaihtotaseen ylijäämä kasvoi edelleen vuonna 2017, ja ulkomainen nettovarallisuusasema parani niin, että se on nyt kynnysarvon rajoissa. Nimellisten yksikkötyökustannusten </w:t>
      </w:r>
      <w:r>
        <w:rPr>
          <w:rFonts w:ascii="Times New Roman" w:hAnsi="Times New Roman"/>
          <w:noProof/>
          <w:lang w:val="fi-FI" w:eastAsia="fi-FI" w:bidi="fi-FI"/>
        </w:rPr>
        <w:t>kasvu jatkuu nopeana, mikä johtuu inflaatiosta ja voimakkaasta palkkojen noususta. Tuottavuuden kehitys on ollut vaimeaa, mikä on jossain määrin heikentänyt kustannuskilpailukyvyn indikaattoreita. Reaalinen efektiivinen valuuttakurssi vahvistui edelleen, m</w:t>
      </w:r>
      <w:r>
        <w:rPr>
          <w:rFonts w:ascii="Times New Roman" w:hAnsi="Times New Roman"/>
          <w:noProof/>
          <w:lang w:val="fi-FI" w:eastAsia="fi-FI" w:bidi="fi-FI"/>
        </w:rPr>
        <w:t xml:space="preserve">utta vientimarkkinaosuudet säilyivät ennallaan. Asuntojen reaalihintojen nousu, joka on ollut dynaamista viime vuosina, hidastui maltilliselle tasolle vuonna 2017. Yksityisen velan vähentäminen on jatkunut, ja julkista velkaa on hyvin vähän.  Työmarkkinat </w:t>
      </w:r>
      <w:r>
        <w:rPr>
          <w:rFonts w:ascii="Times New Roman" w:hAnsi="Times New Roman"/>
          <w:noProof/>
          <w:lang w:val="fi-FI" w:eastAsia="fi-FI" w:bidi="fi-FI"/>
        </w:rPr>
        <w:t xml:space="preserve">kiristyvät, mutta maahanmuutto on jossain määrin vähentänyt työvoimapulaa.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nimellisiin yksikkötyökustannuksiin liittyvät kysymykset, mutta riskit näyttävät olevan hallinnassa. Tästä syystä komissio ei tässä v</w:t>
      </w:r>
      <w:r>
        <w:rPr>
          <w:rFonts w:ascii="Times New Roman" w:hAnsi="Times New Roman"/>
          <w:i/>
          <w:noProof/>
          <w:lang w:val="fi-FI" w:eastAsia="fi-FI" w:bidi="fi-FI"/>
        </w:rPr>
        <w:t>aiheessa ryhdy perusteellisiin jatkotutkimuksiin makrotalouden epätasapainoa koskevan menettelyn yhteydessä.</w:t>
      </w:r>
    </w:p>
    <w:p w:rsidR="00876CA6" w:rsidRDefault="0031278A">
      <w:pPr>
        <w:autoSpaceDE w:val="0"/>
        <w:autoSpaceDN w:val="0"/>
        <w:adjustRightInd w:val="0"/>
        <w:spacing w:after="240"/>
        <w:jc w:val="both"/>
        <w:rPr>
          <w:noProof/>
          <w:lang w:val="fi-FI" w:eastAsia="fi-FI" w:bidi="fi-FI"/>
        </w:rPr>
      </w:pPr>
      <w:r>
        <w:rPr>
          <w:rFonts w:ascii="Times New Roman" w:hAnsi="Times New Roman"/>
          <w:b/>
          <w:noProof/>
          <w:color w:val="000000"/>
          <w:lang w:val="fi-FI" w:eastAsia="fi-FI" w:bidi="fi-FI"/>
        </w:rPr>
        <w:t>Irlanti:</w:t>
      </w:r>
      <w:r>
        <w:rPr>
          <w:rFonts w:ascii="Times New Roman" w:hAnsi="Times New Roman"/>
          <w:noProof/>
          <w:color w:val="000000"/>
          <w:lang w:val="fi-FI" w:eastAsia="fi-FI" w:bidi="fi-FI"/>
        </w:rPr>
        <w:t xml:space="preserve"> Komissio päätteli maaliskuussa 2018, että Irlannilla oli </w:t>
      </w:r>
      <w:r>
        <w:rPr>
          <w:rFonts w:ascii="Times New Roman" w:hAnsi="Times New Roman"/>
          <w:i/>
          <w:noProof/>
          <w:color w:val="000000"/>
          <w:lang w:val="fi-FI" w:eastAsia="fi-FI" w:bidi="fi-FI"/>
        </w:rPr>
        <w:t>makrotalouden epätasapainotiloja</w:t>
      </w:r>
      <w:r>
        <w:rPr>
          <w:rFonts w:ascii="Times New Roman" w:hAnsi="Times New Roman"/>
          <w:noProof/>
          <w:color w:val="000000"/>
          <w:lang w:val="fi-FI" w:eastAsia="fi-FI" w:bidi="fi-FI"/>
        </w:rPr>
        <w:t xml:space="preserve">, jotka liittyivät erityisesti suuresta julkisesta ja yksityisestä velasta ja suuresta ulkomaisesta nettovelasta johtuviin haavoittuvuustekijöihin. Ajan tasalle saatetussa tulostaulussa seuraavat indikaattorit ylittävät ohjeelliset kynnysarvot: ulkomainen </w:t>
      </w:r>
      <w:r>
        <w:rPr>
          <w:rFonts w:ascii="Times New Roman" w:hAnsi="Times New Roman"/>
          <w:noProof/>
          <w:color w:val="000000"/>
          <w:lang w:val="fi-FI" w:eastAsia="fi-FI" w:bidi="fi-FI"/>
        </w:rPr>
        <w:t xml:space="preserve">nettovarallisuusasema, reaalinen efektiivinen valuuttakurssi, yksityinen velka, julkinen velka ja asuntojen reaalihintojen vuosimuutos. </w:t>
      </w:r>
    </w:p>
    <w:p w:rsidR="00876CA6" w:rsidRDefault="0031278A">
      <w:pPr>
        <w:autoSpaceDE w:val="0"/>
        <w:autoSpaceDN w:val="0"/>
        <w:adjustRightInd w:val="0"/>
        <w:spacing w:after="240"/>
        <w:jc w:val="both"/>
        <w:rPr>
          <w:rFonts w:ascii="Times New Roman" w:eastAsia="Times New Roman" w:hAnsi="Times New Roman" w:cs="Times New Roman"/>
          <w:noProof/>
          <w:color w:val="000000"/>
          <w:lang w:val="fi-FI" w:eastAsia="fi-FI" w:bidi="fi-FI"/>
        </w:rPr>
      </w:pPr>
      <w:r>
        <w:rPr>
          <w:noProof/>
          <w:lang w:eastAsia="en-GB"/>
        </w:rPr>
        <w:drawing>
          <wp:anchor distT="0" distB="0" distL="114300" distR="114300" simplePos="0" relativeHeight="251665408" behindDoc="0" locked="0" layoutInCell="1" allowOverlap="1">
            <wp:simplePos x="0" y="0"/>
            <wp:positionH relativeFrom="column">
              <wp:posOffset>3032125</wp:posOffset>
            </wp:positionH>
            <wp:positionV relativeFrom="paragraph">
              <wp:posOffset>61595</wp:posOffset>
            </wp:positionV>
            <wp:extent cx="2758440" cy="27508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844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fi-FI" w:eastAsia="fi-FI" w:bidi="fi-FI"/>
        </w:rPr>
        <w:t xml:space="preserve">Vaihtotase oli vuonna 2017 merkittävästi ylijäämäinen, kun se vuonna 2016 oli ollut merkittävästi alijäämäinen </w:t>
      </w:r>
      <w:r>
        <w:rPr>
          <w:rFonts w:ascii="Times New Roman" w:hAnsi="Times New Roman"/>
          <w:noProof/>
          <w:color w:val="000000"/>
          <w:lang w:val="fi-FI" w:eastAsia="fi-FI" w:bidi="fi-FI"/>
        </w:rPr>
        <w:t>edeltävien vuosien ylijäämien jälkeen. Näihin viimeaikaisiin vaihtotaseen heilahteluihin vaikuttivat osaltaan immateriaalioikeuksien tuonnin heilahtelut ja sopimusvalmistus.</w:t>
      </w:r>
      <w:r>
        <w:rPr>
          <w:rFonts w:ascii="Times New Roman" w:hAnsi="Times New Roman"/>
          <w:noProof/>
          <w:color w:val="000000"/>
          <w:vertAlign w:val="superscript"/>
          <w:lang w:val="fi-FI" w:eastAsia="fi-FI" w:bidi="fi-FI"/>
        </w:rPr>
        <w:t xml:space="preserve"> </w:t>
      </w:r>
      <w:r>
        <w:rPr>
          <w:rFonts w:ascii="Times New Roman" w:hAnsi="Times New Roman"/>
          <w:noProof/>
          <w:color w:val="000000"/>
          <w:vertAlign w:val="superscript"/>
          <w:lang w:val="fi-FI" w:eastAsia="fi-FI" w:bidi="fi-FI"/>
        </w:rPr>
        <w:footnoteReference w:id="37"/>
      </w:r>
      <w:r>
        <w:rPr>
          <w:rFonts w:ascii="Times New Roman" w:hAnsi="Times New Roman"/>
          <w:noProof/>
          <w:color w:val="000000"/>
          <w:lang w:val="fi-FI" w:eastAsia="fi-FI" w:bidi="fi-FI"/>
        </w:rPr>
        <w:t xml:space="preserve"> Ulkomainen nettovarallisuusasema on edelleen parantunut, mutta se on yhä erittäi</w:t>
      </w:r>
      <w:r>
        <w:rPr>
          <w:rFonts w:ascii="Times New Roman" w:hAnsi="Times New Roman"/>
          <w:noProof/>
          <w:color w:val="000000"/>
          <w:lang w:val="fi-FI" w:eastAsia="fi-FI" w:bidi="fi-FI"/>
        </w:rPr>
        <w:t>n negatiivinen, mikä johtuu suurelta osin sellaisten monikansallisten yritysten toiminnasta, joiden yhteydet kotimaan talouteen ovat rajalliset. Tuottavuuden voimakas kasvu, jota paisuttaa niin ikään monikansallisten yritysten toiminta, on viime vuosina au</w:t>
      </w:r>
      <w:r>
        <w:rPr>
          <w:rFonts w:ascii="Times New Roman" w:hAnsi="Times New Roman"/>
          <w:noProof/>
          <w:color w:val="000000"/>
          <w:lang w:val="fi-FI" w:eastAsia="fi-FI" w:bidi="fi-FI"/>
        </w:rPr>
        <w:t>ttanut parantamaan kilpailukykyä. Yksityisen sektorin velka on edelleen hyvin suuri, mutta se on jatkanut laskuaan. Kotitaloudet ovat edelleen vähentäneet velkaansa, ja irlantilaisten pankkien riskisaamisten määrä kotimaisilta yrityksiltä on vähentynyt, mi</w:t>
      </w:r>
      <w:r>
        <w:rPr>
          <w:rFonts w:ascii="Times New Roman" w:hAnsi="Times New Roman"/>
          <w:noProof/>
          <w:color w:val="000000"/>
          <w:lang w:val="fi-FI" w:eastAsia="fi-FI" w:bidi="fi-FI"/>
        </w:rPr>
        <w:t>kä viittaa siihen, että yritysten velkaantuneisuuden purkaminen jatkuu. Kotimaisten rahoitusalan ulkopuolisten yritysten tilannetta on vaikeampi tulkita, koska monikansallisten yritysten osuus yritysten velkojen kokonaismäärästä on suuri. Asuntojen hintoje</w:t>
      </w:r>
      <w:r>
        <w:rPr>
          <w:rFonts w:ascii="Times New Roman" w:hAnsi="Times New Roman"/>
          <w:noProof/>
          <w:color w:val="000000"/>
          <w:lang w:val="fi-FI" w:eastAsia="fi-FI" w:bidi="fi-FI"/>
        </w:rPr>
        <w:t>n nousu on ollut erittäin dynaamista vuodesta 2014 lähtien pääasiassa tarjonnan rajoitusten vuoksi, mikä edellyttää tiivistä seurantaa. Julkinen velka suhteessa BKT:hen on vahvan talouskasvun myötä supistunut, mutta velkasuhde on edelleen korkea. Järjestäm</w:t>
      </w:r>
      <w:r>
        <w:rPr>
          <w:rFonts w:ascii="Times New Roman" w:hAnsi="Times New Roman"/>
          <w:noProof/>
          <w:color w:val="000000"/>
          <w:lang w:val="fi-FI" w:eastAsia="fi-FI" w:bidi="fi-FI"/>
        </w:rPr>
        <w:t>ättömien lainojen osuus on viime vuosina pienentynyt, mutta se on edelleen suuri. Vaikka pankkien pääomapohja on hyvä, niiden varausten määrä vähentynyt. Pankkien kannattavuus paranee vähitellen, joskin kehitys on edelleen vaimeaa.</w:t>
      </w:r>
      <w:r>
        <w:rPr>
          <w:rFonts w:ascii="Times New Roman" w:hAnsi="Times New Roman"/>
          <w:noProof/>
          <w:lang w:val="fi-FI" w:eastAsia="fi-FI" w:bidi="fi-FI"/>
        </w:rPr>
        <w:t xml:space="preserve"> Työttömyysaste laski all</w:t>
      </w:r>
      <w:r>
        <w:rPr>
          <w:rFonts w:ascii="Times New Roman" w:hAnsi="Times New Roman"/>
          <w:noProof/>
          <w:lang w:val="fi-FI" w:eastAsia="fi-FI" w:bidi="fi-FI"/>
        </w:rPr>
        <w:t>e makrotalouden epätasapainoa koskevan menettelyn kynnysarvon vuonna 2017, ja pitkäaikais- ja nuorisotyöttömyys ovat edelleen laskussa.</w:t>
      </w:r>
    </w:p>
    <w:p w:rsidR="00876CA6" w:rsidRDefault="0031278A">
      <w:pPr>
        <w:spacing w:after="24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kysymykset, jotka liittyvät ulkoisen rahoitusaseman epävakauteen, yksityi</w:t>
      </w:r>
      <w:r>
        <w:rPr>
          <w:rFonts w:ascii="Times New Roman" w:hAnsi="Times New Roman"/>
          <w:i/>
          <w:noProof/>
          <w:lang w:val="fi-FI" w:eastAsia="fi-FI" w:bidi="fi-FI"/>
        </w:rPr>
        <w:t>sen ja julkisen velan määrään, asuntojen hintojen nopeaan nousuun ja järjestämättömien lainojen suhteellisen suureen osuuteen. Komissio katsoo tämän vuoksi ja myös ottaen huomioon maaliskuussa 2018 havaitut epätasapainot, että on aiheellista selvittää tark</w:t>
      </w:r>
      <w:r>
        <w:rPr>
          <w:rFonts w:ascii="Times New Roman" w:hAnsi="Times New Roman"/>
          <w:i/>
          <w:noProof/>
          <w:lang w:val="fi-FI" w:eastAsia="fi-FI" w:bidi="fi-FI"/>
        </w:rPr>
        <w:t>emmin, jatkuvatko vai purkautuvatko epätasapainot.</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eastAsia="Calibri" w:hAnsi="Times New Roman" w:cs="Times New Roman"/>
          <w:b/>
          <w:noProof/>
          <w:lang w:val="fi-FI" w:eastAsia="fi-FI" w:bidi="fi-FI"/>
        </w:rPr>
        <w:br/>
      </w:r>
      <w:r>
        <w:rPr>
          <w:rFonts w:ascii="Times New Roman" w:hAnsi="Times New Roman"/>
          <w:b/>
          <w:noProof/>
          <w:lang w:val="fi-FI" w:eastAsia="fi-FI" w:bidi="fi-FI"/>
        </w:rPr>
        <w:t>Kreikka:</w:t>
      </w:r>
      <w:r>
        <w:rPr>
          <w:rFonts w:ascii="Times New Roman" w:hAnsi="Times New Roman"/>
          <w:b/>
          <w:i/>
          <w:noProof/>
          <w:lang w:val="fi-FI" w:eastAsia="fi-FI" w:bidi="fi-FI"/>
        </w:rPr>
        <w:t xml:space="preserve"> </w:t>
      </w:r>
      <w:r>
        <w:rPr>
          <w:rFonts w:ascii="Times New Roman" w:hAnsi="Times New Roman"/>
          <w:noProof/>
          <w:lang w:val="fi-FI" w:eastAsia="fi-FI" w:bidi="fi-FI"/>
        </w:rPr>
        <w:t>Kreikka on vuodesta 2010 lähtien viime aikoihin asti ollut rahoitustukiohjelmien kohteena. Sen vuoksi epätasapainotilojen seuranta ja korjaavat toimenpiteet on toteutettu rahoitustukiohjelmien yhteydessä eikä makrotalouden epätasapainoa koskevassa menettel</w:t>
      </w:r>
      <w:r>
        <w:rPr>
          <w:rFonts w:ascii="Times New Roman" w:hAnsi="Times New Roman"/>
          <w:noProof/>
          <w:lang w:val="fi-FI" w:eastAsia="fi-FI" w:bidi="fi-FI"/>
        </w:rPr>
        <w:t xml:space="preserve">yssä. Kreikka on viime vuosina toteuttanut merkittäviä toimia vähentääkseen virtaepätasapainojaan ja hallitakseen niihin liittyviä riskejä, mutta jäljellä olevien varantoepätasapainojen odotetaan jatkuvan. Tämä näkyy ajan tasalle saatetussa tulostaulussa, </w:t>
      </w:r>
      <w:r>
        <w:rPr>
          <w:rFonts w:ascii="Times New Roman" w:hAnsi="Times New Roman"/>
          <w:noProof/>
          <w:lang w:val="fi-FI" w:eastAsia="fi-FI" w:bidi="fi-FI"/>
        </w:rPr>
        <w:t xml:space="preserve">jossa seuraavat indikaattorit ylittävät ohjeelliset kynnysarvot: ulkomainen nettovarallisuusasema, vientimarkkinaosuuksien menetykset, julkinen velka ja työttömyysaste.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66432" behindDoc="0" locked="0" layoutInCell="1" allowOverlap="1">
            <wp:simplePos x="0" y="0"/>
            <wp:positionH relativeFrom="column">
              <wp:posOffset>3504565</wp:posOffset>
            </wp:positionH>
            <wp:positionV relativeFrom="paragraph">
              <wp:posOffset>49530</wp:posOffset>
            </wp:positionV>
            <wp:extent cx="2378075" cy="2644140"/>
            <wp:effectExtent l="0" t="0" r="317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8075"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Vaikka yksityisen sektorin ulkomainen nettovarallisuusasema on positiivinen, suuri ju</w:t>
      </w:r>
      <w:r>
        <w:rPr>
          <w:rFonts w:ascii="Times New Roman" w:hAnsi="Times New Roman"/>
          <w:noProof/>
          <w:lang w:val="fi-FI" w:eastAsia="fi-FI" w:bidi="fi-FI"/>
        </w:rPr>
        <w:t>lkisen ulkomaanvelan osuus aiheuttaa sen, että ulkomainen nettovarallisuusasema on kokonaistasolla merkittävästi negatiivinen. Vaikka suuri osa ulkomaanvelasta on annettu erittäin edullisin ehdoin, ulkomaisen nettovarallisuusaseman pitkän aikavälin kestävy</w:t>
      </w:r>
      <w:r>
        <w:rPr>
          <w:rFonts w:ascii="Times New Roman" w:hAnsi="Times New Roman"/>
          <w:noProof/>
          <w:lang w:val="fi-FI" w:eastAsia="fi-FI" w:bidi="fi-FI"/>
        </w:rPr>
        <w:t>ys edellyttää vaihtotaseen äskettäisten parannusten jatkumista olosuhteissa, joissa kotimainen kysyntä kasvaa. Viimeksi kuluneiden viiden vuoden aikana on havaittu vientimarkkinaosuuksien huomattavia menetyksiä, mutta näyttää siltä, että suuntaus on käänty</w:t>
      </w:r>
      <w:r>
        <w:rPr>
          <w:rFonts w:ascii="Times New Roman" w:hAnsi="Times New Roman"/>
          <w:noProof/>
          <w:lang w:val="fi-FI" w:eastAsia="fi-FI" w:bidi="fi-FI"/>
        </w:rPr>
        <w:t>nyt vuonna 2017. Julkisen sektorin velka suhteessa BKT:hen on hyvin suuri, vaikka velkasuhteen odotetaan supistuvan. Velkasuhteen kestävyyttä tukee myös kesäkuussa 2018 tehty euroryhmän sopimus. Asuntojen reaalihinnat laskivat edelleen vuonna 2017, mutta k</w:t>
      </w:r>
      <w:r>
        <w:rPr>
          <w:rFonts w:ascii="Times New Roman" w:hAnsi="Times New Roman"/>
          <w:noProof/>
          <w:lang w:val="fi-FI" w:eastAsia="fi-FI" w:bidi="fi-FI"/>
        </w:rPr>
        <w:t>ehitys on tasaantunut vuoden 2018 alussa. Luotonannon kasvu on edelleen negatiivista, sillä yksityisen velan vähentäminen jatkuu. Järjestämättömien lainojen suuri määrä haittaa talouden luotonsaannin tervehdyttämistä, joka on välttämätöntä, jotta kasvua vo</w:t>
      </w:r>
      <w:r>
        <w:rPr>
          <w:rFonts w:ascii="Times New Roman" w:hAnsi="Times New Roman"/>
          <w:noProof/>
          <w:lang w:val="fi-FI" w:eastAsia="fi-FI" w:bidi="fi-FI"/>
        </w:rPr>
        <w:t xml:space="preserve">itaisiin tukea keskipitkällä aikavälillä. Työttömyys on vähenemässä, mutta se on edelleen korkea, erityisesti pitkäaikais- ja nuorisotyöttömyyden tapauksessa.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 xml:space="preserve">Talouspoliittisissa päätelmissä esiin nousevat kysymykset, jotka liittyvät suureen julkiseen ja </w:t>
      </w:r>
      <w:r>
        <w:rPr>
          <w:rFonts w:ascii="Times New Roman" w:hAnsi="Times New Roman"/>
          <w:i/>
          <w:noProof/>
          <w:lang w:val="fi-FI" w:eastAsia="fi-FI" w:bidi="fi-FI"/>
        </w:rPr>
        <w:t>ulkoiseen velkaan, vähäisiin säästöihin ja järjestämättömien lainojen suureen määrään. Kaikki nämä tekijät esiintyvät tilanteessa, jolle on ominaista korkea työttömyys, heikko tuottavuuden kasvu ja verkkainen investointitoiminta. Komissio pitää siksi aihee</w:t>
      </w:r>
      <w:r>
        <w:rPr>
          <w:rFonts w:ascii="Times New Roman" w:hAnsi="Times New Roman"/>
          <w:i/>
          <w:noProof/>
          <w:lang w:val="fi-FI" w:eastAsia="fi-FI" w:bidi="fi-FI"/>
        </w:rPr>
        <w:t>llisena selvittää  asiaan liittyviä riskejä tarkemmin ja arvioida perusteellisessa tarkastelussa, onko epätasapainoa vai ei.</w:t>
      </w:r>
    </w:p>
    <w:p w:rsidR="00876CA6" w:rsidRDefault="0031278A">
      <w:pPr>
        <w:spacing w:after="160" w:line="259" w:lineRule="auto"/>
        <w:jc w:val="both"/>
        <w:rPr>
          <w:rFonts w:ascii="Times New Roman" w:eastAsia="Calibri" w:hAnsi="Times New Roman" w:cs="Times New Roman"/>
          <w:i/>
          <w:noProof/>
          <w:lang w:val="fi-FI" w:eastAsia="fi-FI" w:bidi="fi-FI"/>
        </w:rPr>
      </w:pPr>
      <w:r>
        <w:rPr>
          <w:noProof/>
          <w:lang w:eastAsia="en-GB"/>
        </w:rPr>
        <w:drawing>
          <wp:anchor distT="0" distB="0" distL="114300" distR="114300" simplePos="0" relativeHeight="251686912" behindDoc="0" locked="0" layoutInCell="1" allowOverlap="1">
            <wp:simplePos x="0" y="0"/>
            <wp:positionH relativeFrom="column">
              <wp:align>right</wp:align>
            </wp:positionH>
            <wp:positionV relativeFrom="paragraph">
              <wp:posOffset>175895</wp:posOffset>
            </wp:positionV>
            <wp:extent cx="2613660" cy="268732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5947" cy="2690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CA6" w:rsidRDefault="0031278A">
      <w:pPr>
        <w:autoSpaceDE w:val="0"/>
        <w:autoSpaceDN w:val="0"/>
        <w:adjustRightInd w:val="0"/>
        <w:spacing w:after="160" w:line="259" w:lineRule="auto"/>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Espanja</w:t>
      </w:r>
      <w:r>
        <w:rPr>
          <w:rFonts w:ascii="Times New Roman" w:hAnsi="Times New Roman"/>
          <w:noProof/>
          <w:lang w:val="fi-FI" w:eastAsia="fi-FI" w:bidi="fi-FI"/>
        </w:rPr>
        <w:t xml:space="preserve">: Komissio päätteli maaliskuussa 2018, että Espanjalla oli </w:t>
      </w:r>
      <w:r>
        <w:rPr>
          <w:rFonts w:ascii="Times New Roman" w:hAnsi="Times New Roman"/>
          <w:i/>
          <w:noProof/>
          <w:lang w:val="fi-FI" w:eastAsia="fi-FI" w:bidi="fi-FI"/>
        </w:rPr>
        <w:t>makrotalouden epätasapainotiloja</w:t>
      </w:r>
      <w:r>
        <w:rPr>
          <w:rFonts w:ascii="Times New Roman" w:hAnsi="Times New Roman"/>
          <w:noProof/>
          <w:lang w:val="fi-FI" w:eastAsia="fi-FI" w:bidi="fi-FI"/>
        </w:rPr>
        <w:t xml:space="preserve">, jotka liittyivät erityisesti </w:t>
      </w:r>
      <w:r>
        <w:rPr>
          <w:rFonts w:ascii="Times New Roman" w:hAnsi="Times New Roman"/>
          <w:noProof/>
          <w:lang w:val="fi-FI" w:eastAsia="fi-FI" w:bidi="fi-FI"/>
        </w:rPr>
        <w:t>suureen ulkomaiseen ja kotimaiseen velkaan yksityisellä ja julkisella sektorilla korkean työttömyyden vallitessa. Ajan tasalle saatetussa tulostaulussa seuraavat indikaattorit ylittävät ohjeelliset kynnysarvot:</w:t>
      </w:r>
      <w:r>
        <w:rPr>
          <w:noProof/>
          <w:lang w:val="fi-FI" w:eastAsia="fi-FI" w:bidi="fi-FI"/>
        </w:rPr>
        <w:t xml:space="preserve"> </w:t>
      </w:r>
      <w:r>
        <w:rPr>
          <w:rFonts w:ascii="Times New Roman" w:hAnsi="Times New Roman"/>
          <w:noProof/>
          <w:lang w:val="fi-FI" w:eastAsia="fi-FI" w:bidi="fi-FI"/>
        </w:rPr>
        <w:t xml:space="preserve">ulkomainen nettovarallisuusasema, yksityisen </w:t>
      </w:r>
      <w:r>
        <w:rPr>
          <w:rFonts w:ascii="Times New Roman" w:hAnsi="Times New Roman"/>
          <w:noProof/>
          <w:lang w:val="fi-FI" w:eastAsia="fi-FI" w:bidi="fi-FI"/>
        </w:rPr>
        <w:t xml:space="preserve">sektorin ja julkisen talouden velkasuhteet, työttömyysaste ja työvoimaosuuden kasvu. </w:t>
      </w:r>
    </w:p>
    <w:p w:rsidR="00876CA6" w:rsidRDefault="0031278A">
      <w:pPr>
        <w:autoSpaceDE w:val="0"/>
        <w:autoSpaceDN w:val="0"/>
        <w:adjustRightInd w:val="0"/>
        <w:spacing w:after="120" w:line="259" w:lineRule="auto"/>
        <w:jc w:val="both"/>
        <w:rPr>
          <w:rFonts w:ascii="Times New Roman" w:eastAsia="MS Mincho" w:hAnsi="Times New Roman" w:cs="Times New Roman"/>
          <w:noProof/>
          <w:lang w:val="fi-FI" w:eastAsia="fi-FI" w:bidi="fi-FI"/>
        </w:rPr>
      </w:pPr>
      <w:r>
        <w:rPr>
          <w:rFonts w:ascii="Times New Roman" w:hAnsi="Times New Roman"/>
          <w:noProof/>
          <w:lang w:val="fi-FI" w:eastAsia="fi-FI" w:bidi="fi-FI"/>
        </w:rPr>
        <w:t xml:space="preserve">Ulkoinen tasapainottaminen on jatkunut, vaikka se on ollut suhteellisen hidasta. Ulkomainen nettovarallisuusasema on parantunut, mutta se on edelleen hyvin negatiivinen. </w:t>
      </w:r>
      <w:r>
        <w:rPr>
          <w:rFonts w:ascii="Times New Roman" w:hAnsi="Times New Roman"/>
          <w:noProof/>
          <w:lang w:val="fi-FI" w:eastAsia="fi-FI" w:bidi="fi-FI"/>
        </w:rPr>
        <w:t>Nimellisten yksikkötyökustannusten kasvu on ollut vakaata tilanteessa, jossa palkkojen nousu on ollut maltillista ja tuottavuuden kasvu vähäistä. Vientimarkkinat ovat vuositasolla kasvaneet jonkin verran huolimatta reaalisen efektiivisen valuuttakurssin hi</w:t>
      </w:r>
      <w:r>
        <w:rPr>
          <w:rFonts w:ascii="Times New Roman" w:hAnsi="Times New Roman"/>
          <w:noProof/>
          <w:lang w:val="fi-FI" w:eastAsia="fi-FI" w:bidi="fi-FI"/>
        </w:rPr>
        <w:t>enoisesta vahvistumisesta vuonna 2017. Yksityisen sektorin velka on edelleen vähentynyt koko vuoden 2017 ajan, erityisesti yritysten osalta, mutta velan vähentämiseen on edelleen tarvetta. Lisäksi uusia lainoja on alettu jälleen myöntää, mikä tukee investo</w:t>
      </w:r>
      <w:r>
        <w:rPr>
          <w:rFonts w:ascii="Times New Roman" w:hAnsi="Times New Roman"/>
          <w:noProof/>
          <w:lang w:val="fi-FI" w:eastAsia="fi-FI" w:bidi="fi-FI"/>
        </w:rPr>
        <w:t>intien elpymistä. Kotitalouksien velkaantumisen vähentämistä hidastaa myös kulutusluottojen voimakas kasvu. Aikaisemmin aliarvostetut asuntojen hinnat ovat viime vuosina elpyneet. Julkisen talouden alijäämää on viime vuosina pystytty supistamaan pääasiassa</w:t>
      </w:r>
      <w:r>
        <w:rPr>
          <w:rFonts w:ascii="Times New Roman" w:hAnsi="Times New Roman"/>
          <w:noProof/>
          <w:lang w:val="fi-FI" w:eastAsia="fi-FI" w:bidi="fi-FI"/>
        </w:rPr>
        <w:t xml:space="preserve"> voimakkaan talouskasvun ansiosta, mutta jatkuvat alijäämät merkitsevät sitä, että julkisen talouden velkasuhde supistuu hitaasti. Työttömyys on vähentynyt nopeasti, mutta se on edelleen hyvin korkealla tasolla, erityisesti nuorten keskuudessa. Samaan aika</w:t>
      </w:r>
      <w:r>
        <w:rPr>
          <w:rFonts w:ascii="Times New Roman" w:hAnsi="Times New Roman"/>
          <w:noProof/>
          <w:lang w:val="fi-FI" w:eastAsia="fi-FI" w:bidi="fi-FI"/>
        </w:rPr>
        <w:t xml:space="preserve">an tuottavuuden heikosta kasvusta seuraa, että kilpailukyvyn paraneminen on riippuvaista kustannuseduista. </w:t>
      </w:r>
    </w:p>
    <w:p w:rsidR="00876CA6" w:rsidRDefault="0031278A">
      <w:pPr>
        <w:autoSpaceDE w:val="0"/>
        <w:autoSpaceDN w:val="0"/>
        <w:adjustRightInd w:val="0"/>
        <w:spacing w:after="8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ulkoinen kestävyys, yksityinen ja julkinen velka sekä työmarkkinoiden sopeutus tilanteessa, jossa tuo</w:t>
      </w:r>
      <w:r>
        <w:rPr>
          <w:rFonts w:ascii="Times New Roman" w:hAnsi="Times New Roman"/>
          <w:i/>
          <w:noProof/>
          <w:lang w:val="fi-FI" w:eastAsia="fi-FI" w:bidi="fi-FI"/>
        </w:rPr>
        <w:t>ttavuuden kasvu on heikkoa. Komissio katsoo tämän vuoksi ja myös ottaen huomioon maaliskuussa 2018 havaitut epätasapainot ja niiden vaikutus maan rajat ylittävällä tasolla, että on hyödyllistä selvittää tarkemmin, jatkuvatko vai purkautuvatko epätasapainot</w:t>
      </w:r>
      <w:r>
        <w:rPr>
          <w:rFonts w:ascii="Times New Roman" w:hAnsi="Times New Roman"/>
          <w:i/>
          <w:noProof/>
          <w:lang w:val="fi-FI" w:eastAsia="fi-FI" w:bidi="fi-FI"/>
        </w:rPr>
        <w:t xml:space="preserve">. </w:t>
      </w:r>
    </w:p>
    <w:p w:rsidR="00876CA6" w:rsidRDefault="00876CA6">
      <w:pPr>
        <w:autoSpaceDE w:val="0"/>
        <w:autoSpaceDN w:val="0"/>
        <w:adjustRightInd w:val="0"/>
        <w:spacing w:after="160" w:line="259" w:lineRule="auto"/>
        <w:jc w:val="both"/>
        <w:rPr>
          <w:rFonts w:ascii="Times New Roman" w:eastAsia="MS Mincho" w:hAnsi="Times New Roman" w:cs="Times New Roman"/>
          <w:i/>
          <w:noProof/>
          <w:lang w:val="fi-FI" w:eastAsia="fi-FI" w:bidi="fi-FI"/>
        </w:rPr>
      </w:pPr>
    </w:p>
    <w:p w:rsidR="00876CA6" w:rsidRDefault="0031278A">
      <w:pPr>
        <w:autoSpaceDE w:val="0"/>
        <w:autoSpaceDN w:val="0"/>
        <w:adjustRightInd w:val="0"/>
        <w:spacing w:after="160" w:line="259" w:lineRule="auto"/>
        <w:jc w:val="both"/>
        <w:rPr>
          <w:noProof/>
          <w:lang w:val="fi-FI" w:eastAsia="fi-FI" w:bidi="fi-FI"/>
        </w:rPr>
      </w:pPr>
      <w:r>
        <w:rPr>
          <w:noProof/>
          <w:lang w:eastAsia="en-GB"/>
        </w:rPr>
        <w:drawing>
          <wp:anchor distT="0" distB="0" distL="114300" distR="114300" simplePos="0" relativeHeight="251667456" behindDoc="0" locked="0" layoutInCell="1" allowOverlap="1">
            <wp:simplePos x="0" y="0"/>
            <wp:positionH relativeFrom="column">
              <wp:posOffset>3512185</wp:posOffset>
            </wp:positionH>
            <wp:positionV relativeFrom="paragraph">
              <wp:posOffset>635</wp:posOffset>
            </wp:positionV>
            <wp:extent cx="2289175" cy="24917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917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Ranska:</w:t>
      </w:r>
      <w:r>
        <w:rPr>
          <w:rFonts w:ascii="Times New Roman" w:hAnsi="Times New Roman"/>
          <w:noProof/>
          <w:lang w:val="fi-FI" w:eastAsia="fi-FI" w:bidi="fi-FI"/>
        </w:rPr>
        <w:t xml:space="preserve"> Komissio päätteli maaliskuussa 2018, että Ranskalla oli </w:t>
      </w:r>
      <w:r>
        <w:rPr>
          <w:rFonts w:ascii="Times New Roman" w:hAnsi="Times New Roman"/>
          <w:i/>
          <w:noProof/>
          <w:lang w:val="fi-FI" w:eastAsia="fi-FI" w:bidi="fi-FI"/>
        </w:rPr>
        <w:t>makrotalouden epätasapainotiloja</w:t>
      </w:r>
      <w:r>
        <w:rPr>
          <w:rFonts w:ascii="Times New Roman" w:hAnsi="Times New Roman"/>
          <w:noProof/>
          <w:lang w:val="fi-FI" w:eastAsia="fi-FI" w:bidi="fi-FI"/>
        </w:rPr>
        <w:t>, jotka liittyivät erityisesti suureen julkiseen velkaan ja heikkoon kilpailukykyyn tilanteessa, jossa tuottavuuden kasvu oli heikkoa. Ajan tasalle saatetussa tulostaulussa seuraavat indikaattorit ylittävät tai saavuttavat ohjeelliset kynnysarvot: julkisen</w:t>
      </w:r>
      <w:r>
        <w:rPr>
          <w:rFonts w:ascii="Times New Roman" w:hAnsi="Times New Roman"/>
          <w:noProof/>
          <w:lang w:val="fi-FI" w:eastAsia="fi-FI" w:bidi="fi-FI"/>
        </w:rPr>
        <w:t xml:space="preserve"> ja yksityisen sektorin velka ja työttömyysaste. </w:t>
      </w:r>
    </w:p>
    <w:p w:rsidR="00876CA6" w:rsidRDefault="0031278A">
      <w:pPr>
        <w:autoSpaceDE w:val="0"/>
        <w:autoSpaceDN w:val="0"/>
        <w:adjustRightInd w:val="0"/>
        <w:spacing w:after="160" w:line="259" w:lineRule="auto"/>
        <w:jc w:val="both"/>
        <w:rPr>
          <w:rFonts w:ascii="Times New Roman" w:eastAsia="Calibri" w:hAnsi="Times New Roman" w:cs="Times New Roman"/>
          <w:bCs/>
          <w:noProof/>
          <w:lang w:val="fi-FI" w:eastAsia="fi-FI" w:bidi="fi-FI"/>
        </w:rPr>
      </w:pPr>
      <w:r>
        <w:rPr>
          <w:rFonts w:ascii="Times New Roman" w:hAnsi="Times New Roman"/>
          <w:noProof/>
          <w:lang w:val="fi-FI" w:eastAsia="fi-FI" w:bidi="fi-FI"/>
        </w:rPr>
        <w:t>Vaihtotaseen alijäämä pysyi suurin piirtein ennallaan vuonna 2017, kun taas ulkomainen nettovarallisuusasema heikkeni. Viennin kasvun nopeutumisesta huolimatta vientimarkkinaosuudet supistuivat hieman vuonn</w:t>
      </w:r>
      <w:r>
        <w:rPr>
          <w:rFonts w:ascii="Times New Roman" w:hAnsi="Times New Roman"/>
          <w:noProof/>
          <w:lang w:val="fi-FI" w:eastAsia="fi-FI" w:bidi="fi-FI"/>
        </w:rPr>
        <w:t>a 2017 samalla kun reaalinen efektiivinen valuuttakurssi vakiintui. Maltillinen palkkakehitys hillitsi yksikkötyökustannusten kasvua. Tuottavuuden kehitys on kuitenkin pysynyt heikkona. Suuresta ja edelleen kasvavasta julkisesta velasta johtuvat haavoittuv</w:t>
      </w:r>
      <w:r>
        <w:rPr>
          <w:rFonts w:ascii="Times New Roman" w:hAnsi="Times New Roman"/>
          <w:noProof/>
          <w:lang w:val="fi-FI" w:eastAsia="fi-FI" w:bidi="fi-FI"/>
        </w:rPr>
        <w:t>uustekijät ovat edelleen merkittävä ongelma. Suuren julkisen velan ja suuren yksityisen velan yhdistelmä lisää haavoittuvuutta. Yksityisen sektorin velka on suhteellisen suuri erityisesti rahoitusalan ulkopuolisten yritysten osalta, ja luotonannon kasvu on</w:t>
      </w:r>
      <w:r>
        <w:rPr>
          <w:rFonts w:ascii="Times New Roman" w:hAnsi="Times New Roman"/>
          <w:noProof/>
          <w:lang w:val="fi-FI" w:eastAsia="fi-FI" w:bidi="fi-FI"/>
        </w:rPr>
        <w:t xml:space="preserve"> hieman elpymässä. Asuntojen reaalihinnat nousivat maltillisesti. Työmarkkinatilanne kohenee, ja työttömyysindikaattorin arvot ovat kynnysarvon rajoissa. </w:t>
      </w:r>
    </w:p>
    <w:p w:rsidR="00876CA6" w:rsidRDefault="0031278A">
      <w:pPr>
        <w:autoSpaceDE w:val="0"/>
        <w:autoSpaceDN w:val="0"/>
        <w:adjustRightInd w:val="0"/>
        <w:spacing w:after="160" w:line="259" w:lineRule="auto"/>
        <w:jc w:val="both"/>
        <w:rPr>
          <w:rFonts w:ascii="Times New Roman" w:eastAsia="Calibri" w:hAnsi="Times New Roman" w:cs="Times New Roman"/>
          <w:bCs/>
          <w:i/>
          <w:noProof/>
          <w:lang w:val="fi-FI" w:eastAsia="fi-FI" w:bidi="fi-FI"/>
        </w:rPr>
      </w:pPr>
      <w:r>
        <w:rPr>
          <w:rFonts w:ascii="Times New Roman" w:hAnsi="Times New Roman"/>
          <w:i/>
          <w:noProof/>
          <w:lang w:val="fi-FI" w:eastAsia="fi-FI" w:bidi="fi-FI"/>
        </w:rPr>
        <w:t>Talouspoliittisissa päätelmissä esiin nousevat suuri velkaantuneisuus ja heikko kilpailukyky tilantee</w:t>
      </w:r>
      <w:r>
        <w:rPr>
          <w:rFonts w:ascii="Times New Roman" w:hAnsi="Times New Roman"/>
          <w:i/>
          <w:noProof/>
          <w:lang w:val="fi-FI" w:eastAsia="fi-FI" w:bidi="fi-FI"/>
        </w:rPr>
        <w:t>ssa, jossa tuottavuuden kasvu on hidasta. Komissio katsoo tämän vuoksi ja myös ottaen huomioon maaliskuussa 2018 havaittu epätasapaino, että on aiheellista selvittää tarkemmin, jatkuvatko vai purkautuvatko epätasapainot.</w:t>
      </w:r>
    </w:p>
    <w:p w:rsidR="00876CA6" w:rsidRDefault="00876CA6">
      <w:pPr>
        <w:autoSpaceDE w:val="0"/>
        <w:autoSpaceDN w:val="0"/>
        <w:adjustRightInd w:val="0"/>
        <w:spacing w:after="160" w:line="259" w:lineRule="auto"/>
        <w:jc w:val="both"/>
        <w:rPr>
          <w:rFonts w:ascii="Times New Roman" w:eastAsia="Calibri" w:hAnsi="Times New Roman" w:cs="Times New Roman"/>
          <w:bCs/>
          <w:i/>
          <w:noProof/>
          <w:lang w:val="fi-FI" w:eastAsia="fi-FI" w:bidi="fi-FI"/>
        </w:rPr>
      </w:pPr>
    </w:p>
    <w:p w:rsidR="00876CA6" w:rsidRDefault="0031278A">
      <w:pPr>
        <w:autoSpaceDE w:val="0"/>
        <w:autoSpaceDN w:val="0"/>
        <w:adjustRightInd w:val="0"/>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68480" behindDoc="0" locked="0" layoutInCell="1" allowOverlap="1">
            <wp:simplePos x="0" y="0"/>
            <wp:positionH relativeFrom="column">
              <wp:posOffset>3359785</wp:posOffset>
            </wp:positionH>
            <wp:positionV relativeFrom="paragraph">
              <wp:posOffset>37465</wp:posOffset>
            </wp:positionV>
            <wp:extent cx="2498090" cy="27279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809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Kroatia:</w:t>
      </w:r>
      <w:r>
        <w:rPr>
          <w:rFonts w:ascii="Times New Roman" w:hAnsi="Times New Roman"/>
          <w:noProof/>
          <w:lang w:val="fi-FI" w:eastAsia="fi-FI" w:bidi="fi-FI"/>
        </w:rPr>
        <w:t xml:space="preserve"> Komissio päätteli helmik</w:t>
      </w:r>
      <w:r>
        <w:rPr>
          <w:rFonts w:ascii="Times New Roman" w:hAnsi="Times New Roman"/>
          <w:noProof/>
          <w:lang w:val="fi-FI" w:eastAsia="fi-FI" w:bidi="fi-FI"/>
        </w:rPr>
        <w:t xml:space="preserve">uussa 2018, että Kroatialla oli </w:t>
      </w:r>
      <w:r>
        <w:rPr>
          <w:rFonts w:ascii="Times New Roman" w:hAnsi="Times New Roman"/>
          <w:i/>
          <w:noProof/>
          <w:lang w:val="fi-FI" w:eastAsia="fi-FI" w:bidi="fi-FI"/>
        </w:rPr>
        <w:t>liiallisia makrotalouden epätasapainotiloja</w:t>
      </w:r>
      <w:r>
        <w:rPr>
          <w:rFonts w:ascii="Times New Roman" w:hAnsi="Times New Roman"/>
          <w:noProof/>
          <w:lang w:val="fi-FI" w:eastAsia="fi-FI" w:bidi="fi-FI"/>
        </w:rPr>
        <w:t>, jotka liittyivät julkisen, yksityisen ja ulkomaisen velan suureen määrään tilanteessa, jossa potentiaalinen kasvu on heikkoa. Velat ovat suurelta osin ulkomaan valuutassa. Ajan ta</w:t>
      </w:r>
      <w:r>
        <w:rPr>
          <w:rFonts w:ascii="Times New Roman" w:hAnsi="Times New Roman"/>
          <w:noProof/>
          <w:lang w:val="fi-FI" w:eastAsia="fi-FI" w:bidi="fi-FI"/>
        </w:rPr>
        <w:t xml:space="preserve">salle saatetussa tulostaulussa seuraavat indikaattorit ylittävät ohjeelliset kynnysarvot: ulkomainen nettovarallisuusasema, julkinen velka ja työttömyysaste.  </w:t>
      </w:r>
    </w:p>
    <w:p w:rsidR="00876CA6" w:rsidRDefault="0031278A">
      <w:pPr>
        <w:autoSpaceDE w:val="0"/>
        <w:autoSpaceDN w:val="0"/>
        <w:adjustRightInd w:val="0"/>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Pääasiassa suorista ulkomaisista sijoituksista muodostuva negatiivinen ulkomainen nettovarallisu</w:t>
      </w:r>
      <w:r>
        <w:rPr>
          <w:rFonts w:ascii="Times New Roman" w:hAnsi="Times New Roman"/>
          <w:noProof/>
          <w:lang w:val="fi-FI" w:eastAsia="fi-FI" w:bidi="fi-FI"/>
        </w:rPr>
        <w:t>usasema on vaihtotaseen ylijäämän kasvaessa vahvistunut, vaikka se on edelleen kynnysarvon yläpuolella ja alttiina jatkuville valuuttariskeille. Nimellisten yksikkötyökustannusten negatiivinen kasvu viittaa siihen, että kustannuskilpailukyky on edelleen pa</w:t>
      </w:r>
      <w:r>
        <w:rPr>
          <w:rFonts w:ascii="Times New Roman" w:hAnsi="Times New Roman"/>
          <w:noProof/>
          <w:lang w:val="fi-FI" w:eastAsia="fi-FI" w:bidi="fi-FI"/>
        </w:rPr>
        <w:t>rantunut vaikka reaalinen efektiivinen valuuttakurssi on säilynyt ennallaan. Tämän seurauksena Kroatia kasvatti markkinaosuuksiaan edelleen vuonna 2017 mutta hitaammin kuin aiempina vuosina. Yksityisen sektorin velka jatkoi laskuaan vuonna 2017 luottovirto</w:t>
      </w:r>
      <w:r>
        <w:rPr>
          <w:rFonts w:ascii="Times New Roman" w:hAnsi="Times New Roman"/>
          <w:noProof/>
          <w:lang w:val="fi-FI" w:eastAsia="fi-FI" w:bidi="fi-FI"/>
        </w:rPr>
        <w:t>jen elpymisestä huolimatta. Järjestämättömien lainojen määrän väheneminen pankkisektorilla on hidastunut, ja suuri osa rahoitusalan ulkopuolisille yrityksille myönnetyistä lainoista on edelleen järjestämättömiä. Julkisen talouden velkasuhde supistui edelle</w:t>
      </w:r>
      <w:r>
        <w:rPr>
          <w:rFonts w:ascii="Times New Roman" w:hAnsi="Times New Roman"/>
          <w:noProof/>
          <w:lang w:val="fi-FI" w:eastAsia="fi-FI" w:bidi="fi-FI"/>
        </w:rPr>
        <w:t>en vuonna 2017, mikä johtui osaltaan myös julkisen talouden rahoitusaseman kohenemisesta. Työttömyysaste laski edelleen. Työvoimaosuus on kuitenkin edelleen hyvin alhainen ja tuottavuuden kehitys hidasta. Tämä heikentää potentiaalista kasvua. Maan suurimpa</w:t>
      </w:r>
      <w:r>
        <w:rPr>
          <w:rFonts w:ascii="Times New Roman" w:hAnsi="Times New Roman"/>
          <w:noProof/>
          <w:lang w:val="fi-FI" w:eastAsia="fi-FI" w:bidi="fi-FI"/>
        </w:rPr>
        <w:t xml:space="preserve">an työnantajaan, Agrokoriin, liittyvät riskit ovat vähentyneet sen jälkeen, kun yrityksen velkojat hyväksyivät velkasaneeraussuunnitelman. </w:t>
      </w:r>
    </w:p>
    <w:p w:rsidR="00876CA6" w:rsidRDefault="0031278A">
      <w:pPr>
        <w:autoSpaceDE w:val="0"/>
        <w:autoSpaceDN w:val="0"/>
        <w:adjustRightInd w:val="0"/>
        <w:spacing w:after="160" w:line="259" w:lineRule="auto"/>
        <w:jc w:val="both"/>
        <w:rPr>
          <w:rFonts w:ascii="Times New Roman" w:eastAsia="Calibri" w:hAnsi="Times New Roman" w:cs="Times New Roman"/>
          <w:noProof/>
          <w:lang w:val="fi-FI" w:eastAsia="fi-FI" w:bidi="fi-FI"/>
        </w:rPr>
      </w:pPr>
      <w:r>
        <w:rPr>
          <w:rFonts w:ascii="Times New Roman" w:hAnsi="Times New Roman"/>
          <w:i/>
          <w:noProof/>
          <w:lang w:val="fi-FI" w:eastAsia="fi-FI" w:bidi="fi-FI"/>
        </w:rPr>
        <w:t>Talouspoliittisissa päätelmissä korostuvat korkeina säilyneet mutta laskevat velkatasot, valuuttariskit kaikilla tal</w:t>
      </w:r>
      <w:r>
        <w:rPr>
          <w:rFonts w:ascii="Times New Roman" w:hAnsi="Times New Roman"/>
          <w:i/>
          <w:noProof/>
          <w:lang w:val="fi-FI" w:eastAsia="fi-FI" w:bidi="fi-FI"/>
        </w:rPr>
        <w:t>ouden sektoreilla ja suuremman potentiaalisen kasvun merkitys kestävän korjauksen kannalta. Komissio katsoo tämän vuoksi ja myös ottaen huomioon maaliskuussa 2018 havaittu liiallinen epätasapaino, että on hyödyllistä selvittää tarkemmin, missä määrin makro</w:t>
      </w:r>
      <w:r>
        <w:rPr>
          <w:rFonts w:ascii="Times New Roman" w:hAnsi="Times New Roman"/>
          <w:i/>
          <w:noProof/>
          <w:lang w:val="fi-FI" w:eastAsia="fi-FI" w:bidi="fi-FI"/>
        </w:rPr>
        <w:t>taloudessa on edelleen riskejä, sekä seurata, edistytäänkö liiallisten epätasapainojen purkamisessa.</w:t>
      </w:r>
    </w:p>
    <w:p w:rsidR="00876CA6" w:rsidRDefault="00876CA6">
      <w:pPr>
        <w:rPr>
          <w:rFonts w:ascii="Times New Roman" w:eastAsia="Times New Roman" w:hAnsi="Times New Roman" w:cs="Times New Roman"/>
          <w:b/>
          <w:bCs/>
          <w:noProof/>
          <w:color w:val="000000"/>
          <w:lang w:val="fi-FI" w:eastAsia="fi-FI" w:bidi="fi-FI"/>
        </w:rPr>
      </w:pPr>
    </w:p>
    <w:p w:rsidR="00876CA6" w:rsidRDefault="0031278A">
      <w:pPr>
        <w:autoSpaceDE w:val="0"/>
        <w:autoSpaceDN w:val="0"/>
        <w:adjustRightInd w:val="0"/>
        <w:spacing w:after="0" w:line="240" w:lineRule="auto"/>
        <w:jc w:val="both"/>
        <w:rPr>
          <w:rFonts w:ascii="Times New Roman" w:eastAsia="Times New Roman" w:hAnsi="Times New Roman" w:cs="Times New Roman"/>
          <w:noProof/>
          <w:color w:val="000000"/>
          <w:lang w:val="fi-FI" w:eastAsia="fi-FI" w:bidi="fi-FI"/>
        </w:rPr>
      </w:pPr>
      <w:r>
        <w:rPr>
          <w:noProof/>
          <w:lang w:eastAsia="en-GB"/>
        </w:rPr>
        <w:drawing>
          <wp:anchor distT="0" distB="0" distL="114300" distR="114300" simplePos="0" relativeHeight="251669504" behindDoc="0" locked="0" layoutInCell="1" allowOverlap="1">
            <wp:simplePos x="0" y="0"/>
            <wp:positionH relativeFrom="column">
              <wp:posOffset>3413125</wp:posOffset>
            </wp:positionH>
            <wp:positionV relativeFrom="paragraph">
              <wp:posOffset>32385</wp:posOffset>
            </wp:positionV>
            <wp:extent cx="2324100" cy="26289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41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fi-FI" w:eastAsia="fi-FI" w:bidi="fi-FI"/>
        </w:rPr>
        <w:t>Italia</w:t>
      </w:r>
      <w:r>
        <w:rPr>
          <w:rFonts w:ascii="Times New Roman" w:hAnsi="Times New Roman"/>
          <w:noProof/>
          <w:color w:val="000000"/>
          <w:lang w:val="fi-FI" w:eastAsia="fi-FI" w:bidi="fi-FI"/>
        </w:rPr>
        <w:t xml:space="preserve">: Komissio päätteli maaliskuussa 2018, että Italialla oli </w:t>
      </w:r>
      <w:r>
        <w:rPr>
          <w:rFonts w:ascii="Times New Roman" w:hAnsi="Times New Roman"/>
          <w:i/>
          <w:noProof/>
          <w:color w:val="000000"/>
          <w:lang w:val="fi-FI" w:eastAsia="fi-FI" w:bidi="fi-FI"/>
        </w:rPr>
        <w:t>liiallisia makrotalouden epätasapainotiloja</w:t>
      </w:r>
      <w:r>
        <w:rPr>
          <w:rFonts w:ascii="Times New Roman" w:hAnsi="Times New Roman"/>
          <w:noProof/>
          <w:color w:val="000000"/>
          <w:lang w:val="fi-FI" w:eastAsia="fi-FI" w:bidi="fi-FI"/>
        </w:rPr>
        <w:t>, jotka liittyivät erityisesti erittäin suuren julkisen velan ja pitkään jatkuneen heikon tuottavuuskehityksen aiheuttamiin riskeihin tilanteessa, jossa järjestämättömiä lainoja on paljon ja työttömyys korkea. Ajan tasalle saatetussa tulostaulussa seuraava</w:t>
      </w:r>
      <w:r>
        <w:rPr>
          <w:rFonts w:ascii="Times New Roman" w:hAnsi="Times New Roman"/>
          <w:noProof/>
          <w:color w:val="000000"/>
          <w:lang w:val="fi-FI" w:eastAsia="fi-FI" w:bidi="fi-FI"/>
        </w:rPr>
        <w:t xml:space="preserve">t kaksi indikaattoria ylittävät ohjeelliset kynnysarvot: julkinen velka ja työttömyysaste. </w:t>
      </w:r>
    </w:p>
    <w:p w:rsidR="00876CA6" w:rsidRDefault="00876CA6">
      <w:pPr>
        <w:autoSpaceDE w:val="0"/>
        <w:autoSpaceDN w:val="0"/>
        <w:adjustRightInd w:val="0"/>
        <w:spacing w:after="0" w:line="240" w:lineRule="auto"/>
        <w:jc w:val="both"/>
        <w:rPr>
          <w:rFonts w:ascii="Times New Roman" w:eastAsia="Times New Roman" w:hAnsi="Times New Roman" w:cs="Times New Roman"/>
          <w:noProof/>
          <w:color w:val="000000"/>
          <w:lang w:val="fi-FI" w:eastAsia="fi-FI" w:bidi="fi-FI"/>
        </w:rPr>
      </w:pPr>
    </w:p>
    <w:p w:rsidR="00876CA6" w:rsidRDefault="0031278A">
      <w:pPr>
        <w:autoSpaceDE w:val="0"/>
        <w:autoSpaceDN w:val="0"/>
        <w:adjustRightInd w:val="0"/>
        <w:spacing w:after="0" w:line="240" w:lineRule="auto"/>
        <w:jc w:val="both"/>
        <w:rPr>
          <w:rFonts w:ascii="Times New Roman" w:eastAsia="Times New Roman" w:hAnsi="Times New Roman" w:cs="Times New Roman"/>
          <w:noProof/>
          <w:color w:val="000000"/>
          <w:lang w:val="fi-FI" w:eastAsia="fi-FI" w:bidi="fi-FI"/>
        </w:rPr>
      </w:pPr>
      <w:r>
        <w:rPr>
          <w:rFonts w:ascii="Times New Roman" w:hAnsi="Times New Roman"/>
          <w:noProof/>
          <w:color w:val="000000"/>
          <w:lang w:val="fi-FI" w:eastAsia="fi-FI" w:bidi="fi-FI"/>
        </w:rPr>
        <w:t>Ulkoinen rahoitusasema on melko vahva, sillä vaihtotase on ylijäämäinen ja ulkomainen nettovarallisuusasema paranee. Julkisen talouden velkasuhde (velka suhteessa BKT:hen) vakiintui hyvin korkealle tasolle vuonna 2017. Hallituksen finanssipoliittiset suunn</w:t>
      </w:r>
      <w:r>
        <w:rPr>
          <w:rFonts w:ascii="Times New Roman" w:hAnsi="Times New Roman"/>
          <w:noProof/>
          <w:color w:val="000000"/>
          <w:lang w:val="fi-FI" w:eastAsia="fi-FI" w:bidi="fi-FI"/>
        </w:rPr>
        <w:t>itelmat, odotettua heikompi elpyminen ja suuremmat lainanottokustannukset hidastavat julkisen talouden velkasuhteen supistamista jatkossa. Samaan aikaan tuottavuuden hidas kasvu ja työikäisen väestön väheneminen heikentävät potentiaalista kasvua. Tuottavuu</w:t>
      </w:r>
      <w:r>
        <w:rPr>
          <w:rFonts w:ascii="Times New Roman" w:hAnsi="Times New Roman"/>
          <w:noProof/>
          <w:color w:val="000000"/>
          <w:lang w:val="fi-FI" w:eastAsia="fi-FI" w:bidi="fi-FI"/>
        </w:rPr>
        <w:t>den hidas kasvu on seurausta pitkäaikaisista rakenteellisista heikkouksista. Näihin kuuluvat muun muassa epäedullisempi liiketoimintaympäristö kuin vertaismaissa, rahoitusvaikeudet, korkean osaamistason työntekijöiden puute ja vähäiset investoinnit aineett</w:t>
      </w:r>
      <w:r>
        <w:rPr>
          <w:rFonts w:ascii="Times New Roman" w:hAnsi="Times New Roman"/>
          <w:noProof/>
          <w:color w:val="000000"/>
          <w:lang w:val="fi-FI" w:eastAsia="fi-FI" w:bidi="fi-FI"/>
        </w:rPr>
        <w:t>omaan omaisuuteen. Pankkien taseiden tervehdyttämisessä on edistytty, ja Italian pankkisektori palautui kannattavaksi vuonna 2017. Haavoittuvuustekijät eivät kuitenkaan ole poistuneet, etenkään kun on kyse sellaisista pienistä ja keskisuurista pankeista, j</w:t>
      </w:r>
      <w:r>
        <w:rPr>
          <w:rFonts w:ascii="Times New Roman" w:hAnsi="Times New Roman"/>
          <w:noProof/>
          <w:color w:val="000000"/>
          <w:lang w:val="fi-FI" w:eastAsia="fi-FI" w:bidi="fi-FI"/>
        </w:rPr>
        <w:t>oilla on yhä runsaasti järjestämättömiä lainoja ja jotka ovat alttiimpia valtioriskille kuin suuret pankit. Työmarkkinaolosuhteet ovat vähitellen parantumassa, mutta työttömyysaste on edelleen korkea, huomattavasti korkeampi kuin ennen kriisiä, erityisesti</w:t>
      </w:r>
      <w:r>
        <w:rPr>
          <w:rFonts w:ascii="Times New Roman" w:hAnsi="Times New Roman"/>
          <w:noProof/>
          <w:color w:val="000000"/>
          <w:lang w:val="fi-FI" w:eastAsia="fi-FI" w:bidi="fi-FI"/>
        </w:rPr>
        <w:t xml:space="preserve"> nuorten ja pitkäaikaistyöttömien osalta. Yleinen työvoimaosuus on kasvamassa, mutta se on edelleen euroalueen keskiarvon alapuolella. Italian makrotalouden epätasapainojen kasvu on pysähtynyt käynnissä olevan elpymisen ansiosta. Epätasapainot ovat kuitenk</w:t>
      </w:r>
      <w:r>
        <w:rPr>
          <w:rFonts w:ascii="Times New Roman" w:hAnsi="Times New Roman"/>
          <w:noProof/>
          <w:color w:val="000000"/>
          <w:lang w:val="fi-FI" w:eastAsia="fi-FI" w:bidi="fi-FI"/>
        </w:rPr>
        <w:t xml:space="preserve">in edelleen huomattavia, ja niiden purkautuminen etenee vain vähitellen. Reaalisen BKT:n kasvun hidastuminen ja uudet jännitteet valtion joukkolainamarkkinoilla saattavat heikentää tähän mennessä saavutettua edistystä. </w:t>
      </w:r>
    </w:p>
    <w:p w:rsidR="00876CA6" w:rsidRDefault="00876CA6">
      <w:pPr>
        <w:autoSpaceDE w:val="0"/>
        <w:autoSpaceDN w:val="0"/>
        <w:adjustRightInd w:val="0"/>
        <w:spacing w:after="0" w:line="240" w:lineRule="auto"/>
        <w:jc w:val="both"/>
        <w:rPr>
          <w:rFonts w:ascii="Times New Roman" w:eastAsia="Times New Roman" w:hAnsi="Times New Roman" w:cs="Times New Roman"/>
          <w:noProof/>
          <w:color w:val="000000"/>
          <w:lang w:val="fi-FI" w:eastAsia="fi-FI" w:bidi="fi-FI"/>
        </w:rPr>
      </w:pP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w:t>
      </w:r>
      <w:r>
        <w:rPr>
          <w:rFonts w:ascii="Times New Roman" w:hAnsi="Times New Roman"/>
          <w:i/>
          <w:noProof/>
          <w:lang w:val="fi-FI" w:eastAsia="fi-FI" w:bidi="fi-FI"/>
        </w:rPr>
        <w:t>in nousevat kysymykset, jotka liittyvät julkisen velan suureen määrään tilanteessa, jossa markkinat ovat aiempaa epävakaammat ja työttömyys korkea. Tuottavuuden kehitys on edelleen heikkoa, ja pankkien ja valtioiden välinen negatiivinen kierre aiheuttaa jä</w:t>
      </w:r>
      <w:r>
        <w:rPr>
          <w:rFonts w:ascii="Times New Roman" w:hAnsi="Times New Roman"/>
          <w:i/>
          <w:noProof/>
          <w:lang w:val="fi-FI" w:eastAsia="fi-FI" w:bidi="fi-FI"/>
        </w:rPr>
        <w:t>lleen huolta. Komissio katsoo tämän vuoksi ja myös ottaen huomioon maaliskuussa 2018 havaittu liiallinen epätasapaino, että on aiheellista selvittää tarkemmin, missä määrin makrotaloudessa on edelleen riskejä, sekä seurata, edistytäänkö liiallisten epätasa</w:t>
      </w:r>
      <w:r>
        <w:rPr>
          <w:rFonts w:ascii="Times New Roman" w:hAnsi="Times New Roman"/>
          <w:i/>
          <w:noProof/>
          <w:lang w:val="fi-FI" w:eastAsia="fi-FI" w:bidi="fi-FI"/>
        </w:rPr>
        <w:t>painojen purkamisessa.</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Kypros:</w:t>
      </w:r>
      <w:r>
        <w:rPr>
          <w:rFonts w:ascii="Times New Roman" w:hAnsi="Times New Roman"/>
          <w:noProof/>
          <w:lang w:val="fi-FI" w:eastAsia="fi-FI" w:bidi="fi-FI"/>
        </w:rPr>
        <w:t xml:space="preserve"> Komissio päätteli maaliskuussa 2018, että Kyproksella oli </w:t>
      </w:r>
      <w:r>
        <w:rPr>
          <w:rFonts w:ascii="Times New Roman" w:hAnsi="Times New Roman"/>
          <w:i/>
          <w:noProof/>
          <w:lang w:val="fi-FI" w:eastAsia="fi-FI" w:bidi="fi-FI"/>
        </w:rPr>
        <w:t>liiallisia makrotalouden epätasapainotiloja</w:t>
      </w:r>
      <w:r>
        <w:rPr>
          <w:rFonts w:ascii="Times New Roman" w:hAnsi="Times New Roman"/>
          <w:noProof/>
          <w:lang w:val="fi-FI" w:eastAsia="fi-FI" w:bidi="fi-FI"/>
        </w:rPr>
        <w:t>, jotka liittyivät erityisesti yksityisen, julkisen ja ulkomaisen velan suureen määrään ja järjestämättömien lainojen suure</w:t>
      </w:r>
      <w:r>
        <w:rPr>
          <w:rFonts w:ascii="Times New Roman" w:hAnsi="Times New Roman"/>
          <w:noProof/>
          <w:lang w:val="fi-FI" w:eastAsia="fi-FI" w:bidi="fi-FI"/>
        </w:rPr>
        <w:t>en osuuteen pankkijärjestelmässä. Ajan tasalle saatetussa tulostaulussa seuraavat indikaattorit ylittävät ohjeelliset kynnysarvot vuonna 2017: vaihtotase, ulkomainen nettovarallisuusasema, reaalinen efektiivinen valuuttakurssi, yksityissektorin velka, julk</w:t>
      </w:r>
      <w:r>
        <w:rPr>
          <w:rFonts w:ascii="Times New Roman" w:hAnsi="Times New Roman"/>
          <w:noProof/>
          <w:lang w:val="fi-FI" w:eastAsia="fi-FI" w:bidi="fi-FI"/>
        </w:rPr>
        <w:t xml:space="preserve">inen velka, työttömyysaste ja työvoimaosuuden muutos.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0528" behindDoc="0" locked="0" layoutInCell="1" allowOverlap="1">
            <wp:simplePos x="0" y="0"/>
            <wp:positionH relativeFrom="column">
              <wp:posOffset>3062605</wp:posOffset>
            </wp:positionH>
            <wp:positionV relativeFrom="paragraph">
              <wp:posOffset>19685</wp:posOffset>
            </wp:positionV>
            <wp:extent cx="2720340" cy="275082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034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Vaihtotaseen alijäämä kasvoi vuonna 2017 tuonnin vahvan kasvun ansiosta, ja negatiivinen ulkomainen nettovarallisuusasema on edelleen huomattava. Kustannuskilpailukyvyn sopeutus väheni hieman, koska y</w:t>
      </w:r>
      <w:r>
        <w:rPr>
          <w:rFonts w:ascii="Times New Roman" w:hAnsi="Times New Roman"/>
          <w:noProof/>
          <w:lang w:val="fi-FI" w:eastAsia="fi-FI" w:bidi="fi-FI"/>
        </w:rPr>
        <w:t>ksikkötyökustannukset kasvoivat hivenen ja reaalinen efektiivinen valuuttakurssi vakiintui. Yksityisen sektorin velkaantuneisuuden taso on EU:n korkeimpia niin kotitalouksien kuin yritystenkin osalta, ja velkaantumisen purkaminen on hidasta. Erityisesti ko</w:t>
      </w:r>
      <w:r>
        <w:rPr>
          <w:rFonts w:ascii="Times New Roman" w:hAnsi="Times New Roman"/>
          <w:noProof/>
          <w:lang w:val="fi-FI" w:eastAsia="fi-FI" w:bidi="fi-FI"/>
        </w:rPr>
        <w:t>titalouksien säästöt ovat negatiiviset. Asuntojen reaalihintojen tarkistus alaspäin on ohittanut huippunsa, ja asuntojen hinnat ovat alkaneet nousta maltillisesti. Järjestämättömien lainojen erittäin suuri määrä haittaa talouden luotonsaantia, joka on vält</w:t>
      </w:r>
      <w:r>
        <w:rPr>
          <w:rFonts w:ascii="Times New Roman" w:hAnsi="Times New Roman"/>
          <w:noProof/>
          <w:lang w:val="fi-FI" w:eastAsia="fi-FI" w:bidi="fi-FI"/>
        </w:rPr>
        <w:t>tämätöntä, jotta potentiaalista kasvua voitaisiin tukea keskipitkällä aikavälillä. Julkinen velka suhteessa BKT:hen on edelleen hyvin suuri. Työttömyys vähenee nopeasti, mutta työttömyysaste on silti korkea etenkin nuorten keskuudessa, vaikka pitkäaikaisty</w:t>
      </w:r>
      <w:r>
        <w:rPr>
          <w:rFonts w:ascii="Times New Roman" w:hAnsi="Times New Roman"/>
          <w:noProof/>
          <w:lang w:val="fi-FI" w:eastAsia="fi-FI" w:bidi="fi-FI"/>
        </w:rPr>
        <w:t>öttömyys ja nuorisotyöttömyys ovatkin vähentyneet kolmen viime vuoden aikana.</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kysymykset, jotka liittyvät ulkoiseen kestävyyteen, yksityiseen ja julkiseen velkaan, rahoitusalan haavoittuvuustekijöihin ja työma</w:t>
      </w:r>
      <w:r>
        <w:rPr>
          <w:rFonts w:ascii="Times New Roman" w:hAnsi="Times New Roman"/>
          <w:i/>
          <w:noProof/>
          <w:lang w:val="fi-FI" w:eastAsia="fi-FI" w:bidi="fi-FI"/>
        </w:rPr>
        <w:t>rkkinoiden sopeutukseen. Komissio katsoo tämän vuoksi ja myös ottaen huomioon maaliskuussa 2018 havaittu liiallinen epätasapaino, että on hyödyllistä selvittää tarkemmin, missä määrin makrotaloudessa on edelleen riskejä, sekä seurata, edistytäänkö liiallis</w:t>
      </w:r>
      <w:r>
        <w:rPr>
          <w:rFonts w:ascii="Times New Roman" w:hAnsi="Times New Roman"/>
          <w:i/>
          <w:noProof/>
          <w:lang w:val="fi-FI" w:eastAsia="fi-FI" w:bidi="fi-FI"/>
        </w:rPr>
        <w:t>ten epätasapainojen purkamisessa.</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jc w:val="both"/>
        <w:rPr>
          <w:rFonts w:ascii="Times New Roman" w:eastAsia="Calibri" w:hAnsi="Times New Roman" w:cs="Times New Roman"/>
          <w:b/>
          <w:bCs/>
          <w:noProof/>
          <w:lang w:val="fi-FI" w:eastAsia="fi-FI" w:bidi="fi-FI"/>
        </w:rPr>
      </w:pPr>
      <w:r>
        <w:rPr>
          <w:rFonts w:ascii="Times New Roman" w:hAnsi="Times New Roman"/>
          <w:b/>
          <w:noProof/>
          <w:lang w:val="fi-FI" w:eastAsia="fi-FI" w:bidi="fi-FI"/>
        </w:rPr>
        <w:t xml:space="preserve">Latvia: </w:t>
      </w:r>
      <w:r>
        <w:rPr>
          <w:rFonts w:ascii="Times New Roman" w:hAnsi="Times New Roman"/>
          <w:noProof/>
          <w:lang w:val="fi-FI" w:eastAsia="fi-FI" w:bidi="fi-FI"/>
        </w:rPr>
        <w:t xml:space="preserve">Makrotalouden epätasapainoa koskevan menettelyn edellisellä kierroksella Latvialla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xml:space="preserve">. Ajan tasalle saatetussa tulostaulussa seuraavat indikaattorit ylittävät ohjeelliset kynnysarvot: ulkomainen nettovarallisuusasema ja yksikkötyökustannusten kasvu. </w:t>
      </w:r>
    </w:p>
    <w:p w:rsidR="00876CA6" w:rsidRDefault="0031278A">
      <w:pPr>
        <w:autoSpaceDE w:val="0"/>
        <w:autoSpaceDN w:val="0"/>
        <w:adjustRightInd w:val="0"/>
        <w:spacing w:after="0" w:line="240"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1552" behindDoc="0" locked="0" layoutInCell="1" allowOverlap="1">
            <wp:simplePos x="0" y="0"/>
            <wp:positionH relativeFrom="column">
              <wp:posOffset>3336925</wp:posOffset>
            </wp:positionH>
            <wp:positionV relativeFrom="paragraph">
              <wp:posOffset>61595</wp:posOffset>
            </wp:positionV>
            <wp:extent cx="2595245" cy="28956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524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 on pääpiirteissään tasapainossa, ja negatiivinen ulkomainen nettovarallisuusas</w:t>
      </w:r>
      <w:r>
        <w:rPr>
          <w:rFonts w:ascii="Times New Roman" w:hAnsi="Times New Roman"/>
          <w:noProof/>
          <w:lang w:val="fi-FI" w:eastAsia="fi-FI" w:bidi="fi-FI"/>
        </w:rPr>
        <w:t>ema, joka muodostuu suurelta osin suorista ulkomaisista sijoituksista, on parantunut nimellisen BKT:n vahvan kasvun ansiosta, vaikka se onkin edelleen kynnysarvon yläpuolella. Yksikkötyökustannukset ovat suhteellisesti tarkasteltuna kasvaneet nopeasti usei</w:t>
      </w:r>
      <w:r>
        <w:rPr>
          <w:rFonts w:ascii="Times New Roman" w:hAnsi="Times New Roman"/>
          <w:noProof/>
          <w:lang w:val="fi-FI" w:eastAsia="fi-FI" w:bidi="fi-FI"/>
        </w:rPr>
        <w:t>den vuosien ajan, mikä heijastaa vahvaa palkkojen kasvua ja kireitä työmarkkinoita, ja indikaattori on ylittänyt tulostaulun kynnysarvon vuodesta 2014. Vaikutukset ulkoiseen hintakilpailukykyyn ja vientimenestykseen ovat tähän asti olleet vähäiset, mikä jo</w:t>
      </w:r>
      <w:r>
        <w:rPr>
          <w:rFonts w:ascii="Times New Roman" w:hAnsi="Times New Roman"/>
          <w:noProof/>
          <w:lang w:val="fi-FI" w:eastAsia="fi-FI" w:bidi="fi-FI"/>
        </w:rPr>
        <w:t xml:space="preserve">htuu osittain siitä, että voittomarginaalit ovat pienentyneet. Työmarkkinoiden kiristymisen vuoksi palkkojen kasvun odotetaan jatkuvan vahvana. Kaiken kaikkiaan tämä kehitys vaarantaa maan kilpailukyvyn ja kasvunäkymät keskipitkällä aikavälillä. Asuntojen </w:t>
      </w:r>
      <w:r>
        <w:rPr>
          <w:rFonts w:ascii="Times New Roman" w:hAnsi="Times New Roman"/>
          <w:noProof/>
          <w:lang w:val="fi-FI" w:eastAsia="fi-FI" w:bidi="fi-FI"/>
        </w:rPr>
        <w:t>reaalihintojen nousu on pysynyt dynaamisena. Vaikka asuntojen hintojen nousu hidastui vuonna 2017 vuoteen 2016 verrattuna, se on kiihtynyt jälleen vuoden 2018 ensimmäisellä puoliskolla. Luotonannon kasvu on ollut yleisesti vaimeaa. Julkista ja yksityistä v</w:t>
      </w:r>
      <w:r>
        <w:rPr>
          <w:rFonts w:ascii="Times New Roman" w:hAnsi="Times New Roman"/>
          <w:noProof/>
          <w:lang w:val="fi-FI" w:eastAsia="fi-FI" w:bidi="fi-FI"/>
        </w:rPr>
        <w:t xml:space="preserve">elkaa on melko vähän. </w:t>
      </w:r>
    </w:p>
    <w:p w:rsidR="00876CA6" w:rsidRDefault="00876CA6">
      <w:pPr>
        <w:autoSpaceDE w:val="0"/>
        <w:autoSpaceDN w:val="0"/>
        <w:adjustRightInd w:val="0"/>
        <w:spacing w:after="0" w:line="240" w:lineRule="auto"/>
        <w:jc w:val="both"/>
        <w:rPr>
          <w:rFonts w:ascii="Times New Roman" w:eastAsia="Calibri" w:hAnsi="Times New Roman" w:cs="Times New Roman"/>
          <w:noProof/>
          <w:lang w:val="fi-FI" w:eastAsia="fi-FI" w:bidi="fi-FI"/>
        </w:rPr>
      </w:pPr>
    </w:p>
    <w:p w:rsidR="00876CA6" w:rsidRDefault="0031278A">
      <w:pPr>
        <w:autoSpaceDE w:val="0"/>
        <w:autoSpaceDN w:val="0"/>
        <w:adjustRightInd w:val="0"/>
        <w:spacing w:after="0" w:line="240"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 xml:space="preserve">Talouspoliittisissa päätelmissä esiin nousevat työmarkkinoiden kehitykseen ja ulkoiseen kilpailukykyyn liittyvät kysymykset, vaikka riskit näyttävät olevan tässä vaiheessa hallinnassa. Tästä syystä komissio ei tässä vaiheessa katso </w:t>
      </w:r>
      <w:r>
        <w:rPr>
          <w:rFonts w:ascii="Times New Roman" w:hAnsi="Times New Roman"/>
          <w:i/>
          <w:noProof/>
          <w:lang w:val="fi-FI" w:eastAsia="fi-FI" w:bidi="fi-FI"/>
        </w:rPr>
        <w:t xml:space="preserve">tarpeelliseksi ryhtyä perusteellisiin jatkotutkimuksiin makrotalouden epätasapainoa koskevan menettelyn yhteydessä. </w:t>
      </w:r>
    </w:p>
    <w:p w:rsidR="00876CA6" w:rsidRDefault="00876CA6">
      <w:pPr>
        <w:rPr>
          <w:rFonts w:ascii="Times New Roman" w:eastAsia="Calibri" w:hAnsi="Times New Roman" w:cs="Times New Roman"/>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2576" behindDoc="0" locked="0" layoutInCell="1" allowOverlap="1">
            <wp:simplePos x="0" y="0"/>
            <wp:positionH relativeFrom="column">
              <wp:posOffset>3414395</wp:posOffset>
            </wp:positionH>
            <wp:positionV relativeFrom="paragraph">
              <wp:posOffset>75565</wp:posOffset>
            </wp:positionV>
            <wp:extent cx="2284730" cy="2697480"/>
            <wp:effectExtent l="0" t="0" r="127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473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Liettua:</w:t>
      </w:r>
      <w:r>
        <w:rPr>
          <w:rFonts w:ascii="Times New Roman" w:hAnsi="Times New Roman"/>
          <w:noProof/>
          <w:lang w:val="fi-FI" w:eastAsia="fi-FI" w:bidi="fi-FI"/>
        </w:rPr>
        <w:t xml:space="preserve"> Makrotalouden epätasapainoa koskevan menettelyn edellisillä kierroksilla Liettualla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seuraavat indikaattorit ylittävät ohjeelliset kynnysarvot: ulkomainen nettovarallisuusasema ja nimelliset yksikkötyökustannukset.</w:t>
      </w:r>
      <w:r>
        <w:rPr>
          <w:rFonts w:ascii="Times New Roman" w:hAnsi="Times New Roman"/>
          <w:i/>
          <w:noProof/>
          <w:lang w:val="fi-FI" w:eastAsia="fi-FI" w:bidi="fi-FI"/>
        </w:rPr>
        <w:t xml:space="preserve"> </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Vaihtotase on pitkälti tasapainossa. Negatiivinen ulkomainen nettovarallisuusasema, j</w:t>
      </w:r>
      <w:r>
        <w:rPr>
          <w:rFonts w:ascii="Times New Roman" w:hAnsi="Times New Roman"/>
          <w:noProof/>
          <w:lang w:val="fi-FI" w:eastAsia="fi-FI" w:bidi="fi-FI"/>
        </w:rPr>
        <w:t>oka muodostuu suurelta osin suorista ulkomaisista sijoituksista, on nimellisen BKT:n vahvan kasvun ansiosta parantunut, vaikka se onkin edelleen hieman kynnysarvon yläpuolella. Yksikkötyökustannukset ovat suhteellisesti tarkasteltuna kasvaneet nopeasti use</w:t>
      </w:r>
      <w:r>
        <w:rPr>
          <w:rFonts w:ascii="Times New Roman" w:hAnsi="Times New Roman"/>
          <w:noProof/>
          <w:lang w:val="fi-FI" w:eastAsia="fi-FI" w:bidi="fi-FI"/>
        </w:rPr>
        <w:t>iden vuosien ajan, ja indikaattori on ylittänyt tulostaulun ohjeellisen kynnysarvon vuodesta 2015. Kasvu on ollut seurausta kireisiin työmarkkinoihin liittyvästä palkkojen voimakkaasta noususta ja muun muassa minipalkan nopeasta noususta vuoden 2016 jälkee</w:t>
      </w:r>
      <w:r>
        <w:rPr>
          <w:rFonts w:ascii="Times New Roman" w:hAnsi="Times New Roman"/>
          <w:noProof/>
          <w:lang w:val="fi-FI" w:eastAsia="fi-FI" w:bidi="fi-FI"/>
        </w:rPr>
        <w:t>n. Työvoimakustannusten nousun vaikutukset ulkoiseen kustannuskilpailukykyyn ja vientimenestykseen ovat tähän asti olleet vähäiset. Tämä johtuu osittain siitä, että voittomarginaalit ovat pienentyneet, mikä ei välttämättä ole kestävä suuntaus pidemmällä ai</w:t>
      </w:r>
      <w:r>
        <w:rPr>
          <w:rFonts w:ascii="Times New Roman" w:hAnsi="Times New Roman"/>
          <w:noProof/>
          <w:lang w:val="fi-FI" w:eastAsia="fi-FI" w:bidi="fi-FI"/>
        </w:rPr>
        <w:t>kavälillä. Työttömyyden vähenemisen ja työmarkkinoiden kiristymisen vuoksi palkkojen kasvun odotetaan jatkuvan vahvana. Kaiken kaikkiaan tämä kehitys saattaa heikentää maan kilpailukykyä ja kasvunäkymiä keskipitkällä aikavälillä. Asuntohintojen kasvu on ol</w:t>
      </w:r>
      <w:r>
        <w:rPr>
          <w:rFonts w:ascii="Times New Roman" w:hAnsi="Times New Roman"/>
          <w:noProof/>
          <w:lang w:val="fi-FI" w:eastAsia="fi-FI" w:bidi="fi-FI"/>
        </w:rPr>
        <w:t>lut dynaamista viime vuosina. Hinnat ovat nousseet vähitellen, ja ne ovat edelleen kynnysarvon alapuolella. Luotonannon kasvu on nopeutunut. Julkisen ja yksityisen velan määrä on edelleen suhteellinen vähäinen ja vakaa.</w:t>
      </w:r>
    </w:p>
    <w:p w:rsidR="00876CA6" w:rsidRDefault="0031278A">
      <w:pPr>
        <w:autoSpaceDE w:val="0"/>
        <w:autoSpaceDN w:val="0"/>
        <w:adjustRightInd w:val="0"/>
        <w:spacing w:after="0" w:line="240"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w:t>
      </w:r>
      <w:r>
        <w:rPr>
          <w:rFonts w:ascii="Times New Roman" w:hAnsi="Times New Roman"/>
          <w:i/>
          <w:noProof/>
          <w:lang w:val="fi-FI" w:eastAsia="fi-FI" w:bidi="fi-FI"/>
        </w:rPr>
        <w:t>n nousevat yksikkötyökustannusten kehitykseen ja ulkoiseen kilpailukykyyn liittyvät kysymykset, vaikka riskit näyttävät olevan tässä vaiheessa hallinnassa. Tästä syystä komissio ei tässä vaiheessa katso tarpeelliseksi ryhtyä perusteellisiin jatkotutkimuksi</w:t>
      </w:r>
      <w:r>
        <w:rPr>
          <w:rFonts w:ascii="Times New Roman" w:hAnsi="Times New Roman"/>
          <w:i/>
          <w:noProof/>
          <w:lang w:val="fi-FI" w:eastAsia="fi-FI" w:bidi="fi-FI"/>
        </w:rPr>
        <w:t>in makrotalouden epätasapainoa koskevan menettelyn yhteydessä.</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3600" behindDoc="0" locked="0" layoutInCell="1" allowOverlap="1">
            <wp:simplePos x="0" y="0"/>
            <wp:positionH relativeFrom="column">
              <wp:posOffset>3146425</wp:posOffset>
            </wp:positionH>
            <wp:positionV relativeFrom="paragraph">
              <wp:posOffset>147320</wp:posOffset>
            </wp:positionV>
            <wp:extent cx="2416810" cy="252222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681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Luxemburg:</w:t>
      </w:r>
      <w:r>
        <w:rPr>
          <w:rFonts w:ascii="Times New Roman" w:hAnsi="Times New Roman"/>
          <w:noProof/>
          <w:lang w:val="fi-FI" w:eastAsia="fi-FI" w:bidi="fi-FI"/>
        </w:rPr>
        <w:t xml:space="preserve"> Makrotalouden epätasapainoa koskevan menettelyn edellisellä kierroksella Luxemburgilla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seuraavat</w:t>
      </w:r>
      <w:r>
        <w:rPr>
          <w:rFonts w:ascii="Times New Roman" w:hAnsi="Times New Roman"/>
          <w:noProof/>
          <w:lang w:val="fi-FI" w:eastAsia="fi-FI" w:bidi="fi-FI"/>
        </w:rPr>
        <w:t xml:space="preserve"> indikaattorit ylittävät ohjeelliset kynnysarvot: yksityisen sektorin velkaantuneisuus, työvoimaosuuden muutos ja pitkäaikaistyöttömyysaste. </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Ulkoiselle rahoitusasemalle on edelleen ominaista vakaa vaihtotaseen ylijäämä ja vakaa positiivinen ulkomainen net</w:t>
      </w:r>
      <w:r>
        <w:rPr>
          <w:rFonts w:ascii="Times New Roman" w:hAnsi="Times New Roman"/>
          <w:noProof/>
          <w:lang w:val="fi-FI" w:eastAsia="fi-FI" w:bidi="fi-FI"/>
        </w:rPr>
        <w:t>tovarallisuusasema. Maan asema kansainvälisenä rahoituskeskuksena vaikuttaa kuitenkin näihin lukuihin enemmän kuin kotimaan talouden toiminta. Vientimarkkinaosuuksien kumulatiivinen kasvu on tasaantunut. Aivan viime aikoina on kuitenkin tapahtunut joitakin</w:t>
      </w:r>
      <w:r>
        <w:rPr>
          <w:rFonts w:ascii="Times New Roman" w:hAnsi="Times New Roman"/>
          <w:noProof/>
          <w:lang w:val="fi-FI" w:eastAsia="fi-FI" w:bidi="fi-FI"/>
        </w:rPr>
        <w:t xml:space="preserve"> vientimarkkinaosuuksien menetyksiä, jotka ovat osaltaan seurausta heikentyneestä kustannuskilpailukyvystä. Kustannuskilpailukyvyn heikentymiseen ovat puolestaan vaikuttaneet yksikkötyökustannusten kasvun nopeutuminen ja tuontihintojen kasvu. Asuntojen rea</w:t>
      </w:r>
      <w:r>
        <w:rPr>
          <w:rFonts w:ascii="Times New Roman" w:hAnsi="Times New Roman"/>
          <w:noProof/>
          <w:lang w:val="fi-FI" w:eastAsia="fi-FI" w:bidi="fi-FI"/>
        </w:rPr>
        <w:t>alihinnat ovat viime vuosikymmenen aikana kasvaneet melko voimakkaasti, ja kokonaiskehitystä on edelleen seurattava tiiviisti. Asuntojen hinnat nousevat tilanteessa, jolle ovat ominaista dynaamiset työmarkkinat, suuri nettomaahanmuutto ja suotuisat rahoitu</w:t>
      </w:r>
      <w:r>
        <w:rPr>
          <w:rFonts w:ascii="Times New Roman" w:hAnsi="Times New Roman"/>
          <w:noProof/>
          <w:lang w:val="fi-FI" w:eastAsia="fi-FI" w:bidi="fi-FI"/>
        </w:rPr>
        <w:t>sehdot. Sen sijaan asuntojen tarjonta on edelleen melko rajallista, eikä se riitä kattamaan voimakasta kysyntää. Asumisen kohtuuhintaisuus heikkenee edelleen, sillä asuntojen hinnat nousevat jatkuvasti. Yrityssektorin velan määrä on hyvin suuri, mutta velk</w:t>
      </w:r>
      <w:r>
        <w:rPr>
          <w:rFonts w:ascii="Times New Roman" w:hAnsi="Times New Roman"/>
          <w:noProof/>
          <w:lang w:val="fi-FI" w:eastAsia="fi-FI" w:bidi="fi-FI"/>
        </w:rPr>
        <w:t>aantuminen liittyy pääasiassa rajat ylittäviin konsernilainoihin. Kotitalouksien velka, joka muodostuu pääasiassa asuntolainoista, on lisääntynyt tasaisesti, mikä kuvastaa kiinteistömarkkinoiden dynaamista kehitystä ja suotuisia luottoehtoja. Vaikka matala</w:t>
      </w:r>
      <w:r>
        <w:rPr>
          <w:rFonts w:ascii="Times New Roman" w:hAnsi="Times New Roman"/>
          <w:noProof/>
          <w:lang w:val="fi-FI" w:eastAsia="fi-FI" w:bidi="fi-FI"/>
        </w:rPr>
        <w:t>mmat korot ja asuntolainojen pitkät laina-ajat ovat vähentäneet kotitalouksien taloudellisia rasitteita ja vaikka suurin osa uusista asuntolainoista on kiinteäkorkoisia, suuri osa velallisista kotitalouksista on edelleen alttiina korkojen nousulle. Maan ra</w:t>
      </w:r>
      <w:r>
        <w:rPr>
          <w:rFonts w:ascii="Times New Roman" w:hAnsi="Times New Roman"/>
          <w:noProof/>
          <w:lang w:val="fi-FI" w:eastAsia="fi-FI" w:bidi="fi-FI"/>
        </w:rPr>
        <w:t>hoitusvakauteen kohdistuvia riskejä lieventää kuitenkin pankkisektorin vakaus. Julkisen velan määrä on edelleen erittäin pieni. Talouskasvun viimeaikaisesta hidastumisesta huolimatta työmarkkinat kiristyvät ja työttömyys vähenee edelleen.</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w:t>
      </w:r>
      <w:r>
        <w:rPr>
          <w:rFonts w:ascii="Times New Roman" w:hAnsi="Times New Roman"/>
          <w:i/>
          <w:noProof/>
          <w:lang w:val="fi-FI" w:eastAsia="fi-FI" w:bidi="fi-FI"/>
        </w:rPr>
        <w:t>sa päätelmissä esiin nousevat eräät pääasiassa asuntojen hintojen jatkuvaan nousuun ja kotitalouksien velkaan liittyvät hallitut riskit. Tästä syystä komissio ei tässä vaiheessa ryhdy perusteellisiin jatkotutkimuksiin makrotalouden epätasapainoa koskevan m</w:t>
      </w:r>
      <w:r>
        <w:rPr>
          <w:rFonts w:ascii="Times New Roman" w:hAnsi="Times New Roman"/>
          <w:i/>
          <w:noProof/>
          <w:lang w:val="fi-FI" w:eastAsia="fi-FI" w:bidi="fi-FI"/>
        </w:rPr>
        <w:t>enettelyn yhteydessä.</w:t>
      </w:r>
    </w:p>
    <w:p w:rsidR="00876CA6" w:rsidRDefault="00876CA6">
      <w:pPr>
        <w:rPr>
          <w:rFonts w:ascii="Times New Roman" w:eastAsia="Calibri" w:hAnsi="Times New Roman" w:cs="Times New Roman"/>
          <w:b/>
          <w:bCs/>
          <w:noProof/>
          <w:lang w:val="fi-FI" w:eastAsia="fi-FI" w:bidi="fi-FI"/>
        </w:rPr>
      </w:pPr>
    </w:p>
    <w:p w:rsidR="00876CA6" w:rsidRDefault="0031278A">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 xml:space="preserve">Unkari: </w:t>
      </w:r>
      <w:r>
        <w:rPr>
          <w:rFonts w:ascii="Times New Roman" w:hAnsi="Times New Roman"/>
          <w:noProof/>
          <w:lang w:val="fi-FI" w:eastAsia="fi-FI" w:bidi="fi-FI"/>
        </w:rPr>
        <w:t xml:space="preserve">Makrotalouden epätasapainoa koskevan menettelyn edellisellä kierroksella Unkarilla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seuraavat indikaattorit ylittävät ohjeelliset kynnysarvot:</w:t>
      </w:r>
      <w:r>
        <w:rPr>
          <w:rFonts w:ascii="Times New Roman" w:hAnsi="Times New Roman"/>
          <w:noProof/>
          <w:lang w:val="fi-FI" w:eastAsia="fi-FI" w:bidi="fi-FI"/>
        </w:rPr>
        <w:t xml:space="preserve"> ulkomainen nettovarallisuusasema ja julkinen velka. </w:t>
      </w:r>
    </w:p>
    <w:p w:rsidR="00876CA6" w:rsidRDefault="0031278A">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4624" behindDoc="0" locked="0" layoutInCell="1" allowOverlap="1">
            <wp:simplePos x="0" y="0"/>
            <wp:positionH relativeFrom="column">
              <wp:posOffset>3093085</wp:posOffset>
            </wp:positionH>
            <wp:positionV relativeFrom="paragraph">
              <wp:posOffset>57150</wp:posOffset>
            </wp:positionV>
            <wp:extent cx="2612390" cy="2399030"/>
            <wp:effectExtent l="0" t="0" r="0" b="12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239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Viime vuosien vaihtotaseen ylijäämä on merkinnyt pääasiassa suorista ulkomaisista sijoituksista muodostuvan negatiivisen ulkomaisen nettovarallisuusaseman nopeaa ja kestävää paranemista. Vientimarkkinaosuudet kasvoivat vuonna 2017 autoteollisuuden kasvun t</w:t>
      </w:r>
      <w:r>
        <w:rPr>
          <w:rFonts w:ascii="Times New Roman" w:hAnsi="Times New Roman"/>
          <w:noProof/>
          <w:lang w:val="fi-FI" w:eastAsia="fi-FI" w:bidi="fi-FI"/>
        </w:rPr>
        <w:t>ukemana. Nimelliset yksikkötyökustannukset ovat kasvaneet merkittävästi työmarkkinoiden kiristyessä. Työvoimakustannuksia kasvattivat myös hallinnolliset palkankorotukset, jotka kuitenkin osittain kompensoituivat työnantajien sosiaaliturvamaksujen vähennyk</w:t>
      </w:r>
      <w:r>
        <w:rPr>
          <w:rFonts w:ascii="Times New Roman" w:hAnsi="Times New Roman"/>
          <w:noProof/>
          <w:lang w:val="fi-FI" w:eastAsia="fi-FI" w:bidi="fi-FI"/>
        </w:rPr>
        <w:t>sillä. Luottovirrat yksityissektorille kääntyivät positiivisiksi, mutta yksityissektorin luotot vähenivät edelleen vuonna 2017. Asuntojen reaalihintojen nousu on tasaantunut aiempien vuosien merkittävän hintojen nousun jälkeen. Asuntojen merkittävää arvonn</w:t>
      </w:r>
      <w:r>
        <w:rPr>
          <w:rFonts w:ascii="Times New Roman" w:hAnsi="Times New Roman"/>
          <w:noProof/>
          <w:lang w:val="fi-FI" w:eastAsia="fi-FI" w:bidi="fi-FI"/>
        </w:rPr>
        <w:t>ousua eräillä alueilla ja asuntolainojen määrän nopeaa kasvua olisi kuitenkin seurattava. Kiinteistömarkkinoiden käynnissä oleva elpyminen voi auttaa vähentämään järjestämättömien lainojen määrää, joka on edelleen suuri. Pankkisektori on parantanut kannatt</w:t>
      </w:r>
      <w:r>
        <w:rPr>
          <w:rFonts w:ascii="Times New Roman" w:hAnsi="Times New Roman"/>
          <w:noProof/>
          <w:lang w:val="fi-FI" w:eastAsia="fi-FI" w:bidi="fi-FI"/>
        </w:rPr>
        <w:t xml:space="preserve">avuuttaan ja häiriönsietokykyään. Julkinen velka on suotuisasta suhdannetilanteesta huolimatta supistunut myötäsyklisen finanssipolitiikan seurauksena vain vähitellen. Työttömyys laski ennätyksellisen alhaiselle tasolle, ja kiristyvät työmarkkinat tukivat </w:t>
      </w:r>
      <w:r>
        <w:rPr>
          <w:rFonts w:ascii="Times New Roman" w:hAnsi="Times New Roman"/>
          <w:noProof/>
          <w:lang w:val="fi-FI" w:eastAsia="fi-FI" w:bidi="fi-FI"/>
        </w:rPr>
        <w:t xml:space="preserve">osaltaan palkkojen nopeaa nousua, joka ylitti edelleen tuottavuuden kasvun. </w:t>
      </w:r>
    </w:p>
    <w:p w:rsidR="00876CA6" w:rsidRDefault="0031278A">
      <w:pPr>
        <w:autoSpaceDE w:val="0"/>
        <w:autoSpaceDN w:val="0"/>
        <w:adjustRightInd w:val="0"/>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asuntomarkkinoihin ja kiristyviin työmarkkinoihin liittyvät kysymykset, mutta riskit näyttävät olevan hallinnassa. Komissio ei tässä</w:t>
      </w:r>
      <w:r>
        <w:rPr>
          <w:rFonts w:ascii="Times New Roman" w:hAnsi="Times New Roman"/>
          <w:i/>
          <w:noProof/>
          <w:lang w:val="fi-FI" w:eastAsia="fi-FI" w:bidi="fi-FI"/>
        </w:rPr>
        <w:t xml:space="preserve"> vaiheessa ryhdy perusteellisiin jatkotutkimuksiin makrotalouden epätasapainoa koskevan menettelyn yhteydessä. </w:t>
      </w:r>
    </w:p>
    <w:p w:rsidR="00876CA6" w:rsidRDefault="00876CA6">
      <w:pPr>
        <w:spacing w:after="160" w:line="259" w:lineRule="auto"/>
        <w:rPr>
          <w:rFonts w:ascii="Times New Roman" w:eastAsia="Calibri" w:hAnsi="Times New Roman" w:cs="Times New Roman"/>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b/>
          <w:noProof/>
          <w:color w:val="000000"/>
          <w:lang w:val="fi-FI" w:eastAsia="fi-FI" w:bidi="fi-FI"/>
        </w:rPr>
        <w:t>Malta</w:t>
      </w:r>
      <w:r>
        <w:rPr>
          <w:rFonts w:ascii="Times New Roman" w:hAnsi="Times New Roman"/>
          <w:noProof/>
          <w:color w:val="000000"/>
          <w:lang w:val="fi-FI" w:eastAsia="fi-FI" w:bidi="fi-FI"/>
        </w:rPr>
        <w:t xml:space="preserve">: Makrotalouden epätasapainoa koskevan menettelyn edellisellä kierroksella Maltalla </w:t>
      </w:r>
      <w:r>
        <w:rPr>
          <w:rFonts w:ascii="Times New Roman" w:hAnsi="Times New Roman"/>
          <w:i/>
          <w:noProof/>
          <w:color w:val="000000"/>
          <w:lang w:val="fi-FI" w:eastAsia="fi-FI" w:bidi="fi-FI"/>
        </w:rPr>
        <w:t>ei havaittu makrotalouden epätasapainotiloja</w:t>
      </w:r>
      <w:r>
        <w:rPr>
          <w:rFonts w:ascii="Times New Roman" w:hAnsi="Times New Roman"/>
          <w:noProof/>
          <w:color w:val="000000"/>
          <w:lang w:val="fi-FI" w:eastAsia="fi-FI" w:bidi="fi-FI"/>
        </w:rPr>
        <w:t xml:space="preserve">. Ajan </w:t>
      </w:r>
      <w:r>
        <w:rPr>
          <w:rFonts w:ascii="Times New Roman" w:hAnsi="Times New Roman"/>
          <w:noProof/>
          <w:color w:val="000000"/>
          <w:lang w:val="fi-FI" w:eastAsia="fi-FI" w:bidi="fi-FI"/>
        </w:rPr>
        <w:t>tasalle saatetussa tulostaulussa vaihtotase ylittää ohjeellisen kynnysarvon.</w:t>
      </w:r>
      <w:r>
        <w:rPr>
          <w:noProof/>
          <w:lang w:val="fi-FI" w:eastAsia="fi-FI" w:bidi="fi-FI"/>
        </w:rPr>
        <w:t xml:space="preserve"> </w:t>
      </w:r>
    </w:p>
    <w:p w:rsidR="00876CA6" w:rsidRDefault="0031278A">
      <w:pPr>
        <w:autoSpaceDE w:val="0"/>
        <w:autoSpaceDN w:val="0"/>
        <w:adjustRightInd w:val="0"/>
        <w:spacing w:before="120"/>
        <w:jc w:val="both"/>
        <w:rPr>
          <w:rFonts w:ascii="Times New Roman" w:eastAsia="Times New Roman" w:hAnsi="Times New Roman" w:cs="Times New Roman"/>
          <w:noProof/>
          <w:color w:val="000000"/>
          <w:lang w:val="fi-FI" w:eastAsia="fi-FI" w:bidi="fi-FI"/>
        </w:rPr>
      </w:pPr>
      <w:r>
        <w:rPr>
          <w:noProof/>
          <w:lang w:eastAsia="en-GB"/>
        </w:rPr>
        <w:drawing>
          <wp:anchor distT="0" distB="0" distL="114300" distR="114300" simplePos="0" relativeHeight="251675648" behindDoc="0" locked="0" layoutInCell="1" allowOverlap="1">
            <wp:simplePos x="0" y="0"/>
            <wp:positionH relativeFrom="column">
              <wp:posOffset>3359785</wp:posOffset>
            </wp:positionH>
            <wp:positionV relativeFrom="paragraph">
              <wp:posOffset>64135</wp:posOffset>
            </wp:positionV>
            <wp:extent cx="2444115" cy="250698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11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fi-FI" w:eastAsia="fi-FI" w:bidi="fi-FI"/>
        </w:rPr>
        <w:t>Vaihtotaseen suuri ylijäämä kasvoi edelleen vuonna 2017, ja se on nyt erittäin merkittävä. Samaan aikaan jo ennestään positiivinen ulkomainen nettovarallisuusasema parani huomat</w:t>
      </w:r>
      <w:r>
        <w:rPr>
          <w:rFonts w:ascii="Times New Roman" w:hAnsi="Times New Roman"/>
          <w:noProof/>
          <w:color w:val="000000"/>
          <w:lang w:val="fi-FI" w:eastAsia="fi-FI" w:bidi="fi-FI"/>
        </w:rPr>
        <w:t xml:space="preserve">tavasti. Ulkoinen rahoitusasema kuvastaa kuitenkin pikemminkin vaihteluita kansainvälisesti suuntautuneella yrityssektorilla kuin kotimaista kehitystä.  Kustannuskilpailukyvyn ja reaalisen efektiivisen valuuttakurssin kehitys on ollut melko myönteistä, ja </w:t>
      </w:r>
      <w:r>
        <w:rPr>
          <w:rFonts w:ascii="Times New Roman" w:hAnsi="Times New Roman"/>
          <w:noProof/>
          <w:color w:val="000000"/>
          <w:lang w:val="fi-FI" w:eastAsia="fi-FI" w:bidi="fi-FI"/>
        </w:rPr>
        <w:t>samaan aikaan maltillinen palkkakehitys yhdessä työvoiman tuottavuuden melko voimakkaan kasvun kanssa on pitänyt yksikkötyökustannusten kasvun maltillisena. Yksityisen sektorin velka suhteessa BKT:hen supistui nimellisen BKT:n vahvan kasvun seurauksena mer</w:t>
      </w:r>
      <w:r>
        <w:rPr>
          <w:rFonts w:ascii="Times New Roman" w:hAnsi="Times New Roman"/>
          <w:noProof/>
          <w:color w:val="000000"/>
          <w:lang w:val="fi-FI" w:eastAsia="fi-FI" w:bidi="fi-FI"/>
        </w:rPr>
        <w:t>kittävästi vuonna 2017. Vaikka yrityssektorin velkaantumisaste on edelleen korkea, kotitalouksille suunnatun luotonannon kasvu on hidastunut. Julkisen sektorin velkasuhde on ollut vankasti laskusuunnassa. Asuntojen reaalihinnat nousivat vuonna 2017, ja nii</w:t>
      </w:r>
      <w:r>
        <w:rPr>
          <w:rFonts w:ascii="Times New Roman" w:hAnsi="Times New Roman"/>
          <w:noProof/>
          <w:color w:val="000000"/>
          <w:lang w:val="fi-FI" w:eastAsia="fi-FI" w:bidi="fi-FI"/>
        </w:rPr>
        <w:t>tä on syytä seurata. Etenkin runsas talouden toimeliaisuus ja vähäiset mahdollisuudet yksityisten säästöjen sijoittamiseen ovat lisänneet uudelleen kiinnostusta asuntomarkkinoihin. Omaisuuserien laatu kotimaan pankkisektorilla on parantumaan päin, ja käyte</w:t>
      </w:r>
      <w:r>
        <w:rPr>
          <w:rFonts w:ascii="Times New Roman" w:hAnsi="Times New Roman"/>
          <w:noProof/>
          <w:color w:val="000000"/>
          <w:lang w:val="fi-FI" w:eastAsia="fi-FI" w:bidi="fi-FI"/>
        </w:rPr>
        <w:t>ttävissä olevat pääomapuskurit näyttävät riittävän kattamaan välittömät riskit, joita asuntomarkkinat tai institutionaaliset rakenteet voisivat aiheuttaa. Työmarkkinat toimivat edelleen erittäin hyvin. Työllisyys kasvaa voimakkaasti, ja jo ennestään alhain</w:t>
      </w:r>
      <w:r>
        <w:rPr>
          <w:rFonts w:ascii="Times New Roman" w:hAnsi="Times New Roman"/>
          <w:noProof/>
          <w:color w:val="000000"/>
          <w:lang w:val="fi-FI" w:eastAsia="fi-FI" w:bidi="fi-FI"/>
        </w:rPr>
        <w:t xml:space="preserve">en työttömyys vähenee. </w:t>
      </w:r>
    </w:p>
    <w:p w:rsidR="00876CA6" w:rsidRDefault="0031278A">
      <w:pPr>
        <w:autoSpaceDE w:val="0"/>
        <w:autoSpaceDN w:val="0"/>
        <w:adjustRightInd w:val="0"/>
        <w:spacing w:before="120"/>
        <w:jc w:val="both"/>
        <w:rPr>
          <w:rFonts w:ascii="Times New Roman" w:eastAsia="Times New Roman" w:hAnsi="Times New Roman" w:cs="Times New Roman"/>
          <w:i/>
          <w:iCs/>
          <w:noProof/>
          <w:color w:val="000000"/>
          <w:lang w:val="fi-FI" w:eastAsia="fi-FI" w:bidi="fi-FI"/>
        </w:rPr>
      </w:pPr>
      <w:r>
        <w:rPr>
          <w:rFonts w:ascii="Times New Roman" w:hAnsi="Times New Roman"/>
          <w:i/>
          <w:noProof/>
          <w:color w:val="000000"/>
          <w:lang w:val="fi-FI" w:eastAsia="fi-FI" w:bidi="fi-FI"/>
        </w:rPr>
        <w:t>Talouspoliittisissa päätelmissä esiin nousevat kysymykset, jotka liittyvät ulkoiseen rahoitusasemaan ja asuntomarkkinoihin tilanteessa, jossa talouskasvu on vahvaa. Riskit näyttävät kuitenkin olevan tässä vaiheessa hallinnassa. Täst</w:t>
      </w:r>
      <w:r>
        <w:rPr>
          <w:rFonts w:ascii="Times New Roman" w:hAnsi="Times New Roman"/>
          <w:i/>
          <w:noProof/>
          <w:color w:val="000000"/>
          <w:lang w:val="fi-FI" w:eastAsia="fi-FI" w:bidi="fi-FI"/>
        </w:rPr>
        <w:t>ä syystä komissio ei tässä vaiheessa ryhdy perusteellisiin jatkotutkimuksiin makrotalouden epätasapainoa koskevan menettelyn yhteydessä.</w:t>
      </w:r>
    </w:p>
    <w:p w:rsidR="00876CA6" w:rsidRDefault="00876CA6">
      <w:pPr>
        <w:spacing w:after="160" w:line="259" w:lineRule="auto"/>
        <w:jc w:val="both"/>
        <w:rPr>
          <w:rFonts w:ascii="Times New Roman" w:eastAsia="Calibri" w:hAnsi="Times New Roman" w:cs="Times New Roman"/>
          <w:b/>
          <w:noProof/>
          <w:lang w:val="fi-FI" w:eastAsia="fi-FI" w:bidi="fi-FI"/>
        </w:rPr>
      </w:pPr>
    </w:p>
    <w:p w:rsidR="00876CA6" w:rsidRDefault="0031278A">
      <w:pPr>
        <w:spacing w:after="160" w:line="259" w:lineRule="auto"/>
        <w:jc w:val="both"/>
        <w:rPr>
          <w:noProof/>
          <w:lang w:val="fi-FI" w:eastAsia="fi-FI" w:bidi="fi-FI"/>
        </w:rPr>
      </w:pPr>
      <w:r>
        <w:rPr>
          <w:rFonts w:ascii="Times New Roman" w:hAnsi="Times New Roman"/>
          <w:b/>
          <w:noProof/>
          <w:lang w:val="fi-FI" w:eastAsia="fi-FI" w:bidi="fi-FI"/>
        </w:rPr>
        <w:t>Alankomaat:</w:t>
      </w:r>
      <w:r>
        <w:rPr>
          <w:rFonts w:ascii="Times New Roman" w:hAnsi="Times New Roman"/>
          <w:noProof/>
          <w:lang w:val="fi-FI" w:eastAsia="fi-FI" w:bidi="fi-FI"/>
        </w:rPr>
        <w:t xml:space="preserve"> Komissio päätteli maaliskuussa 2018, että Alankomailla oli </w:t>
      </w:r>
      <w:r>
        <w:rPr>
          <w:rFonts w:ascii="Times New Roman" w:hAnsi="Times New Roman"/>
          <w:i/>
          <w:noProof/>
          <w:lang w:val="fi-FI" w:eastAsia="fi-FI" w:bidi="fi-FI"/>
        </w:rPr>
        <w:t>makrotalouden epätasapainotiloja</w:t>
      </w:r>
      <w:r>
        <w:rPr>
          <w:rFonts w:ascii="Times New Roman" w:hAnsi="Times New Roman"/>
          <w:noProof/>
          <w:lang w:val="fi-FI" w:eastAsia="fi-FI" w:bidi="fi-FI"/>
        </w:rPr>
        <w:t>, jotka liittyi</w:t>
      </w:r>
      <w:r>
        <w:rPr>
          <w:rFonts w:ascii="Times New Roman" w:hAnsi="Times New Roman"/>
          <w:noProof/>
          <w:lang w:val="fi-FI" w:eastAsia="fi-FI" w:bidi="fi-FI"/>
        </w:rPr>
        <w:t>vät erityisesti yksityisen velan suureen määrään ja vaihtotaseen suureen ylijäämään. Ajan tasalle saatetussa tulostaulussa seuraavat indikaattorit ylittävät ohjeelliset kynnysarvot: vaihtotaseen kolmen vuoden keskiarvo, yksityisen sektorin velka ja asuntoj</w:t>
      </w:r>
      <w:r>
        <w:rPr>
          <w:rFonts w:ascii="Times New Roman" w:hAnsi="Times New Roman"/>
          <w:noProof/>
          <w:lang w:val="fi-FI" w:eastAsia="fi-FI" w:bidi="fi-FI"/>
        </w:rPr>
        <w:t xml:space="preserve">en reaalihintojen nousu.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6672" behindDoc="0" locked="0" layoutInCell="1" allowOverlap="1">
            <wp:simplePos x="0" y="0"/>
            <wp:positionH relativeFrom="column">
              <wp:posOffset>3161665</wp:posOffset>
            </wp:positionH>
            <wp:positionV relativeFrom="paragraph">
              <wp:posOffset>130810</wp:posOffset>
            </wp:positionV>
            <wp:extent cx="2674620" cy="281178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462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Vaihtotaseen ylijäämä on edelleen hyvin suuri, ja se kasvoi entisestään vuonna 2017 samalla kun positiivinen ulkomainen nettovarallisuusasema supistui hieman.</w:t>
      </w:r>
      <w:r>
        <w:rPr>
          <w:noProof/>
          <w:lang w:val="fi-FI" w:eastAsia="fi-FI" w:bidi="fi-FI"/>
        </w:rPr>
        <w:t xml:space="preserve"> </w:t>
      </w:r>
      <w:r>
        <w:rPr>
          <w:rFonts w:ascii="Times New Roman" w:hAnsi="Times New Roman"/>
          <w:noProof/>
          <w:lang w:val="fi-FI" w:eastAsia="fi-FI" w:bidi="fi-FI"/>
        </w:rPr>
        <w:t xml:space="preserve"> Kaikilla sektoreilla saavutettiin nettosäästöjä. Vaihtotaseen ylijäämän kasvu vuonna 2017 johtui kuitenkin pääasiassa rahoitusalan ulkopuolisista yrityksistä, joiden säästöylijäämä oli seurausta niiden melko hyvästä kannattavuudesta ja suhteellisesti tark</w:t>
      </w:r>
      <w:r>
        <w:rPr>
          <w:rFonts w:ascii="Times New Roman" w:hAnsi="Times New Roman"/>
          <w:noProof/>
          <w:lang w:val="fi-FI" w:eastAsia="fi-FI" w:bidi="fi-FI"/>
        </w:rPr>
        <w:t>asteltuna matalasta investointiasteesta. Yksikkötyökustannusten kehitys on vaimeaa, ja palkkojen nousu on linjassa tuottavuuden kehityksen kanssa. Yksityisen sektorin velkasuhde on korkea, ja yrityssektorin velkaan sisältyy monikansallisten yritysten konse</w:t>
      </w:r>
      <w:r>
        <w:rPr>
          <w:rFonts w:ascii="Times New Roman" w:hAnsi="Times New Roman"/>
          <w:noProof/>
          <w:lang w:val="fi-FI" w:eastAsia="fi-FI" w:bidi="fi-FI"/>
        </w:rPr>
        <w:t>rnilainoja. Kotitalouksilla on paljon velkaa. Tämä johtuu omistusasuntojen suotuisasta verokohtelusta ja edullisista asuntolainakoroista. Kotitalouksien velan suhde BKT:hen on supistumassa, mutta nimellinen velka on jälleen kasvussa. Asuntomarkkinat elpyvä</w:t>
      </w:r>
      <w:r>
        <w:rPr>
          <w:rFonts w:ascii="Times New Roman" w:hAnsi="Times New Roman"/>
          <w:noProof/>
          <w:lang w:val="fi-FI" w:eastAsia="fi-FI" w:bidi="fi-FI"/>
        </w:rPr>
        <w:t>t voimakkaasti, sillä asuntojen hintojen nousu nopeutui edelleen vuonna 2017. Tähän kehitykseen on vaikuttanut myös se, etteivät vuokra-asuntomarkkinat toimi tyydyttävästi. Työmarkkinat kiristyvät, ja työttömyys on vähäistä ja vähenee edelleen.</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w:t>
      </w:r>
      <w:r>
        <w:rPr>
          <w:rFonts w:ascii="Times New Roman" w:hAnsi="Times New Roman"/>
          <w:i/>
          <w:noProof/>
          <w:lang w:val="fi-FI" w:eastAsia="fi-FI" w:bidi="fi-FI"/>
        </w:rPr>
        <w:t>ttisissa päätelmissä esiin nousevat kotitalouksien suureen velkaan ja suureen kotimaiseen säästöylijäämään liittyvät kysymykset. Komissio katsoo tämän vuoksi ja myös ottaen huomioon maaliskuussa 2018 havaittu epätasapaino, että on aiheellista selvittää tar</w:t>
      </w:r>
      <w:r>
        <w:rPr>
          <w:rFonts w:ascii="Times New Roman" w:hAnsi="Times New Roman"/>
          <w:i/>
          <w:noProof/>
          <w:lang w:val="fi-FI" w:eastAsia="fi-FI" w:bidi="fi-FI"/>
        </w:rPr>
        <w:t>kemmin, jatkuvatko vai purkautuvatko epätasapainot.</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rPr>
          <w:rFonts w:ascii="Times New Roman" w:eastAsia="Calibri" w:hAnsi="Times New Roman" w:cs="Times New Roman"/>
          <w:b/>
          <w:noProof/>
          <w:lang w:val="fi-FI" w:eastAsia="fi-FI" w:bidi="fi-FI"/>
        </w:rPr>
      </w:pPr>
      <w:r>
        <w:rPr>
          <w:noProof/>
          <w:lang w:val="fi-FI" w:eastAsia="fi-FI" w:bidi="fi-FI"/>
        </w:rPr>
        <w:br w:type="page"/>
      </w:r>
    </w:p>
    <w:p w:rsidR="00876CA6" w:rsidRDefault="0031278A">
      <w:pPr>
        <w:rPr>
          <w:rFonts w:ascii="Times New Roman" w:eastAsia="Calibri" w:hAnsi="Times New Roman" w:cs="Times New Roman"/>
          <w:b/>
          <w:noProof/>
          <w:lang w:val="fi-FI" w:eastAsia="fi-FI" w:bidi="fi-FI"/>
        </w:rPr>
      </w:pPr>
      <w:r>
        <w:rPr>
          <w:rFonts w:ascii="Times New Roman" w:hAnsi="Times New Roman"/>
          <w:b/>
          <w:noProof/>
          <w:lang w:val="fi-FI" w:eastAsia="fi-FI" w:bidi="fi-FI"/>
        </w:rPr>
        <w:t>Itävalta:</w:t>
      </w:r>
      <w:r>
        <w:rPr>
          <w:rFonts w:ascii="Times New Roman" w:hAnsi="Times New Roman"/>
          <w:noProof/>
          <w:lang w:val="fi-FI" w:eastAsia="fi-FI" w:bidi="fi-FI"/>
        </w:rPr>
        <w:t xml:space="preserve"> Makrotalouden epätasapainoa koskevan menettelyn edellisellä kierroksella Itävallalla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vain julkinen velka yl</w:t>
      </w:r>
      <w:r>
        <w:rPr>
          <w:rFonts w:ascii="Times New Roman" w:hAnsi="Times New Roman"/>
          <w:noProof/>
          <w:lang w:val="fi-FI" w:eastAsia="fi-FI" w:bidi="fi-FI"/>
        </w:rPr>
        <w:t xml:space="preserve">ittää ohjeellisen kynnysarvon.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7696" behindDoc="0" locked="0" layoutInCell="1" allowOverlap="1">
            <wp:simplePos x="0" y="0"/>
            <wp:positionH relativeFrom="column">
              <wp:posOffset>3169285</wp:posOffset>
            </wp:positionH>
            <wp:positionV relativeFrom="paragraph">
              <wp:posOffset>50800</wp:posOffset>
            </wp:positionV>
            <wp:extent cx="2511425" cy="2583180"/>
            <wp:effectExtent l="0" t="0" r="3175"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142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Vaihtotaseen ylijäämä säilyi ennallaan maltillisella tasolla vuonna 2017, ja ulkomainen nettovarallisuusasema oli lievästi positiivinen. Vientimarkkinaosuudet säilyivät ennallaan. Yksikkötyökustannukset kasvavat hitaasti, k</w:t>
      </w:r>
      <w:r>
        <w:rPr>
          <w:rFonts w:ascii="Times New Roman" w:hAnsi="Times New Roman"/>
          <w:noProof/>
          <w:lang w:val="fi-FI" w:eastAsia="fi-FI" w:bidi="fi-FI"/>
        </w:rPr>
        <w:t>oska työvoiman tuottavuuden kasvu on nopeutunut tilanteessa, jossa palkat ovat nousseet vain vähän. Asuntojen reaalihintojen kasvusuuntaus jatkui, mutta kasvu oli vuonna 2017 hitaampaa kuin vuonna 2016. Tätä kehitystä on seurattava, vaikka hintojen nousu e</w:t>
      </w:r>
      <w:r>
        <w:rPr>
          <w:rFonts w:ascii="Times New Roman" w:hAnsi="Times New Roman"/>
          <w:noProof/>
          <w:lang w:val="fi-FI" w:eastAsia="fi-FI" w:bidi="fi-FI"/>
        </w:rPr>
        <w:t>i näytä johtuvan luotonannosta, jonka kasvun voidaan havaita hieman nopeutuneen. Sekä yritysten että kotitalouksien velkasuhteet alenevat hitaasti. Myös julkisen velan väheneminen jatkuu. Velka väheni vuonna 2017 vahvan talouskasvun ja kansallistettujen ra</w:t>
      </w:r>
      <w:r>
        <w:rPr>
          <w:rFonts w:ascii="Times New Roman" w:hAnsi="Times New Roman"/>
          <w:noProof/>
          <w:lang w:val="fi-FI" w:eastAsia="fi-FI" w:bidi="fi-FI"/>
        </w:rPr>
        <w:t>hoituslaitosten omaisuuserien käynnissä olevan purkamisen seurauksena. Pankkisektorin tilanne parani edelleen osittain myös Itävallan naapurimaiden elpymisen seurauksena. Työttömyysaste laski merkittävästi suotuisan taloustilanteen ja työllisyyden voimakka</w:t>
      </w:r>
      <w:r>
        <w:rPr>
          <w:rFonts w:ascii="Times New Roman" w:hAnsi="Times New Roman"/>
          <w:noProof/>
          <w:lang w:val="fi-FI" w:eastAsia="fi-FI" w:bidi="fi-FI"/>
        </w:rPr>
        <w:t xml:space="preserve">an kasvun myötä.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asuntosektoriin liittyvät kysymykset, mutta riskit näyttävät olevan hallinnassa. Tästä syystä komissio ei tässä vaiheessa katso tarpeelliseksi ryhtyä perusteellisiin jatkotutkimuksiin makrota</w:t>
      </w:r>
      <w:r>
        <w:rPr>
          <w:rFonts w:ascii="Times New Roman" w:hAnsi="Times New Roman"/>
          <w:i/>
          <w:noProof/>
          <w:lang w:val="fi-FI" w:eastAsia="fi-FI" w:bidi="fi-FI"/>
        </w:rPr>
        <w:t>louden epätasapainoa koskevan menettelyn yhteydessä.</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b/>
          <w:noProof/>
          <w:lang w:val="fi-FI" w:eastAsia="fi-FI" w:bidi="fi-FI"/>
        </w:rPr>
        <w:t>Puola</w:t>
      </w:r>
      <w:r>
        <w:rPr>
          <w:rFonts w:ascii="Times New Roman" w:hAnsi="Times New Roman"/>
          <w:noProof/>
          <w:lang w:val="fi-FI" w:eastAsia="fi-FI" w:bidi="fi-FI"/>
        </w:rPr>
        <w:t xml:space="preserve">: Makrotalouden epätasapainoa koskevan menettelyn edellisellä kierroksella Puolalla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ulkomainen nettovarallisuusas</w:t>
      </w:r>
      <w:r>
        <w:rPr>
          <w:rFonts w:ascii="Times New Roman" w:hAnsi="Times New Roman"/>
          <w:noProof/>
          <w:lang w:val="fi-FI" w:eastAsia="fi-FI" w:bidi="fi-FI"/>
        </w:rPr>
        <w:t xml:space="preserve">ema ylittää ohjeellisen kynnysarvon.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78720" behindDoc="0" locked="0" layoutInCell="1" allowOverlap="1">
            <wp:simplePos x="0" y="0"/>
            <wp:positionH relativeFrom="column">
              <wp:posOffset>3047365</wp:posOffset>
            </wp:positionH>
            <wp:positionV relativeFrom="paragraph">
              <wp:posOffset>44450</wp:posOffset>
            </wp:positionV>
            <wp:extent cx="2691765" cy="263652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76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 parani siten, että se oli pitkälti tasapainossa vuonna 2017, ja negatiivinen ulkomainen nettovarallisuusasema säilyi ennallaan. Ulkoiset haavoittuvuustekijät pysyvät hallinnassa, koska suurin osa ulkomaises</w:t>
      </w:r>
      <w:r>
        <w:rPr>
          <w:rFonts w:ascii="Times New Roman" w:hAnsi="Times New Roman"/>
          <w:noProof/>
          <w:lang w:val="fi-FI" w:eastAsia="fi-FI" w:bidi="fi-FI"/>
        </w:rPr>
        <w:t>ta velasta on suoria ulkomaisia sijoituksia. Vientimarkkinaosuuksien kasvu oli jälleen vahvaa vuonna 2017. Nimellisten yksikkötyökustannusten kasvu on hillittyä tilanteessa, jossa tuottavuus kasvaa voimakkaasti ja palkat nousevat. Yksityisen sektorin velka</w:t>
      </w:r>
      <w:r>
        <w:rPr>
          <w:rFonts w:ascii="Times New Roman" w:hAnsi="Times New Roman"/>
          <w:noProof/>
          <w:lang w:val="fi-FI" w:eastAsia="fi-FI" w:bidi="fi-FI"/>
        </w:rPr>
        <w:t>suhde supistui vuonna 2017, mikä on seurausta BKT:n voimakkaasta kasvusta ja Puolan zlotyn vahvistumisesta suhteessa niihin valuuttoihin, jonka määräistä osa velkakannasta on. Julkisen talouden velka prosentteina suhteessa BKT:hen supistui edelleen tasolta</w:t>
      </w:r>
      <w:r>
        <w:rPr>
          <w:rFonts w:ascii="Times New Roman" w:hAnsi="Times New Roman"/>
          <w:noProof/>
          <w:lang w:val="fi-FI" w:eastAsia="fi-FI" w:bidi="fi-FI"/>
        </w:rPr>
        <w:t>, joka oli jo melko alhainen. Tämä oli seurausta talouden nopeasta nimelliskasvusta, julkisen sektorin pienemmästä alijäämästä ja Puolan zlotyn valuuttakurssin vahvistumisesta. Pankkisektorin riskit olivat edelleen hallinnassa. Työmarkkinakehitys jatkui hy</w:t>
      </w:r>
      <w:r>
        <w:rPr>
          <w:rFonts w:ascii="Times New Roman" w:hAnsi="Times New Roman"/>
          <w:noProof/>
          <w:lang w:val="fi-FI" w:eastAsia="fi-FI" w:bidi="fi-FI"/>
        </w:rPr>
        <w:t>vänä, mistä oli seurauksena työttömyysasteen lasku hyvin alhaiseksi.</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ulkomaiseen nettovarallisuusasemaan liittyvät kysymykset, mutta riskit ovat vähäisiä. Tästä syystä komissio ei tässä vaiheessa katso tarpeel</w:t>
      </w:r>
      <w:r>
        <w:rPr>
          <w:rFonts w:ascii="Times New Roman" w:hAnsi="Times New Roman"/>
          <w:i/>
          <w:noProof/>
          <w:lang w:val="fi-FI" w:eastAsia="fi-FI" w:bidi="fi-FI"/>
        </w:rPr>
        <w:t xml:space="preserve">liseksi ryhtyä perusteellisiin tutkimuksiin makrotalouden epätasapainoa koskevan menettelyn yhteydessä. </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b/>
          <w:noProof/>
          <w:lang w:val="fi-FI" w:eastAsia="fi-FI" w:bidi="fi-FI"/>
        </w:rPr>
      </w:pPr>
      <w:r>
        <w:rPr>
          <w:noProof/>
          <w:lang w:eastAsia="en-GB"/>
        </w:rPr>
        <w:drawing>
          <wp:anchor distT="0" distB="0" distL="114300" distR="114300" simplePos="0" relativeHeight="251679744" behindDoc="0" locked="0" layoutInCell="1" allowOverlap="1">
            <wp:simplePos x="0" y="0"/>
            <wp:positionH relativeFrom="column">
              <wp:posOffset>3093085</wp:posOffset>
            </wp:positionH>
            <wp:positionV relativeFrom="paragraph">
              <wp:posOffset>61595</wp:posOffset>
            </wp:positionV>
            <wp:extent cx="2659380" cy="2811780"/>
            <wp:effectExtent l="0" t="0" r="762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938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 xml:space="preserve">Portugali: </w:t>
      </w:r>
      <w:r>
        <w:rPr>
          <w:rFonts w:ascii="Times New Roman" w:hAnsi="Times New Roman"/>
          <w:noProof/>
          <w:lang w:val="fi-FI" w:eastAsia="fi-FI" w:bidi="fi-FI"/>
        </w:rPr>
        <w:t xml:space="preserve">Komissio päätteli maaliskuussa 2018, että Portugalilla oli </w:t>
      </w:r>
      <w:r>
        <w:rPr>
          <w:rFonts w:ascii="Times New Roman" w:hAnsi="Times New Roman"/>
          <w:i/>
          <w:noProof/>
          <w:lang w:val="fi-FI" w:eastAsia="fi-FI" w:bidi="fi-FI"/>
        </w:rPr>
        <w:t>liiallisia makrotalouden epätasapainotiloja</w:t>
      </w:r>
      <w:r>
        <w:rPr>
          <w:rFonts w:ascii="Times New Roman" w:hAnsi="Times New Roman"/>
          <w:noProof/>
          <w:lang w:val="fi-FI" w:eastAsia="fi-FI" w:bidi="fi-FI"/>
        </w:rPr>
        <w:t>, jotka liittyivät erityisesti suure</w:t>
      </w:r>
      <w:r>
        <w:rPr>
          <w:rFonts w:ascii="Times New Roman" w:hAnsi="Times New Roman"/>
          <w:noProof/>
          <w:lang w:val="fi-FI" w:eastAsia="fi-FI" w:bidi="fi-FI"/>
        </w:rPr>
        <w:t>en ulkomaiseen nettovelkaan, yksityiseen ja julkiseen velkaan sekä järjestämättömien lainojen suureen osuuteen tilanteessa, jossa tuottavuuden kasvu on vähäistä. Ajan tasalle saatetussa tulostaulussa seuraavat indikaattorit ylittävät ohjeelliset kynnysarvo</w:t>
      </w:r>
      <w:r>
        <w:rPr>
          <w:rFonts w:ascii="Times New Roman" w:hAnsi="Times New Roman"/>
          <w:noProof/>
          <w:lang w:val="fi-FI" w:eastAsia="fi-FI" w:bidi="fi-FI"/>
        </w:rPr>
        <w:t>t: ulkomainen nettovarallisuusasema, julkinen velka, yksityinen velka, työttömyys ja asuntojen reaalihintojen nousu.</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Vaihtotase on vakaa ja hieman ylijäämäinen. Sen sijaan ulkomainen nettovarallisuusasema on edelleen erittäin negatiivinen, ja sopeutuksen e</w:t>
      </w:r>
      <w:r>
        <w:rPr>
          <w:rFonts w:ascii="Times New Roman" w:hAnsi="Times New Roman"/>
          <w:noProof/>
          <w:lang w:val="fi-FI" w:eastAsia="fi-FI" w:bidi="fi-FI"/>
        </w:rPr>
        <w:t>nnustetaan jatkuvan hyvin hitaana. Hintakilpailukyky heikkeni hieman vuonna 2017, kun reaalinen efektiivinen valuuttakurssi vahvistui hivenen. Nimellisten yksikkötyökustannusten kasvu nopeutui jonkin verran, kun taas työvoiman tuottavuuden kasvu oli negati</w:t>
      </w:r>
      <w:r>
        <w:rPr>
          <w:rFonts w:ascii="Times New Roman" w:hAnsi="Times New Roman"/>
          <w:noProof/>
          <w:lang w:val="fi-FI" w:eastAsia="fi-FI" w:bidi="fi-FI"/>
        </w:rPr>
        <w:t xml:space="preserve">ivista vuonna 2017. Tämä kehitys on kuitenkin pitkälti yhdenmukainen kauppakumppanimaissa tapahtuneen kehityksen kanssa, joten vientimarkkinaosuudet kasvoivat. Yksityisen velan vähentäminen jatkuu, ja luotonannon kasvu on edelleen vähäistä. Julkisen velan </w:t>
      </w:r>
      <w:r>
        <w:rPr>
          <w:rFonts w:ascii="Times New Roman" w:hAnsi="Times New Roman"/>
          <w:noProof/>
          <w:lang w:val="fi-FI" w:eastAsia="fi-FI" w:bidi="fi-FI"/>
        </w:rPr>
        <w:t>määrä on edelleen erittäin suuri, mutta sen ennustetaan vähenevän tasaisesti. Pankit ovat parantaneet taseitaan ja kasvattaneet nettotulojaan merkittävästi, mutta haavoittuvuustekijöitä on yhä, koska järjestämättömien lainojen määrä on edelleen suuri viime</w:t>
      </w:r>
      <w:r>
        <w:rPr>
          <w:rFonts w:ascii="Times New Roman" w:hAnsi="Times New Roman"/>
          <w:noProof/>
          <w:lang w:val="fi-FI" w:eastAsia="fi-FI" w:bidi="fi-FI"/>
        </w:rPr>
        <w:t>aikaisesta pienentymisestä huolimatta. Asuntojen hinnat nousevat edelleen voimakkaasti, tosin tilanteessa, jossa ne olivat aikaisemmin aliarvostettuja ja jossa asuntolainakanta on säilynyt pitkälti ennallaan. Työmarkkinoilla on viime vuosina tapahtunut myö</w:t>
      </w:r>
      <w:r>
        <w:rPr>
          <w:rFonts w:ascii="Times New Roman" w:hAnsi="Times New Roman"/>
          <w:noProof/>
          <w:lang w:val="fi-FI" w:eastAsia="fi-FI" w:bidi="fi-FI"/>
        </w:rPr>
        <w:t xml:space="preserve">nteisen talouskehityksen ansiosta laaja-alaista paranemista, ja työttömyys on vähentynyt merkittävästi.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 xml:space="preserve">Talouspoliittisissa päätelmissä esiin nousevat kysymykset, jotka liittyvät varantomuuttujien epätasapainoon, erityisesti ulkomaiseen nettovelkaan, ja </w:t>
      </w:r>
      <w:r>
        <w:rPr>
          <w:rFonts w:ascii="Times New Roman" w:hAnsi="Times New Roman"/>
          <w:i/>
          <w:noProof/>
          <w:lang w:val="fi-FI" w:eastAsia="fi-FI" w:bidi="fi-FI"/>
        </w:rPr>
        <w:t>julkiseen ja yksityiseen velkaan, pankkisektorin haavoittuvuustekijöihin sekä tuottavuuden heikkoon kasvuun. Komissio katsoo tämän vuoksi ja myös ottaen huomioon maaliskuussa 2018 havaittu epätasapaino, että on aiheellista selvittää tarkemmin, jatkuvatko v</w:t>
      </w:r>
      <w:r>
        <w:rPr>
          <w:rFonts w:ascii="Times New Roman" w:hAnsi="Times New Roman"/>
          <w:i/>
          <w:noProof/>
          <w:lang w:val="fi-FI" w:eastAsia="fi-FI" w:bidi="fi-FI"/>
        </w:rPr>
        <w:t>ai purkautuvatko epätasapainot.</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noProof/>
          <w:lang w:val="fi-FI" w:eastAsia="fi-FI" w:bidi="fi-FI"/>
        </w:rPr>
      </w:pPr>
      <w:r>
        <w:rPr>
          <w:rFonts w:ascii="Times New Roman" w:hAnsi="Times New Roman"/>
          <w:b/>
          <w:noProof/>
          <w:lang w:val="fi-FI" w:eastAsia="fi-FI" w:bidi="fi-FI"/>
        </w:rPr>
        <w:t>Romania:</w:t>
      </w:r>
      <w:r>
        <w:rPr>
          <w:rFonts w:ascii="Times New Roman" w:hAnsi="Times New Roman"/>
          <w:noProof/>
          <w:lang w:val="fi-FI" w:eastAsia="fi-FI" w:bidi="fi-FI"/>
        </w:rPr>
        <w:t xml:space="preserve"> Makrotalouden epätasapainoa koskevan menettelyn edellisellä kierroksella Romanialla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xml:space="preserve"> Ajan tasalle saatetussa tulostaulussa ulkomainen nettovarallisuusasema ylittää ohjeellisen kynnysarvon.</w:t>
      </w:r>
      <w:r>
        <w:rPr>
          <w:rFonts w:ascii="Times New Roman" w:hAnsi="Times New Roman"/>
          <w:i/>
          <w:noProof/>
          <w:lang w:val="fi-FI" w:eastAsia="fi-FI" w:bidi="fi-FI"/>
        </w:rPr>
        <w:t xml:space="preserve">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80768" behindDoc="0" locked="0" layoutInCell="1" allowOverlap="1">
            <wp:simplePos x="0" y="0"/>
            <wp:positionH relativeFrom="column">
              <wp:posOffset>3161665</wp:posOffset>
            </wp:positionH>
            <wp:positionV relativeFrom="paragraph">
              <wp:posOffset>69215</wp:posOffset>
            </wp:positionV>
            <wp:extent cx="2590800" cy="28194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Vaihtotaseen alijäämä kasvoi edelleen vuonna 2017 pääasiassa kulutustuotteiden tuonnin lisääntymisen seurauksena. Pääasiassa suorista ulkomaisista si</w:t>
      </w:r>
      <w:r>
        <w:rPr>
          <w:rFonts w:ascii="Times New Roman" w:hAnsi="Times New Roman"/>
          <w:noProof/>
          <w:lang w:val="fi-FI" w:eastAsia="fi-FI" w:bidi="fi-FI"/>
        </w:rPr>
        <w:t>joituksista muodostuva negatiivinen ulkomainen nettovarallisuusasema parani edelleen vaihtotaseen alijäämän kasvusta huolimatta. Tähän vaikutti nimellisen BKT:n vahva kasvu. Vientimenestys säilyi hyvänä vuonna 2017, ja Romanian vientimarkkinaosuudet kasvoi</w:t>
      </w:r>
      <w:r>
        <w:rPr>
          <w:rFonts w:ascii="Times New Roman" w:hAnsi="Times New Roman"/>
          <w:noProof/>
          <w:lang w:val="fi-FI" w:eastAsia="fi-FI" w:bidi="fi-FI"/>
        </w:rPr>
        <w:t>vat edelleen. Yksikkötyökustannukset sen sijaan kasvoivat erittäin paljon vuonna 2017 palkkojen kiihtyneen nousun seurauksena etenkin julkisella sektorilla. Vaikka Romanian vientimenestys on tähän mennessä ollut hyvä, aikaisempien kokemusten perusteella vo</w:t>
      </w:r>
      <w:r>
        <w:rPr>
          <w:rFonts w:ascii="Times New Roman" w:hAnsi="Times New Roman"/>
          <w:noProof/>
          <w:lang w:val="fi-FI" w:eastAsia="fi-FI" w:bidi="fi-FI"/>
        </w:rPr>
        <w:t>idaan olettaa, että julkisen sektorin palkkojen nousulla todennäköisesti on yksityiseen sektoriin kohdistuvia heijastusvaikutuksia, jotka saattavat aiheuttaa kustannuskilpailukyvyn menetyksiä tulevaisuudessa. Asuntojen reaalihintojen kasvu hidastui hivenen</w:t>
      </w:r>
      <w:r>
        <w:rPr>
          <w:rFonts w:ascii="Times New Roman" w:hAnsi="Times New Roman"/>
          <w:noProof/>
          <w:lang w:val="fi-FI" w:eastAsia="fi-FI" w:bidi="fi-FI"/>
        </w:rPr>
        <w:t xml:space="preserve"> vuonna 2017, ja se jatkuu maltillisena. Pankkisektori on edelleen hyvin pääomitettu ja likvidi. Yksityiselle sektorille suunnatun luotonannon kasvu kiihtyi hieman, mutta se on edelleen maltillista. Työttömyysaste laski edelleen vuonna 2017, mikä heijastaa</w:t>
      </w:r>
      <w:r>
        <w:rPr>
          <w:rFonts w:ascii="Times New Roman" w:hAnsi="Times New Roman"/>
          <w:noProof/>
          <w:lang w:val="fi-FI" w:eastAsia="fi-FI" w:bidi="fi-FI"/>
        </w:rPr>
        <w:t xml:space="preserve"> työmarkkinoiden kiristymistä. Työvoimaosuus parani jonkin verran. Sekä yksityinen että julkinen velka suhteessa BKT:hen supistuivat nimellisen BKT:n voimakkaan kasvun seurauksena, ja molempien määrä on edelleen melko vähäinen. Finanssipolitiikan viritys s</w:t>
      </w:r>
      <w:r>
        <w:rPr>
          <w:rFonts w:ascii="Times New Roman" w:hAnsi="Times New Roman"/>
          <w:noProof/>
          <w:lang w:val="fi-FI" w:eastAsia="fi-FI" w:bidi="fi-FI"/>
        </w:rPr>
        <w:t xml:space="preserve">äilyy kuitenkin elvyttävänä keskipitkällä aikavälillä huolimatta suotuisasta taloustilanteesta, millä voi olla kielteinen vaikutus julkiseen velkaan ja vaihtotaseen kehitykseen. Kasvava kauppavaje ja yksikkötyökustannusten kasvun kiihtyminen ovat molemmat </w:t>
      </w:r>
      <w:r>
        <w:rPr>
          <w:rFonts w:ascii="Times New Roman" w:hAnsi="Times New Roman"/>
          <w:noProof/>
          <w:lang w:val="fi-FI" w:eastAsia="fi-FI" w:bidi="fi-FI"/>
        </w:rPr>
        <w:t>yhteydessä hallituksen määrätietoiseen myötäsykliseen finanssipolitiikkaan, jolla on jo saatu aikaan voimakkaasti kasvava talous toteuttamalla toistuvia veroleikkauksia ja julkisen sektorin palkkojen korotuksia. Lisäksi toistuvat ja vaikeasti ennakoitaviss</w:t>
      </w:r>
      <w:r>
        <w:rPr>
          <w:rFonts w:ascii="Times New Roman" w:hAnsi="Times New Roman"/>
          <w:noProof/>
          <w:lang w:val="fi-FI" w:eastAsia="fi-FI" w:bidi="fi-FI"/>
        </w:rPr>
        <w:t>a olevat lakimuutokset lisäävät osaltaan yritysten toimintaympäristöön liittyvää epävarmuutta ja vaikuttavat kielteisesti yritysten päätöksentekoon ja investointeihin, mikä saattaa myös heikentää maan houkuttelevuutta kansainvälisten sijoittajien näkökulma</w:t>
      </w:r>
      <w:r>
        <w:rPr>
          <w:rFonts w:ascii="Times New Roman" w:hAnsi="Times New Roman"/>
          <w:noProof/>
          <w:lang w:val="fi-FI" w:eastAsia="fi-FI" w:bidi="fi-FI"/>
        </w:rPr>
        <w:t xml:space="preserve">sta.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Talouspoliittiset päätelmät viittaavat siihen, että haavoittuvuustekijät ovat lisääntyneet etenkin ulkoisen rahoitusaseman ja kilpailukyvyn osalta. Komissio pitää yleisesti ottaen aiheellisena selvittää asiaan liittyviä riskejä tarkemmin ja arvioida</w:t>
      </w:r>
      <w:r>
        <w:rPr>
          <w:rFonts w:ascii="Times New Roman" w:hAnsi="Times New Roman"/>
          <w:i/>
          <w:noProof/>
          <w:lang w:val="fi-FI" w:eastAsia="fi-FI" w:bidi="fi-FI"/>
        </w:rPr>
        <w:t xml:space="preserve"> perusteellisessa tarkastelussa, onko epätasapainoja vai ei.</w:t>
      </w:r>
    </w:p>
    <w:p w:rsidR="00876CA6" w:rsidRDefault="00876CA6">
      <w:pPr>
        <w:autoSpaceDE w:val="0"/>
        <w:autoSpaceDN w:val="0"/>
        <w:adjustRightInd w:val="0"/>
        <w:spacing w:after="0"/>
        <w:jc w:val="both"/>
        <w:rPr>
          <w:rFonts w:ascii="Times New Roman" w:eastAsia="Calibri" w:hAnsi="Times New Roman" w:cs="Times New Roman"/>
          <w:i/>
          <w:noProof/>
          <w:lang w:val="fi-FI" w:eastAsia="fi-FI" w:bidi="fi-FI"/>
        </w:rPr>
      </w:pPr>
    </w:p>
    <w:p w:rsidR="00876CA6" w:rsidRDefault="0031278A">
      <w:pPr>
        <w:autoSpaceDE w:val="0"/>
        <w:autoSpaceDN w:val="0"/>
        <w:adjustRightInd w:val="0"/>
        <w:spacing w:after="0"/>
        <w:jc w:val="both"/>
        <w:rPr>
          <w:rFonts w:ascii="Times New Roman" w:eastAsia="Times New Roman" w:hAnsi="Times New Roman" w:cs="Times New Roman"/>
          <w:noProof/>
          <w:color w:val="000000"/>
          <w:lang w:val="fi-FI" w:eastAsia="fi-FI" w:bidi="fi-FI"/>
        </w:rPr>
      </w:pPr>
      <w:r>
        <w:rPr>
          <w:noProof/>
          <w:lang w:eastAsia="en-GB"/>
        </w:rPr>
        <w:drawing>
          <wp:anchor distT="0" distB="0" distL="114300" distR="114300" simplePos="0" relativeHeight="251681792" behindDoc="0" locked="0" layoutInCell="1" allowOverlap="1">
            <wp:simplePos x="0" y="0"/>
            <wp:positionH relativeFrom="column">
              <wp:posOffset>3009265</wp:posOffset>
            </wp:positionH>
            <wp:positionV relativeFrom="paragraph">
              <wp:posOffset>67310</wp:posOffset>
            </wp:positionV>
            <wp:extent cx="2759710" cy="26289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971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fi-FI" w:eastAsia="fi-FI" w:bidi="fi-FI"/>
        </w:rPr>
        <w:t xml:space="preserve">Slovenia: </w:t>
      </w:r>
      <w:r>
        <w:rPr>
          <w:rFonts w:ascii="Times New Roman" w:hAnsi="Times New Roman"/>
          <w:noProof/>
          <w:color w:val="000000"/>
          <w:lang w:val="fi-FI" w:eastAsia="fi-FI" w:bidi="fi-FI"/>
        </w:rPr>
        <w:t xml:space="preserve">Komissio päätteli maaliskuussa 2018, että Slovenialla </w:t>
      </w:r>
      <w:r>
        <w:rPr>
          <w:rFonts w:ascii="Times New Roman" w:hAnsi="Times New Roman"/>
          <w:i/>
          <w:noProof/>
          <w:color w:val="000000"/>
          <w:lang w:val="fi-FI" w:eastAsia="fi-FI" w:bidi="fi-FI"/>
        </w:rPr>
        <w:t>ei enää ollut makrotalouden epätasapainotiloja</w:t>
      </w:r>
      <w:r>
        <w:rPr>
          <w:rFonts w:ascii="Times New Roman" w:hAnsi="Times New Roman"/>
          <w:noProof/>
          <w:color w:val="000000"/>
          <w:lang w:val="fi-FI" w:eastAsia="fi-FI" w:bidi="fi-FI"/>
        </w:rPr>
        <w:t xml:space="preserve">. Ajan tasalle saatetussa tulostaulussa julkinen velka ja asuntojen reaalihintojen </w:t>
      </w:r>
      <w:r>
        <w:rPr>
          <w:rFonts w:ascii="Times New Roman" w:hAnsi="Times New Roman"/>
          <w:noProof/>
          <w:color w:val="000000"/>
          <w:lang w:val="fi-FI" w:eastAsia="fi-FI" w:bidi="fi-FI"/>
        </w:rPr>
        <w:t xml:space="preserve">nousu ylittävät ohjeelliset kynnysarvot. </w:t>
      </w:r>
    </w:p>
    <w:p w:rsidR="00876CA6" w:rsidRDefault="0031278A">
      <w:pPr>
        <w:autoSpaceDE w:val="0"/>
        <w:autoSpaceDN w:val="0"/>
        <w:adjustRightInd w:val="0"/>
        <w:spacing w:after="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Suuri vaihtotaseen ylijäämä kasvoi edelleen vuonna 2017 viennin voimakkaan kasvun seurauksena. Negatiivinen ulkomainen nettovarallisuusasema parani merkittävästi, eikä se ole enää kynnysarvon yläpuolella. Vientimar</w:t>
      </w:r>
      <w:r>
        <w:rPr>
          <w:rFonts w:ascii="Times New Roman" w:hAnsi="Times New Roman"/>
          <w:noProof/>
          <w:lang w:val="fi-FI" w:eastAsia="fi-FI" w:bidi="fi-FI"/>
        </w:rPr>
        <w:t>kkinaosuudet kasvoivat tilanteessa, jossa yksikkötyökustannusten kasvu oli maltillista ja reaalinen efektiivinen valuuttakurssi heikkeni. Yksityinen velka väheni edelleen, mikä johtui yrityssektorista. Luottovirta yksityiselle sektorille on kuitenkin käänt</w:t>
      </w:r>
      <w:r>
        <w:rPr>
          <w:rFonts w:ascii="Times New Roman" w:hAnsi="Times New Roman"/>
          <w:noProof/>
          <w:lang w:val="fi-FI" w:eastAsia="fi-FI" w:bidi="fi-FI"/>
        </w:rPr>
        <w:t>ynyt positiiviseksi. Investoinnit lisääntyivät merkittävästi, mutta niiden määrä on edelleen alle pitkän aikavälin keskiarvon. Asuntojen hintojen nousu oli jonkin verran nopeampaa kuin aikaisempina vuosina. Asuntosektorille tehdyt investoinnit ovat säilyne</w:t>
      </w:r>
      <w:r>
        <w:rPr>
          <w:rFonts w:ascii="Times New Roman" w:hAnsi="Times New Roman"/>
          <w:noProof/>
          <w:lang w:val="fi-FI" w:eastAsia="fi-FI" w:bidi="fi-FI"/>
        </w:rPr>
        <w:t>et samalla tasolla, ja asuntoluottojen kasvu on maltillista. Julkisen sektorin velan määrä on edelleen suuri, mutta se on supistunut vuodesta 2015, jolloin se oli suurimmillaan. Ennustetut ikääntymiseen liittyvät kustannukset aiheuttavat edelleen riskejä j</w:t>
      </w:r>
      <w:r>
        <w:rPr>
          <w:rFonts w:ascii="Times New Roman" w:hAnsi="Times New Roman"/>
          <w:noProof/>
          <w:lang w:val="fi-FI" w:eastAsia="fi-FI" w:bidi="fi-FI"/>
        </w:rPr>
        <w:t>ulkisen talouden kestävyydelle keskipitkällä ja pitkällä aikavälillä. Pankkisektori on vakautunut, ja pankkien velkaantuneisuus vähenee. Järjestämättömien lainojen osuus, joka on yhä melko suuri, on edelleen laskusuunnassa, ja laskun odotetaan jatkuvan. Ty</w:t>
      </w:r>
      <w:r>
        <w:rPr>
          <w:rFonts w:ascii="Times New Roman" w:hAnsi="Times New Roman"/>
          <w:noProof/>
          <w:lang w:val="fi-FI" w:eastAsia="fi-FI" w:bidi="fi-FI"/>
        </w:rPr>
        <w:t xml:space="preserve">ömarkkinatilanne parani edelleen. Työvoimaosuus kasvoi ja työttömyysaste laski. Myös työvoiman tuottavuuden kasvu kiihtyi hieman vuonna 2017. </w:t>
      </w:r>
    </w:p>
    <w:p w:rsidR="00876CA6" w:rsidRDefault="00876CA6">
      <w:pPr>
        <w:autoSpaceDE w:val="0"/>
        <w:autoSpaceDN w:val="0"/>
        <w:adjustRightInd w:val="0"/>
        <w:spacing w:after="0" w:line="259" w:lineRule="auto"/>
        <w:jc w:val="both"/>
        <w:rPr>
          <w:rFonts w:ascii="Times New Roman" w:eastAsia="Calibri" w:hAnsi="Times New Roman" w:cs="Times New Roman"/>
          <w:noProof/>
          <w:lang w:val="fi-FI" w:eastAsia="fi-FI" w:bidi="fi-FI"/>
        </w:rPr>
      </w:pPr>
    </w:p>
    <w:p w:rsidR="00876CA6" w:rsidRDefault="0031278A">
      <w:pPr>
        <w:autoSpaceDE w:val="0"/>
        <w:autoSpaceDN w:val="0"/>
        <w:adjustRightInd w:val="0"/>
        <w:spacing w:after="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lähinnä julkisen talouden pitkän aikavälin kestävyyteen liittyvät</w:t>
      </w:r>
      <w:r>
        <w:rPr>
          <w:rFonts w:ascii="Times New Roman" w:hAnsi="Times New Roman"/>
          <w:i/>
          <w:noProof/>
          <w:lang w:val="fi-FI" w:eastAsia="fi-FI" w:bidi="fi-FI"/>
        </w:rPr>
        <w:t xml:space="preserve"> kysymykset. Tästä syystä komissio ei tässä vaiheessa katso tarpeelliseksi ryhtyä perusteellisiin jatkotutkimuksiin makrotalouden epätasapainoa koskevan menettelyn yhteydessä.</w:t>
      </w:r>
    </w:p>
    <w:p w:rsidR="00876CA6" w:rsidRDefault="00876CA6">
      <w:pPr>
        <w:spacing w:after="160" w:line="259" w:lineRule="auto"/>
        <w:jc w:val="both"/>
        <w:rPr>
          <w:rFonts w:ascii="Times New Roman" w:eastAsia="Calibri" w:hAnsi="Times New Roman" w:cs="Times New Roman"/>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82816" behindDoc="0" locked="0" layoutInCell="1" allowOverlap="1">
            <wp:simplePos x="0" y="0"/>
            <wp:positionH relativeFrom="column">
              <wp:posOffset>3088640</wp:posOffset>
            </wp:positionH>
            <wp:positionV relativeFrom="paragraph">
              <wp:posOffset>78105</wp:posOffset>
            </wp:positionV>
            <wp:extent cx="2496185" cy="256032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618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Slovakia</w:t>
      </w:r>
      <w:r>
        <w:rPr>
          <w:rFonts w:ascii="Times New Roman" w:hAnsi="Times New Roman"/>
          <w:noProof/>
          <w:lang w:val="fi-FI" w:eastAsia="fi-FI" w:bidi="fi-FI"/>
        </w:rPr>
        <w:t xml:space="preserve">: Makrotalouden epätasapainoa koskevan menettelyn edellisellä kierroksella Slovakiassa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ulkomainen nettovarallisuusasema ja rahoitusalan kokonaisvastuut ylittävät ohjeellise</w:t>
      </w:r>
      <w:r>
        <w:rPr>
          <w:rFonts w:ascii="Times New Roman" w:hAnsi="Times New Roman"/>
          <w:noProof/>
          <w:lang w:val="fi-FI" w:eastAsia="fi-FI" w:bidi="fi-FI"/>
        </w:rPr>
        <w:t>n kynnysarvon.</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Vaihtotaseen alijäämä kasvoi edelleen vuonna 2017, mutta se on yleisesti ottaen yhä maltillinen. Ulkomainen nettovarallisuusasema on erittäin negatiivinen, joskin se on viime aikoina parantunut jonkin verran. Riskit ovat kuitenkin rajallisia</w:t>
      </w:r>
      <w:r>
        <w:rPr>
          <w:rFonts w:ascii="Times New Roman" w:hAnsi="Times New Roman"/>
          <w:noProof/>
          <w:lang w:val="fi-FI" w:eastAsia="fi-FI" w:bidi="fi-FI"/>
        </w:rPr>
        <w:t>, sillä suurin osa ulkomaisesta velasta liittyy suoriin ulkomaisiin sijoituksiin, joita on etenkin kasvavan autoteollisuuden alalla ja rahoitusalalla. Vientimarkkinaosuudet ja reaalinen efektiivinen valuuttakurssi ovat säilyneet pitkälti ennallaan. Nimelli</w:t>
      </w:r>
      <w:r>
        <w:rPr>
          <w:rFonts w:ascii="Times New Roman" w:hAnsi="Times New Roman"/>
          <w:noProof/>
          <w:lang w:val="fi-FI" w:eastAsia="fi-FI" w:bidi="fi-FI"/>
        </w:rPr>
        <w:t>sten yksikkötyökustannusten kasvu kiihtyi. Tämä johtui palkkojen voimakkaasta noususta työmarkkinoiden kiristyessä. Asuntojen hintojen nousu on edelleen nopeaa, mutta se hidastui vuonna 2017 vuodesta 2016. Kasvuvauhti on juuri kynnysarvon alapuolella. Yksi</w:t>
      </w:r>
      <w:r>
        <w:rPr>
          <w:rFonts w:ascii="Times New Roman" w:hAnsi="Times New Roman"/>
          <w:noProof/>
          <w:lang w:val="fi-FI" w:eastAsia="fi-FI" w:bidi="fi-FI"/>
        </w:rPr>
        <w:t>tyisen sektorin luotonoton kasvu hidastui jonkin verran, mutta yksityinen velka suhteessa BKT:hen kasvoi edelleen. Suureksi osaksi ulkomaisessa omistuksessa oleva pankkisektori on hyvin pääomitettu. Sekä kokonaistyöttömyysaste että pitkäaikaistyöttömyysast</w:t>
      </w:r>
      <w:r>
        <w:rPr>
          <w:rFonts w:ascii="Times New Roman" w:hAnsi="Times New Roman"/>
          <w:noProof/>
          <w:lang w:val="fi-FI" w:eastAsia="fi-FI" w:bidi="fi-FI"/>
        </w:rPr>
        <w:t xml:space="preserve">e ovat laskeneet edelleen samalla kun työvoimaosuus on kasvanut.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ulkoisiin tekijöihin, asuntomarkkinoihin ja luotonannon kasvuun liittyvät kysymykset, mutta riskit näyttävät olevan toistaiseksi hallinnassa. T</w:t>
      </w:r>
      <w:r>
        <w:rPr>
          <w:rFonts w:ascii="Times New Roman" w:hAnsi="Times New Roman"/>
          <w:i/>
          <w:noProof/>
          <w:lang w:val="fi-FI" w:eastAsia="fi-FI" w:bidi="fi-FI"/>
        </w:rPr>
        <w:t xml:space="preserve">ästä syystä komissio ei tässä vaiheessa ryhdy perusteellisiin jatkotutkimuksiin makrotalouden epätasapainoa koskevan menettelyn yhteydessä. </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b/>
          <w:noProof/>
          <w:lang w:val="fi-FI" w:eastAsia="fi-FI" w:bidi="fi-FI"/>
        </w:rPr>
      </w:pPr>
      <w:r>
        <w:rPr>
          <w:rFonts w:ascii="Times New Roman" w:hAnsi="Times New Roman"/>
          <w:b/>
          <w:noProof/>
          <w:lang w:val="fi-FI" w:eastAsia="fi-FI" w:bidi="fi-FI"/>
        </w:rPr>
        <w:t xml:space="preserve">Suomi: </w:t>
      </w:r>
      <w:r>
        <w:rPr>
          <w:rFonts w:ascii="Times New Roman" w:hAnsi="Times New Roman"/>
          <w:noProof/>
          <w:lang w:val="fi-FI" w:eastAsia="fi-FI" w:bidi="fi-FI"/>
        </w:rPr>
        <w:t xml:space="preserve">Makrotalouden epätasapainoa koskevan menettelyn edellisellä kierroksella Suomella </w:t>
      </w:r>
      <w:r>
        <w:rPr>
          <w:rFonts w:ascii="Times New Roman" w:hAnsi="Times New Roman"/>
          <w:i/>
          <w:noProof/>
          <w:lang w:val="fi-FI" w:eastAsia="fi-FI" w:bidi="fi-FI"/>
        </w:rPr>
        <w:t>ei havaittu makrotalouden</w:t>
      </w:r>
      <w:r>
        <w:rPr>
          <w:rFonts w:ascii="Times New Roman" w:hAnsi="Times New Roman"/>
          <w:i/>
          <w:noProof/>
          <w:lang w:val="fi-FI" w:eastAsia="fi-FI" w:bidi="fi-FI"/>
        </w:rPr>
        <w:t xml:space="preserve"> epätasapainotiloja</w:t>
      </w:r>
      <w:r>
        <w:rPr>
          <w:rFonts w:ascii="Times New Roman" w:hAnsi="Times New Roman"/>
          <w:noProof/>
          <w:lang w:val="fi-FI" w:eastAsia="fi-FI" w:bidi="fi-FI"/>
        </w:rPr>
        <w:t xml:space="preserve">. Ajan tasalle saatetussa tulostaulussa seuraavat indikaattorit ylittävät ohjeelliset kynnysarvot: yksityisen sektorin velka ja julkinen velka. </w:t>
      </w: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83840" behindDoc="0" locked="0" layoutInCell="1" allowOverlap="1">
            <wp:simplePos x="0" y="0"/>
            <wp:positionH relativeFrom="column">
              <wp:posOffset>3344545</wp:posOffset>
            </wp:positionH>
            <wp:positionV relativeFrom="paragraph">
              <wp:posOffset>93345</wp:posOffset>
            </wp:positionV>
            <wp:extent cx="2590800" cy="28194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fi-FI" w:eastAsia="fi-FI" w:bidi="fi-FI"/>
        </w:rPr>
        <w:t>Useiden vuosien ajan alijäämäisenä pysynyt vaihtotase oli vuonna 2017 edelleen hieman negat</w:t>
      </w:r>
      <w:r>
        <w:rPr>
          <w:rFonts w:ascii="Times New Roman" w:hAnsi="Times New Roman"/>
          <w:noProof/>
          <w:lang w:val="fi-FI" w:eastAsia="fi-FI" w:bidi="fi-FI"/>
        </w:rPr>
        <w:t>iivinen, kun taas ulkomainen nettovarallisuusasema oli hivenen positiivinen. Vientimarkkinaosuudet elpyivät jo toista peräkkäistä vuotta. Samaan aikaan kustannuskilpailukykyindikaattorit paranivat, kun yksikkötyökustannukset supistuivat ja reaalinen efekti</w:t>
      </w:r>
      <w:r>
        <w:rPr>
          <w:rFonts w:ascii="Times New Roman" w:hAnsi="Times New Roman"/>
          <w:noProof/>
          <w:lang w:val="fi-FI" w:eastAsia="fi-FI" w:bidi="fi-FI"/>
        </w:rPr>
        <w:t>ivinen valuuttakurssi heikkeni. Vuosina 2018 ja 2019 vienti kasvaa todennäköisesti edelleen nopeammin kuin tuonti. Kustannuskilpailukykyindikaattorien kehityksen odotetaan kuitenkin vakaantuvan, kun kilpailukykysopimuksen myönteiset vaikutukset hiipuvat os</w:t>
      </w:r>
      <w:r>
        <w:rPr>
          <w:rFonts w:ascii="Times New Roman" w:hAnsi="Times New Roman"/>
          <w:noProof/>
          <w:lang w:val="fi-FI" w:eastAsia="fi-FI" w:bidi="fi-FI"/>
        </w:rPr>
        <w:t>ittain. Julkinen ja yksityinen velka suhteessa BKT:hen vähenivät edelleen vuonna 2017, mikä kuvastaa tuotannon voimakasta elpymistä. Suotuisat lainaehdot, matalat korot ja parantuneet talousnäkymät ovat kuitenkin kiihdyttäneet yksityisen luotonoton kasvua,</w:t>
      </w:r>
      <w:r>
        <w:rPr>
          <w:rFonts w:ascii="Times New Roman" w:hAnsi="Times New Roman"/>
          <w:noProof/>
          <w:lang w:val="fi-FI" w:eastAsia="fi-FI" w:bidi="fi-FI"/>
        </w:rPr>
        <w:t xml:space="preserve"> mikä saattaa vähentää velkaantumisen purkamista tulevaisuudessa. Yksityisen velan määrä on edelleen suuri. Kotitalouksilla on runsaasti velkaa, ja niiden säästämisaste on ennätyksellisen alhainen. Rahoitusala on edelleen hyvin pääomitettu, mikä rajoittaa </w:t>
      </w:r>
      <w:r>
        <w:rPr>
          <w:rFonts w:ascii="Times New Roman" w:hAnsi="Times New Roman"/>
          <w:noProof/>
          <w:lang w:val="fi-FI" w:eastAsia="fi-FI" w:bidi="fi-FI"/>
        </w:rPr>
        <w:t xml:space="preserve">rahoitusvakauteen kohdistuvia riskejä, ja suhteellisen vakaat asuntojen reaalihinnat viittaavat siihen, että kotitaloussektorin velkaantumiseen liittyvät riskit ovat vähäisiä. Julkisen talouden velkasuhde supistuu, mikä kuvastaa talouden kasvuolosuhteiden </w:t>
      </w:r>
      <w:r>
        <w:rPr>
          <w:rFonts w:ascii="Times New Roman" w:hAnsi="Times New Roman"/>
          <w:noProof/>
          <w:lang w:val="fi-FI" w:eastAsia="fi-FI" w:bidi="fi-FI"/>
        </w:rPr>
        <w:t xml:space="preserve">parantumista. Työllisyys lisääntyy edelleen ja työttömyys vähenee talouden lisääntyneen toimeliaisuuden ansiosta. </w:t>
      </w:r>
    </w:p>
    <w:p w:rsidR="00876CA6" w:rsidRDefault="0031278A">
      <w:pPr>
        <w:spacing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Talouspoliittisissa päätelmissä esiin nousevat yksityisen sektorin velkaan liittyvät haasteet, mutta riskit ovat vähäisiä. Yleisesti ottaen k</w:t>
      </w:r>
      <w:r>
        <w:rPr>
          <w:rFonts w:ascii="Times New Roman" w:hAnsi="Times New Roman"/>
          <w:i/>
          <w:noProof/>
          <w:lang w:val="fi-FI" w:eastAsia="fi-FI" w:bidi="fi-FI"/>
        </w:rPr>
        <w:t xml:space="preserve">omissio ei tässä vaiheessa katso tarpeelliseksi ryhtyä perusteellisiin jatkotutkimuksiin makrotalouden epätasapainoa koskevan menettelyn yhteydessä. </w:t>
      </w:r>
    </w:p>
    <w:p w:rsidR="00876CA6" w:rsidRDefault="00876CA6">
      <w:pPr>
        <w:spacing w:after="160" w:line="259" w:lineRule="auto"/>
        <w:jc w:val="both"/>
        <w:rPr>
          <w:rFonts w:ascii="Times New Roman" w:eastAsia="Calibri" w:hAnsi="Times New Roman" w:cs="Times New Roman"/>
          <w:i/>
          <w:noProof/>
          <w:lang w:val="fi-FI" w:eastAsia="fi-FI" w:bidi="fi-FI"/>
        </w:rPr>
      </w:pPr>
    </w:p>
    <w:p w:rsidR="00876CA6" w:rsidRDefault="0031278A">
      <w:pPr>
        <w:spacing w:before="120"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84864" behindDoc="0" locked="0" layoutInCell="1" allowOverlap="1">
            <wp:simplePos x="0" y="0"/>
            <wp:positionH relativeFrom="column">
              <wp:posOffset>3093085</wp:posOffset>
            </wp:positionH>
            <wp:positionV relativeFrom="paragraph">
              <wp:posOffset>92075</wp:posOffset>
            </wp:positionV>
            <wp:extent cx="2667000" cy="275082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Ruotsi:</w:t>
      </w:r>
      <w:r>
        <w:rPr>
          <w:rFonts w:ascii="Times New Roman" w:hAnsi="Times New Roman"/>
          <w:noProof/>
          <w:lang w:val="fi-FI" w:eastAsia="fi-FI" w:bidi="fi-FI"/>
        </w:rPr>
        <w:t xml:space="preserve"> Komissio päätteli maaliskuussa 2018, että Ruotsilla oli </w:t>
      </w:r>
      <w:r>
        <w:rPr>
          <w:rFonts w:ascii="Times New Roman" w:hAnsi="Times New Roman"/>
          <w:i/>
          <w:noProof/>
          <w:lang w:val="fi-FI" w:eastAsia="fi-FI" w:bidi="fi-FI"/>
        </w:rPr>
        <w:t>epätasapainotiloja</w:t>
      </w:r>
      <w:r>
        <w:rPr>
          <w:rFonts w:ascii="Times New Roman" w:hAnsi="Times New Roman"/>
          <w:noProof/>
          <w:lang w:val="fi-FI" w:eastAsia="fi-FI" w:bidi="fi-FI"/>
        </w:rPr>
        <w:t>, jotka liittyivät eri</w:t>
      </w:r>
      <w:r>
        <w:rPr>
          <w:rFonts w:ascii="Times New Roman" w:hAnsi="Times New Roman"/>
          <w:noProof/>
          <w:lang w:val="fi-FI" w:eastAsia="fi-FI" w:bidi="fi-FI"/>
        </w:rPr>
        <w:t xml:space="preserve">tyisesti asuntojen hintojen yliarvostukseen, johon yhdistyy kotitalouksien velan jatkuva lisääntyminen. Ajan tasalle saatetussa tulostaulussa yksityisen sektorin velka ylittää ohjeellisen kynnysarvon. </w:t>
      </w:r>
    </w:p>
    <w:p w:rsidR="00876CA6" w:rsidRDefault="0031278A">
      <w:pPr>
        <w:spacing w:before="120"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Vaihtotaseen ylijäämä pysyi maltillisena ja pieneni hieman vuonna 2017. Ulkomainen nettovarallisuusasema on supistunut hieman ja on nyt lähes tasapainossa. Vientimarkkinaosuuksien menetykset ovat muuttuneet maltillisemmiksi, ja indikaattori on nyt jonkin v</w:t>
      </w:r>
      <w:r>
        <w:rPr>
          <w:rFonts w:ascii="Times New Roman" w:hAnsi="Times New Roman"/>
          <w:noProof/>
          <w:lang w:val="fi-FI" w:eastAsia="fi-FI" w:bidi="fi-FI"/>
        </w:rPr>
        <w:t xml:space="preserve">erran kynnysarvon alapuolella. Yksikkötyökustannusten kasvu on hallinnassa, ja reaalinen efektiivinen valuuttakurssi on heikentynyt. </w:t>
      </w:r>
      <w:r>
        <w:rPr>
          <w:rFonts w:ascii="Times New Roman" w:hAnsi="Times New Roman"/>
          <w:noProof/>
          <w:color w:val="000000"/>
          <w:lang w:val="fi-FI" w:eastAsia="fi-FI" w:bidi="fi-FI"/>
        </w:rPr>
        <w:t>Kotitalouksilla on runsaasti velkaa, ja velan määrä on kasvanut jatkuvasti vuodesta 2008, myös vuonna 2017. Tähän kasvuun o</w:t>
      </w:r>
      <w:r>
        <w:rPr>
          <w:rFonts w:ascii="Times New Roman" w:hAnsi="Times New Roman"/>
          <w:noProof/>
          <w:color w:val="000000"/>
          <w:lang w:val="fi-FI" w:eastAsia="fi-FI" w:bidi="fi-FI"/>
        </w:rPr>
        <w:t>n liittynyt asuntojen hintojen nousu, mistä aiheutuu riskejä makrotalouden vakaudelle. Syksyllä 2017 asuntojen hinnat laskivat hieman, mutta ne ovat edelleen yleisesti ottaen erittäin korkeita. Asuntojen hintoja nostavat ja kotitalouksien velkaantuneisuutt</w:t>
      </w:r>
      <w:r>
        <w:rPr>
          <w:rFonts w:ascii="Times New Roman" w:hAnsi="Times New Roman"/>
          <w:noProof/>
          <w:color w:val="000000"/>
          <w:lang w:val="fi-FI" w:eastAsia="fi-FI" w:bidi="fi-FI"/>
        </w:rPr>
        <w:t>a kasvattavat etenkin omistusasumisen suotuisa verokohtelu, alhaiset asuntolainakorot ja asuntolainamarkkinoiden erityispiirteet. Pankkijärjestelmän riskit vaikuttavat olevan hallinnassa, sillä varojen laatu ja sektorin kannattavuus sekä kotitalouksien tal</w:t>
      </w:r>
      <w:r>
        <w:rPr>
          <w:rFonts w:ascii="Times New Roman" w:hAnsi="Times New Roman"/>
          <w:noProof/>
          <w:color w:val="000000"/>
          <w:lang w:val="fi-FI" w:eastAsia="fi-FI" w:bidi="fi-FI"/>
        </w:rPr>
        <w:t>oudellinen tilanne on yleisesti ottaen hyvä. Työmarkkinat kiristyvät, ja työttömyys vähenee edelleen.</w:t>
      </w:r>
      <w:r>
        <w:rPr>
          <w:noProof/>
          <w:lang w:val="fi-FI" w:eastAsia="fi-FI" w:bidi="fi-FI"/>
        </w:rPr>
        <w:t xml:space="preserve"> </w:t>
      </w:r>
    </w:p>
    <w:p w:rsidR="00876CA6" w:rsidRDefault="0031278A">
      <w:pPr>
        <w:spacing w:before="120" w:after="160" w:line="259" w:lineRule="auto"/>
        <w:jc w:val="both"/>
        <w:rPr>
          <w:rFonts w:ascii="Times New Roman" w:eastAsia="Calibri" w:hAnsi="Times New Roman" w:cs="Times New Roman"/>
          <w:i/>
          <w:noProof/>
          <w:lang w:val="fi-FI" w:eastAsia="fi-FI" w:bidi="fi-FI"/>
        </w:rPr>
      </w:pPr>
      <w:r>
        <w:rPr>
          <w:rFonts w:ascii="Times New Roman" w:hAnsi="Times New Roman"/>
          <w:i/>
          <w:noProof/>
          <w:lang w:val="fi-FI" w:eastAsia="fi-FI" w:bidi="fi-FI"/>
        </w:rPr>
        <w:t xml:space="preserve">Talouspoliittisissa päätelmissä esiin nousevat suureen yksityiseen velkaan ja asuntosektoriin liittyvät kysymykset. Komissio katsoo tämän vuoksi ja myös </w:t>
      </w:r>
      <w:r>
        <w:rPr>
          <w:rFonts w:ascii="Times New Roman" w:hAnsi="Times New Roman"/>
          <w:i/>
          <w:noProof/>
          <w:lang w:val="fi-FI" w:eastAsia="fi-FI" w:bidi="fi-FI"/>
        </w:rPr>
        <w:t>ottaen huomioon maaliskuussa 2018 havaittu epätasapaino, että on hyödyllistä selvittää tarkemmin, jatkuvatko vai purkautuvatko epätasapainot.</w:t>
      </w:r>
    </w:p>
    <w:p w:rsidR="00876CA6" w:rsidRDefault="00876CA6">
      <w:pPr>
        <w:spacing w:before="120" w:after="160" w:line="259" w:lineRule="auto"/>
        <w:jc w:val="both"/>
        <w:rPr>
          <w:rFonts w:ascii="Times New Roman" w:eastAsia="Calibri" w:hAnsi="Times New Roman" w:cs="Times New Roman"/>
          <w:i/>
          <w:noProof/>
          <w:lang w:val="fi-FI" w:eastAsia="fi-FI" w:bidi="fi-FI"/>
        </w:rPr>
      </w:pPr>
    </w:p>
    <w:p w:rsidR="00876CA6" w:rsidRDefault="0031278A">
      <w:pPr>
        <w:spacing w:after="160" w:line="259" w:lineRule="auto"/>
        <w:jc w:val="both"/>
        <w:rPr>
          <w:rFonts w:ascii="Times New Roman" w:eastAsia="Calibri" w:hAnsi="Times New Roman" w:cs="Times New Roman"/>
          <w:noProof/>
          <w:lang w:val="fi-FI" w:eastAsia="fi-FI" w:bidi="fi-FI"/>
        </w:rPr>
      </w:pPr>
      <w:r>
        <w:rPr>
          <w:noProof/>
          <w:lang w:eastAsia="en-GB"/>
        </w:rPr>
        <w:drawing>
          <wp:anchor distT="0" distB="0" distL="114300" distR="114300" simplePos="0" relativeHeight="251685888" behindDoc="0" locked="0" layoutInCell="1" allowOverlap="1">
            <wp:simplePos x="0" y="0"/>
            <wp:positionH relativeFrom="column">
              <wp:posOffset>3293110</wp:posOffset>
            </wp:positionH>
            <wp:positionV relativeFrom="paragraph">
              <wp:posOffset>35560</wp:posOffset>
            </wp:positionV>
            <wp:extent cx="2466975" cy="2545080"/>
            <wp:effectExtent l="0" t="0" r="9525" b="762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697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fi-FI" w:eastAsia="fi-FI" w:bidi="fi-FI"/>
        </w:rPr>
        <w:t>Yhdistynyt kuningaskunta</w:t>
      </w:r>
      <w:r>
        <w:rPr>
          <w:rFonts w:ascii="Times New Roman" w:hAnsi="Times New Roman"/>
          <w:noProof/>
          <w:lang w:val="fi-FI" w:eastAsia="fi-FI" w:bidi="fi-FI"/>
        </w:rPr>
        <w:t>: Makrotalouden epätasapainoa koskevan menettelyn edellisellä kierroksella Yhdistyneellä</w:t>
      </w:r>
      <w:r>
        <w:rPr>
          <w:rFonts w:ascii="Times New Roman" w:hAnsi="Times New Roman"/>
          <w:noProof/>
          <w:lang w:val="fi-FI" w:eastAsia="fi-FI" w:bidi="fi-FI"/>
        </w:rPr>
        <w:t xml:space="preserve"> kuningaskunnalla </w:t>
      </w:r>
      <w:r>
        <w:rPr>
          <w:rFonts w:ascii="Times New Roman" w:hAnsi="Times New Roman"/>
          <w:i/>
          <w:noProof/>
          <w:lang w:val="fi-FI" w:eastAsia="fi-FI" w:bidi="fi-FI"/>
        </w:rPr>
        <w:t>ei havaittu makrotalouden epätasapainotiloja</w:t>
      </w:r>
      <w:r>
        <w:rPr>
          <w:rFonts w:ascii="Times New Roman" w:hAnsi="Times New Roman"/>
          <w:noProof/>
          <w:lang w:val="fi-FI" w:eastAsia="fi-FI" w:bidi="fi-FI"/>
        </w:rPr>
        <w:t>. Ajan tasalle saatetussa tulostaulussa seuraavat indikaattorit ylittävät ohjeelliset kynnysarvot: vaihtotaseen alijäämä, yksityisen sektorin velka ja julkinen velka.</w:t>
      </w:r>
    </w:p>
    <w:p w:rsidR="00876CA6" w:rsidRDefault="0031278A">
      <w:pPr>
        <w:spacing w:after="160" w:line="259" w:lineRule="auto"/>
        <w:jc w:val="both"/>
        <w:rPr>
          <w:rFonts w:ascii="Times New Roman" w:eastAsia="Calibri" w:hAnsi="Times New Roman" w:cs="Times New Roman"/>
          <w:noProof/>
          <w:lang w:val="fi-FI" w:eastAsia="fi-FI" w:bidi="fi-FI"/>
        </w:rPr>
      </w:pPr>
      <w:r>
        <w:rPr>
          <w:rFonts w:ascii="Times New Roman" w:hAnsi="Times New Roman"/>
          <w:noProof/>
          <w:lang w:val="fi-FI" w:eastAsia="fi-FI" w:bidi="fi-FI"/>
        </w:rPr>
        <w:t xml:space="preserve">Vaihtotaseen alijäämä supistui hieman vuonna 2017 pääasiassa ensitulojen taseen paranemisen seurauksena. Tästä huolimatta alijäämä ja siihen liittyvät ulkoiset rahoitustarpeet ovat edelleen merkittävät. Englannin punnan heikkeneminen on tukenut ulkomaista </w:t>
      </w:r>
      <w:r>
        <w:rPr>
          <w:rFonts w:ascii="Times New Roman" w:hAnsi="Times New Roman"/>
          <w:noProof/>
          <w:lang w:val="fi-FI" w:eastAsia="fi-FI" w:bidi="fi-FI"/>
        </w:rPr>
        <w:t>nettovarallisuusasemaa, joka on hivenen negatiivinen, ja parantanut hintakilpailukykyä tilanteessa, jossa yksikkötyökustannusten kasvu on ollut maltillista. Tähän mennessä kaupan nettomääräinen reaktio Englannin punnan heikkenemiseen on kuitenkin ollut pet</w:t>
      </w:r>
      <w:r>
        <w:rPr>
          <w:rFonts w:ascii="Times New Roman" w:hAnsi="Times New Roman"/>
          <w:noProof/>
          <w:lang w:val="fi-FI" w:eastAsia="fi-FI" w:bidi="fi-FI"/>
        </w:rPr>
        <w:t>tymys. Useita vuosia jatkuneen velkavivun asteittaisen purkamisen jälkeen yksityisen sektorin velkasuhde on nyt alhaisimmillaan. Erityisesti kotitalouksien velan määrä on yhä suuri, ja sitä on edelleen seurattava tiiviisti. Asuntojen reaalihintojen nousu o</w:t>
      </w:r>
      <w:r>
        <w:rPr>
          <w:rFonts w:ascii="Times New Roman" w:hAnsi="Times New Roman"/>
          <w:noProof/>
          <w:lang w:val="fi-FI" w:eastAsia="fi-FI" w:bidi="fi-FI"/>
        </w:rPr>
        <w:t>n hidastunut, ja asumiskustannukset ovat vakiintumassa, joskin korkealle tasolle. Julkisen velan määrä on suuri ja pitkälti vakaa. Matala työttömyysaste on laskenut entistään työllisyyden voimakkaan kasvun myötä, vaikka työn tuottavuus onkin edelleen heikk</w:t>
      </w:r>
      <w:r>
        <w:rPr>
          <w:rFonts w:ascii="Times New Roman" w:hAnsi="Times New Roman"/>
          <w:noProof/>
          <w:lang w:val="fi-FI" w:eastAsia="fi-FI" w:bidi="fi-FI"/>
        </w:rPr>
        <w:t xml:space="preserve">o. </w:t>
      </w:r>
    </w:p>
    <w:p w:rsidR="00876CA6" w:rsidRDefault="0031278A">
      <w:pPr>
        <w:spacing w:after="160" w:line="259" w:lineRule="auto"/>
        <w:jc w:val="both"/>
        <w:rPr>
          <w:rFonts w:ascii="Times New Roman" w:eastAsia="Calibri" w:hAnsi="Times New Roman" w:cs="Times New Roman"/>
          <w:i/>
          <w:iCs/>
          <w:noProof/>
          <w:lang w:val="fi-FI" w:eastAsia="fi-FI" w:bidi="fi-FI"/>
        </w:rPr>
      </w:pPr>
      <w:r>
        <w:rPr>
          <w:rFonts w:ascii="Times New Roman" w:hAnsi="Times New Roman"/>
          <w:i/>
          <w:noProof/>
          <w:lang w:val="fi-FI" w:eastAsia="fi-FI" w:bidi="fi-FI"/>
        </w:rPr>
        <w:t>Talouspoliittisissa päätelmissä esiin nousevat eräät kysymykset, jotka liittyvät yksityiseen velkaan, asuntomarkkinoihin ja talouden ulkoiseen puoleen. Niistä näyttää aiheutuvan riskejä, jotka uhkaavat lyhyellä aikavälillä vakautta vain vähän. Komissio</w:t>
      </w:r>
      <w:r>
        <w:rPr>
          <w:rFonts w:ascii="Times New Roman" w:hAnsi="Times New Roman"/>
          <w:i/>
          <w:noProof/>
          <w:lang w:val="fi-FI" w:eastAsia="fi-FI" w:bidi="fi-FI"/>
        </w:rPr>
        <w:t xml:space="preserve"> ei tässä vaiheessa katso tarpeelliseksi ryhtyä perusteellisiin jatkotutkimuksiin makrotalouden epätasapainoa koskevan menettelyn yhteydessä. </w:t>
      </w:r>
    </w:p>
    <w:p w:rsidR="00876CA6" w:rsidRDefault="00876CA6">
      <w:pPr>
        <w:spacing w:after="160" w:line="259" w:lineRule="auto"/>
        <w:rPr>
          <w:rFonts w:ascii="Times New Roman" w:eastAsia="Calibri" w:hAnsi="Times New Roman" w:cs="Times New Roman"/>
          <w:b/>
          <w:noProof/>
          <w:lang w:val="fi-FI" w:eastAsia="fi-FI" w:bidi="fi-FI"/>
        </w:rPr>
      </w:pPr>
    </w:p>
    <w:p w:rsidR="00876CA6" w:rsidRDefault="0031278A">
      <w:pPr>
        <w:rPr>
          <w:rFonts w:ascii="Times New Roman" w:hAnsi="Times New Roman" w:cs="Times New Roman"/>
          <w:b/>
          <w:noProof/>
          <w:lang w:val="fi-FI"/>
        </w:rPr>
      </w:pPr>
      <w:r>
        <w:rPr>
          <w:rFonts w:ascii="Times New Roman" w:hAnsi="Times New Roman" w:cs="Times New Roman"/>
          <w:b/>
          <w:noProof/>
          <w:lang w:val="fi-FI"/>
        </w:rPr>
        <w:br w:type="page"/>
      </w:r>
    </w:p>
    <w:p w:rsidR="00876CA6" w:rsidRDefault="00876CA6">
      <w:pPr>
        <w:spacing w:before="120" w:after="120" w:line="240" w:lineRule="auto"/>
        <w:jc w:val="both"/>
        <w:rPr>
          <w:rFonts w:ascii="Times New Roman" w:hAnsi="Times New Roman" w:cs="Times New Roman"/>
          <w:b/>
          <w:noProof/>
          <w:lang w:val="fi-FI"/>
        </w:rPr>
        <w:sectPr w:rsidR="00876CA6">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876CA6" w:rsidRDefault="0031278A">
      <w:pPr>
        <w:spacing w:before="120" w:after="120" w:line="240" w:lineRule="auto"/>
        <w:jc w:val="both"/>
        <w:rPr>
          <w:rFonts w:ascii="Times New Roman" w:hAnsi="Times New Roman" w:cs="Times New Roman"/>
          <w:b/>
          <w:noProof/>
        </w:rPr>
      </w:pPr>
      <w:r>
        <w:rPr>
          <w:noProof/>
          <w:lang w:eastAsia="en-GB"/>
        </w:rPr>
        <w:drawing>
          <wp:inline distT="0" distB="0" distL="0" distR="0">
            <wp:extent cx="9254490" cy="5328285"/>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4490" cy="5328285"/>
                    </a:xfrm>
                    <a:prstGeom prst="rect">
                      <a:avLst/>
                    </a:prstGeom>
                    <a:noFill/>
                  </pic:spPr>
                </pic:pic>
              </a:graphicData>
            </a:graphic>
          </wp:inline>
        </w:drawing>
      </w:r>
      <w:r>
        <w:rPr>
          <w:noProof/>
          <w:lang w:eastAsia="en-GB"/>
        </w:rPr>
        <w:drawing>
          <wp:inline distT="0" distB="0" distL="0" distR="0">
            <wp:extent cx="9010650" cy="49320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10650" cy="4932045"/>
                    </a:xfrm>
                    <a:prstGeom prst="rect">
                      <a:avLst/>
                    </a:prstGeom>
                    <a:noFill/>
                  </pic:spPr>
                </pic:pic>
              </a:graphicData>
            </a:graphic>
          </wp:inline>
        </w:drawing>
      </w:r>
      <w:r>
        <w:rPr>
          <w:noProof/>
          <w:lang w:eastAsia="en-GB"/>
        </w:rPr>
        <w:t xml:space="preserve">  </w:t>
      </w:r>
    </w:p>
    <w:p w:rsidR="00876CA6" w:rsidRDefault="0031278A">
      <w:pPr>
        <w:spacing w:before="120" w:after="120" w:line="240" w:lineRule="auto"/>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9004300" cy="521843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04300" cy="5218430"/>
                    </a:xfrm>
                    <a:prstGeom prst="rect">
                      <a:avLst/>
                    </a:prstGeom>
                    <a:noFill/>
                  </pic:spPr>
                </pic:pic>
              </a:graphicData>
            </a:graphic>
          </wp:inline>
        </w:drawing>
      </w:r>
      <w:r>
        <w:rPr>
          <w:rFonts w:ascii="Times New Roman" w:hAnsi="Times New Roman" w:cs="Times New Roman"/>
          <w:b/>
          <w:noProof/>
        </w:rPr>
        <w:t xml:space="preserve"> </w:t>
      </w:r>
    </w:p>
    <w:sectPr w:rsidR="00876CA6">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CA6" w:rsidRDefault="0031278A">
      <w:pPr>
        <w:spacing w:after="0" w:line="240" w:lineRule="auto"/>
      </w:pPr>
      <w:r>
        <w:separator/>
      </w:r>
    </w:p>
  </w:endnote>
  <w:endnote w:type="continuationSeparator" w:id="0">
    <w:p w:rsidR="00876CA6" w:rsidRDefault="00312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FooterCoverPage"/>
      <w:rPr>
        <w:rFonts w:ascii="Arial" w:hAnsi="Arial" w:cs="Arial"/>
        <w:b/>
        <w:sz w:val="48"/>
      </w:rPr>
    </w:pPr>
    <w:r w:rsidRPr="0031278A">
      <w:rPr>
        <w:rFonts w:ascii="Arial" w:hAnsi="Arial" w:cs="Arial"/>
        <w:b/>
        <w:sz w:val="48"/>
      </w:rPr>
      <w:t>FI</w:t>
    </w:r>
    <w:r w:rsidRPr="0031278A">
      <w:rPr>
        <w:rFonts w:ascii="Arial" w:hAnsi="Arial" w:cs="Arial"/>
        <w:b/>
        <w:sz w:val="48"/>
      </w:rPr>
      <w:tab/>
    </w:r>
    <w:r w:rsidRPr="0031278A">
      <w:rPr>
        <w:rFonts w:ascii="Arial" w:hAnsi="Arial" w:cs="Arial"/>
        <w:b/>
        <w:sz w:val="48"/>
      </w:rPr>
      <w:tab/>
    </w:r>
    <w:r w:rsidRPr="0031278A">
      <w:tab/>
    </w:r>
    <w:r w:rsidRPr="0031278A">
      <w:rPr>
        <w:rFonts w:ascii="Arial" w:hAnsi="Arial" w:cs="Arial"/>
        <w:b/>
        <w:sz w:val="48"/>
      </w:rPr>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31278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876CA6" w:rsidRDefault="00876C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876CA6" w:rsidRDefault="0031278A">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876CA6" w:rsidRDefault="00876CA6">
    <w:pPr>
      <w:pStyle w:val="Footer"/>
      <w:jc w:val="center"/>
      <w:rPr>
        <w:rFonts w:ascii="Arial" w:hAnsi="Arial" w:cs="Arial"/>
        <w:b/>
        <w:sz w:val="4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31278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876CA6" w:rsidRDefault="00876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876CA6" w:rsidRDefault="0031278A">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rsidR="00876CA6" w:rsidRDefault="00876CA6">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CA6" w:rsidRDefault="0031278A">
      <w:pPr>
        <w:spacing w:after="0" w:line="240" w:lineRule="auto"/>
      </w:pPr>
      <w:r>
        <w:separator/>
      </w:r>
    </w:p>
  </w:footnote>
  <w:footnote w:type="continuationSeparator" w:id="0">
    <w:p w:rsidR="00876CA6" w:rsidRDefault="0031278A">
      <w:pPr>
        <w:spacing w:after="0" w:line="240" w:lineRule="auto"/>
      </w:pPr>
      <w:r>
        <w:continuationSeparator/>
      </w:r>
    </w:p>
  </w:footnote>
  <w:footnote w:id="1">
    <w:p w:rsidR="00876CA6" w:rsidRDefault="0031278A">
      <w:pPr>
        <w:jc w:val="both"/>
        <w:rPr>
          <w:rFonts w:ascii="Times New Roman" w:hAnsi="Times New Roman" w:cs="Times New Roman"/>
          <w:lang w:val="fi-FI"/>
        </w:rPr>
      </w:pPr>
      <w:r>
        <w:rPr>
          <w:rFonts w:ascii="Times New Roman" w:hAnsi="Times New Roman"/>
          <w:vertAlign w:val="superscript"/>
          <w:lang w:val="fi-FI"/>
        </w:rPr>
        <w:footnoteRef/>
      </w:r>
      <w:r>
        <w:rPr>
          <w:rFonts w:ascii="Times New Roman" w:hAnsi="Times New Roman"/>
          <w:lang w:val="fi-FI"/>
        </w:rPr>
        <w:t xml:space="preserve"> Tähän kertomukseen liittyy </w:t>
      </w:r>
      <w:r>
        <w:rPr>
          <w:rFonts w:ascii="Times New Roman" w:hAnsi="Times New Roman"/>
          <w:i/>
          <w:lang w:val="fi-FI"/>
        </w:rPr>
        <w:t>tilastoliite</w:t>
      </w:r>
      <w:r>
        <w:rPr>
          <w:rFonts w:ascii="Times New Roman" w:hAnsi="Times New Roman"/>
          <w:lang w:val="fi-FI"/>
        </w:rPr>
        <w:t xml:space="preserve">, jonka sisältämiä kattavia tilastotietoja on käytetty kertomusta laadittaessa. </w:t>
      </w:r>
    </w:p>
  </w:footnote>
  <w:footnote w:id="2">
    <w:p w:rsidR="00876CA6" w:rsidRDefault="0031278A">
      <w:pPr>
        <w:jc w:val="both"/>
        <w:rPr>
          <w:rFonts w:ascii="Times New Roman" w:hAnsi="Times New Roman" w:cs="Times New Roman"/>
          <w:lang w:val="fi-FI"/>
        </w:rPr>
      </w:pPr>
      <w:r>
        <w:rPr>
          <w:rFonts w:ascii="Times New Roman" w:hAnsi="Times New Roman"/>
          <w:vertAlign w:val="superscript"/>
          <w:lang w:val="fi-FI"/>
        </w:rPr>
        <w:footnoteRef/>
      </w:r>
      <w:r>
        <w:rPr>
          <w:rFonts w:ascii="Times New Roman" w:hAnsi="Times New Roman"/>
          <w:lang w:val="fi-FI"/>
        </w:rPr>
        <w:t xml:space="preserve"> Ks. asetuksen (EU) N:o 1176/2011 5 artikla.</w:t>
      </w:r>
    </w:p>
  </w:footnote>
  <w:footnote w:id="3">
    <w:p w:rsidR="00876CA6" w:rsidRDefault="0031278A">
      <w:pPr>
        <w:jc w:val="both"/>
        <w:rPr>
          <w:rFonts w:ascii="Times New Roman" w:hAnsi="Times New Roman" w:cs="Times New Roman"/>
          <w:lang w:val="fi-FI"/>
        </w:rPr>
      </w:pPr>
      <w:r>
        <w:rPr>
          <w:rFonts w:ascii="Times New Roman" w:hAnsi="Times New Roman"/>
          <w:vertAlign w:val="superscript"/>
          <w:lang w:val="fi-FI"/>
        </w:rPr>
        <w:footnoteRef/>
      </w:r>
      <w:r>
        <w:rPr>
          <w:rFonts w:ascii="Times New Roman" w:hAnsi="Times New Roman"/>
          <w:lang w:val="fi-FI"/>
        </w:rPr>
        <w:t xml:space="preserve"> Jean-Claude Junckerin, Donald Tuskin, Jeroen Dijsselbloemin, Mario Draghin ja Martin Schulzin 22. kesäkuuta 2015 antamassa kertomuksessa talous- ja rahaliiton viimeistelystä ehdotettiin, että makrotalouden epätasapainojen vaikutuksiin euroalueella olisi k</w:t>
      </w:r>
      <w:r>
        <w:rPr>
          <w:rFonts w:ascii="Times New Roman" w:hAnsi="Times New Roman"/>
          <w:lang w:val="fi-FI"/>
        </w:rPr>
        <w:t>iinnitettävä enemmän huomiota. Riippuvuuksien merkitys ja epätasapainojen systeemiset vaikutukset on otettu huomioon asetuksessa (EU) N:o 1176/2011, jonka määritelmien mukaan ”epätasapaino tarkoittaa mitä tahansa sellaiseen makrotalouden kehitykseen johtav</w:t>
      </w:r>
      <w:r>
        <w:rPr>
          <w:rFonts w:ascii="Times New Roman" w:hAnsi="Times New Roman"/>
          <w:lang w:val="fi-FI"/>
        </w:rPr>
        <w:t>aa suuntausta, joka vaikuttaa tai voi vaikuttaa kielteisesti jäsenvaltion talouden, talous- ja rahaliiton tai koko unionin moitteettomaan toimintaan”.</w:t>
      </w:r>
    </w:p>
  </w:footnote>
  <w:footnote w:id="4">
    <w:p w:rsidR="00876CA6" w:rsidRDefault="0031278A">
      <w:pPr>
        <w:rPr>
          <w:lang w:val="fi-FI"/>
        </w:rPr>
      </w:pPr>
      <w:r>
        <w:rPr>
          <w:rStyle w:val="FootnoteReference"/>
          <w:lang w:val="fi-FI"/>
        </w:rPr>
        <w:footnoteRef/>
      </w:r>
      <w:r>
        <w:rPr>
          <w:lang w:val="fi-FI"/>
        </w:rPr>
        <w:t xml:space="preserve"> Ks. esim. EKP:n talouskatsaus (</w:t>
      </w:r>
      <w:r>
        <w:rPr>
          <w:i/>
          <w:lang w:val="fi-FI"/>
        </w:rPr>
        <w:t>Economic Bulletin</w:t>
      </w:r>
      <w:r>
        <w:rPr>
          <w:lang w:val="fi-FI"/>
        </w:rPr>
        <w:t>) 5/2018.</w:t>
      </w:r>
    </w:p>
  </w:footnote>
  <w:footnote w:id="5">
    <w:p w:rsidR="00876CA6" w:rsidRDefault="0031278A">
      <w:pPr>
        <w:rPr>
          <w:lang w:val="fi-FI"/>
        </w:rPr>
      </w:pPr>
      <w:r>
        <w:rPr>
          <w:rStyle w:val="FootnoteReference"/>
          <w:lang w:val="fi-FI"/>
        </w:rPr>
        <w:footnoteRef/>
      </w:r>
      <w:r>
        <w:rPr>
          <w:lang w:val="fi-FI"/>
        </w:rPr>
        <w:t xml:space="preserve"> Ks. myös Kansainvälinen valuuttarahasto, </w:t>
      </w:r>
      <w:r>
        <w:rPr>
          <w:i/>
          <w:lang w:val="fi-FI"/>
        </w:rPr>
        <w:t>Wo</w:t>
      </w:r>
      <w:r>
        <w:rPr>
          <w:i/>
          <w:lang w:val="fi-FI"/>
        </w:rPr>
        <w:t>rld Economic Outlook</w:t>
      </w:r>
      <w:r>
        <w:rPr>
          <w:lang w:val="fi-FI"/>
        </w:rPr>
        <w:t>, lokakuu 2018.</w:t>
      </w:r>
    </w:p>
  </w:footnote>
  <w:footnote w:id="6">
    <w:p w:rsidR="00876CA6" w:rsidRDefault="0031278A">
      <w:pPr>
        <w:rPr>
          <w:lang w:val="fi-FI"/>
        </w:rPr>
      </w:pPr>
      <w:r>
        <w:rPr>
          <w:rStyle w:val="FootnoteReference"/>
          <w:lang w:val="fi-FI"/>
        </w:rPr>
        <w:footnoteRef/>
      </w:r>
      <w:r>
        <w:rPr>
          <w:lang w:val="fi-FI"/>
        </w:rPr>
        <w:t xml:space="preserve"> Tekstikehyksessä 3 tarkastellaan työllisyyden ja sosiaalisen tilanteen viimeaikaista kehitystä EU:ssa.</w:t>
      </w:r>
    </w:p>
  </w:footnote>
  <w:footnote w:id="7">
    <w:p w:rsidR="00876CA6" w:rsidRDefault="0031278A">
      <w:pPr>
        <w:rPr>
          <w:lang w:val="fi-FI"/>
        </w:rPr>
      </w:pPr>
      <w:r>
        <w:rPr>
          <w:rStyle w:val="FootnoteReference"/>
          <w:lang w:val="fi-FI"/>
        </w:rPr>
        <w:footnoteRef/>
      </w:r>
      <w:r>
        <w:rPr>
          <w:lang w:val="fi-FI"/>
        </w:rPr>
        <w:t xml:space="preserve"> Ks. myös Euroopan komission vuotuinen kasvuselvitys 2019.</w:t>
      </w:r>
    </w:p>
  </w:footnote>
  <w:footnote w:id="8">
    <w:p w:rsidR="00876CA6" w:rsidRDefault="0031278A">
      <w:pPr>
        <w:jc w:val="both"/>
        <w:rPr>
          <w:rFonts w:ascii="Times New Roman" w:hAnsi="Times New Roman" w:cs="Times New Roman"/>
          <w:lang w:val="fi-FI"/>
        </w:rPr>
      </w:pPr>
      <w:r>
        <w:rPr>
          <w:rFonts w:ascii="Times New Roman" w:hAnsi="Times New Roman"/>
          <w:vertAlign w:val="superscript"/>
          <w:lang w:val="fi-FI"/>
        </w:rPr>
        <w:footnoteRef/>
      </w:r>
      <w:r>
        <w:rPr>
          <w:rFonts w:ascii="Times New Roman" w:hAnsi="Times New Roman"/>
          <w:lang w:val="fi-FI"/>
        </w:rPr>
        <w:t xml:space="preserve"> Asetuksen (EU) N:o 1176/2011 6 artikla.</w:t>
      </w:r>
    </w:p>
  </w:footnote>
  <w:footnote w:id="9">
    <w:p w:rsidR="00876CA6" w:rsidRDefault="0031278A">
      <w:pPr>
        <w:jc w:val="both"/>
        <w:rPr>
          <w:rFonts w:ascii="Times New Roman" w:hAnsi="Times New Roman" w:cs="Times New Roman"/>
          <w:lang w:val="fi-FI"/>
        </w:rPr>
      </w:pPr>
      <w:r>
        <w:rPr>
          <w:rFonts w:ascii="Times New Roman" w:hAnsi="Times New Roman"/>
          <w:vertAlign w:val="superscript"/>
          <w:lang w:val="fi-FI"/>
        </w:rPr>
        <w:footnoteRef/>
      </w:r>
      <w:r>
        <w:rPr>
          <w:rFonts w:ascii="Times New Roman" w:hAnsi="Times New Roman"/>
          <w:lang w:val="fi-FI"/>
        </w:rPr>
        <w:t xml:space="preserve"> Ks. Talousp</w:t>
      </w:r>
      <w:r>
        <w:rPr>
          <w:rFonts w:ascii="Times New Roman" w:hAnsi="Times New Roman"/>
          <w:lang w:val="fi-FI"/>
        </w:rPr>
        <w:t xml:space="preserve">olitiikan EU-ohjausjakso 2018: rakenneuudistusten edistymisen arviointi, makrotalouden epätasapainojen ehkäiseminen ja korjaaminen sekä asetuksen (EU) N:o 1176/2011 nojalla tehtyjen perusteellisten tarkastelujen tulokset (COM(2018) 120 final, 7.3.2018). </w:t>
      </w:r>
    </w:p>
  </w:footnote>
  <w:footnote w:id="10">
    <w:p w:rsidR="00876CA6" w:rsidRDefault="0031278A">
      <w:pPr>
        <w:jc w:val="both"/>
        <w:rPr>
          <w:lang w:val="fi-FI"/>
        </w:rPr>
      </w:pPr>
      <w:r>
        <w:rPr>
          <w:rStyle w:val="FootnoteReference"/>
          <w:lang w:val="fi-FI"/>
        </w:rPr>
        <w:footnoteRef/>
      </w:r>
      <w:r>
        <w:rPr>
          <w:lang w:val="fi-FI"/>
        </w:rPr>
        <w:t xml:space="preserve"> Jäsenvaltiot, jotka ovat rahoitustukeen liittyvän makrotalouden sopeutusohjelman kohteena, on vapautettu makrotalouden epätasapainoa koskevan menettelyn mukaisesta valvonnasta (rahoitusvakautensa osalta vakavissa vaikeuksissa olevien tai vakavien vaikeuks</w:t>
      </w:r>
      <w:r>
        <w:rPr>
          <w:lang w:val="fi-FI"/>
        </w:rPr>
        <w:t>ien uhasta kärsivien euroalueen jäsenvaltioiden talouden ja julkisen talouden valvonnan tiukentamisesta 21 päivänä toukokuuta 2013 annetun Euroopan parlamentin ja neuvoston asetuksen (EU) N:o 472/2013 11 artikla).</w:t>
      </w:r>
    </w:p>
  </w:footnote>
  <w:footnote w:id="11">
    <w:p w:rsidR="00876CA6" w:rsidRDefault="0031278A">
      <w:pPr>
        <w:jc w:val="both"/>
        <w:rPr>
          <w:i/>
          <w:lang w:val="fi-FI"/>
        </w:rPr>
      </w:pPr>
      <w:r>
        <w:rPr>
          <w:rStyle w:val="FootnoteReference"/>
          <w:lang w:val="fi-FI"/>
        </w:rPr>
        <w:footnoteRef/>
      </w:r>
      <w:r>
        <w:rPr>
          <w:lang w:val="fi-FI"/>
        </w:rPr>
        <w:t xml:space="preserve"> Euroopan järjestelmäriskikomitea antoi m</w:t>
      </w:r>
      <w:r>
        <w:rPr>
          <w:lang w:val="fi-FI"/>
        </w:rPr>
        <w:t>arraskuussa 2016 maakohtaiset varoitukset asuntokiinteistösektorin keskipitkän aikavälin haavoittuvuustekijöistä kahdeksalle jäsenvaltiolle: Alankomaille, Belgialle, Itävallalle, Luxemburgille, Ruotsille, Suomelle, Tanskalle ja Yhdistyneelle kuningaskunnal</w:t>
      </w:r>
      <w:r>
        <w:rPr>
          <w:lang w:val="fi-FI"/>
        </w:rPr>
        <w:t>le.</w:t>
      </w:r>
    </w:p>
  </w:footnote>
  <w:footnote w:id="12">
    <w:p w:rsidR="00876CA6" w:rsidRDefault="0031278A">
      <w:pPr>
        <w:jc w:val="both"/>
        <w:rPr>
          <w:lang w:val="fi-FI"/>
        </w:rPr>
      </w:pPr>
      <w:r>
        <w:rPr>
          <w:rStyle w:val="FootnoteReference"/>
          <w:lang w:val="fi-FI"/>
        </w:rPr>
        <w:footnoteRef/>
      </w:r>
      <w:r>
        <w:rPr>
          <w:lang w:val="fi-FI"/>
        </w:rPr>
        <w:t xml:space="preserve"> Tarkempia tietoja uusien indikaattoreiden tilastomääritelmistä on Euroopan komission valmisteluasiakirjassa </w:t>
      </w:r>
      <w:r>
        <w:rPr>
          <w:i/>
          <w:lang w:val="fi-FI"/>
        </w:rPr>
        <w:t>Envisaged revision of selected auxiliary indicators of the MIP scoreboard</w:t>
      </w:r>
      <w:r>
        <w:rPr>
          <w:lang w:val="fi-FI"/>
        </w:rPr>
        <w:t>, tekninen huomautus; https://ec.europa.eu/info/business-economy-euro</w:t>
      </w:r>
      <w:r>
        <w:rPr>
          <w:lang w:val="fi-FI"/>
        </w:rPr>
        <w:t>/economic-and-fiscal-policy-coordination/eu-economic-governance-monitoring-prevention-correction/macroeconomic-imbalance-procedure/scoreboard_en.</w:t>
      </w:r>
    </w:p>
  </w:footnote>
  <w:footnote w:id="13">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Tulostaulun sisällön loogisesta perustasta ja tulostaulun tulkinnasta ks. Euroopan komission vuonna 2016 laa</w:t>
      </w:r>
      <w:r>
        <w:rPr>
          <w:rFonts w:ascii="Times New Roman" w:hAnsi="Times New Roman"/>
          <w:lang w:val="fi-FI"/>
        </w:rPr>
        <w:t>tima, makrotalouden epätasapainomenettelyä koskeva tiivistelmä (</w:t>
      </w:r>
      <w:r>
        <w:rPr>
          <w:rFonts w:ascii="Times New Roman" w:hAnsi="Times New Roman"/>
          <w:i/>
          <w:lang w:val="fi-FI"/>
        </w:rPr>
        <w:t>The Macroeconomic Imbalance Procedure. Rationale, Process, Application: A Compendium</w:t>
      </w:r>
      <w:r>
        <w:rPr>
          <w:rFonts w:ascii="Times New Roman" w:hAnsi="Times New Roman"/>
          <w:lang w:val="fi-FI"/>
        </w:rPr>
        <w:t>, European Economy, Institutional Paper 039).</w:t>
      </w:r>
    </w:p>
  </w:footnote>
  <w:footnote w:id="14">
    <w:p w:rsidR="00876CA6" w:rsidRDefault="0031278A">
      <w:pPr>
        <w:jc w:val="both"/>
        <w:rPr>
          <w:rFonts w:ascii="Times New Roman" w:hAnsi="Times New Roman" w:cs="Times New Roman"/>
          <w:sz w:val="18"/>
          <w:szCs w:val="18"/>
          <w:lang w:val="fi-FI"/>
        </w:rPr>
      </w:pPr>
      <w:r>
        <w:rPr>
          <w:rStyle w:val="FootnoteReference"/>
          <w:rFonts w:ascii="Times New Roman" w:hAnsi="Times New Roman"/>
          <w:lang w:val="fi-FI"/>
        </w:rPr>
        <w:footnoteRef/>
      </w:r>
      <w:r>
        <w:rPr>
          <w:rFonts w:ascii="Times New Roman" w:hAnsi="Times New Roman"/>
          <w:lang w:val="fi-FI"/>
        </w:rPr>
        <w:t xml:space="preserve"> Tulostaulun indikaattoreista ja niiden ohjeellisista kynnysa</w:t>
      </w:r>
      <w:r>
        <w:rPr>
          <w:rFonts w:ascii="Times New Roman" w:hAnsi="Times New Roman"/>
          <w:lang w:val="fi-FI"/>
        </w:rPr>
        <w:t>rvoista on tarkempi selvitys liitteen taulukossa 1.1. Lisäindikaattorit esitetään taulukossa 2.1. Kuten kuvioon 1 liitetyssä huomautuksessa todetaan, tulostaulun tietojen kehityksen tulkinta perustuu kunkin varoitusmekanismia koskevan kertomuksen laatimish</w:t>
      </w:r>
      <w:r>
        <w:rPr>
          <w:rFonts w:ascii="Times New Roman" w:hAnsi="Times New Roman"/>
          <w:lang w:val="fi-FI"/>
        </w:rPr>
        <w:t>etkellä saatavilla olleisiin tietoihin. Varoitusmekanismia koskevan vuoden 2019 kertomuksen tietojen koontipäivä oli 24. lokakuuta 2018.</w:t>
      </w:r>
    </w:p>
  </w:footnote>
  <w:footnote w:id="15">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Suhdannekorjatussa vaihtotaseessa otetaan huomioon suhdanteen vaikutus mukauttamalla vaihtotasetta kotimaisen tuotant</w:t>
      </w:r>
      <w:r>
        <w:rPr>
          <w:rFonts w:ascii="Times New Roman" w:hAnsi="Times New Roman"/>
          <w:lang w:val="fi-FI"/>
        </w:rPr>
        <w:t xml:space="preserve">okuilun ja kauppakumppanimaiden tuotantokuilun perusteella, ks. M. Salto ja A. Turrini (2010), </w:t>
      </w:r>
      <w:r>
        <w:rPr>
          <w:rFonts w:ascii="Times New Roman" w:hAnsi="Times New Roman"/>
          <w:i/>
          <w:lang w:val="fi-FI"/>
        </w:rPr>
        <w:t>Comparing alternative methodologies for real exchange rate assessment</w:t>
      </w:r>
      <w:r>
        <w:rPr>
          <w:rFonts w:ascii="Times New Roman" w:hAnsi="Times New Roman"/>
          <w:lang w:val="fi-FI"/>
        </w:rPr>
        <w:t>, European Economy, Discussion Paper 427/2010.</w:t>
      </w:r>
    </w:p>
  </w:footnote>
  <w:footnote w:id="16">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Perustekijöiden mukaiset (norminmukaiset) v</w:t>
      </w:r>
      <w:r>
        <w:rPr>
          <w:rFonts w:ascii="Times New Roman" w:hAnsi="Times New Roman"/>
          <w:lang w:val="fi-FI"/>
        </w:rPr>
        <w:t>aihtotaseet on johdettu redusoiduilla regressiomalleilla, jotka kattavat säästöjen ja investointien tasapainon kannalta tärkeimmät vaikutustekijät, kuten perustekijät, politiikkatekijät ja rahoitusalan maailmanlaajuisen tilanteen. Menetelmä vastaa ulkoisen</w:t>
      </w:r>
      <w:r>
        <w:rPr>
          <w:rFonts w:ascii="Times New Roman" w:hAnsi="Times New Roman"/>
          <w:lang w:val="fi-FI"/>
        </w:rPr>
        <w:t xml:space="preserve"> tasapainon arviointia koskevassa Kansainvälisen valuuttarahaston valmisteluasiakirjassa selostettua menetelmää (S. Phillips ym. (2013), </w:t>
      </w:r>
      <w:r>
        <w:rPr>
          <w:rFonts w:ascii="Times New Roman" w:hAnsi="Times New Roman"/>
          <w:i/>
          <w:lang w:val="fi-FI"/>
        </w:rPr>
        <w:t>The External Balance Assessment (EBA) Methodology</w:t>
      </w:r>
      <w:r>
        <w:rPr>
          <w:rFonts w:ascii="Times New Roman" w:hAnsi="Times New Roman"/>
          <w:lang w:val="fi-FI"/>
        </w:rPr>
        <w:t xml:space="preserve">, IMF Working Paper, 13/272). Ks. L. Coutinho ym. (2018), </w:t>
      </w:r>
      <w:r>
        <w:rPr>
          <w:rFonts w:ascii="Times New Roman" w:hAnsi="Times New Roman"/>
          <w:i/>
          <w:lang w:val="fi-FI"/>
        </w:rPr>
        <w:t>Methodologie</w:t>
      </w:r>
      <w:r>
        <w:rPr>
          <w:rFonts w:ascii="Times New Roman" w:hAnsi="Times New Roman"/>
          <w:i/>
          <w:lang w:val="fi-FI"/>
        </w:rPr>
        <w:t>s for the assessment of current account benchmarks</w:t>
      </w:r>
      <w:r>
        <w:rPr>
          <w:rFonts w:ascii="Times New Roman" w:hAnsi="Times New Roman"/>
          <w:lang w:val="fi-FI"/>
        </w:rPr>
        <w:t>, European Economy, Discussion Paper 86, 2018, jossa kuvaillaan tässä varoitusmekanismia koskevassa kertomuksessa perustekijöiden mukaisen vaihtotaseen laskennassa käytettyä menetelmää.</w:t>
      </w:r>
    </w:p>
  </w:footnote>
  <w:footnote w:id="17">
    <w:p w:rsidR="00876CA6" w:rsidRDefault="0031278A">
      <w:pPr>
        <w:jc w:val="both"/>
        <w:rPr>
          <w:rFonts w:cstheme="minorHAnsi"/>
          <w:lang w:val="fi-FI"/>
        </w:rPr>
      </w:pPr>
      <w:r>
        <w:rPr>
          <w:rStyle w:val="FootnoteReference"/>
          <w:rFonts w:cstheme="minorHAnsi"/>
          <w:lang w:val="fi-FI"/>
        </w:rPr>
        <w:footnoteRef/>
      </w:r>
      <w:r>
        <w:rPr>
          <w:lang w:val="fi-FI"/>
        </w:rPr>
        <w:t xml:space="preserve"> Vaihtotaseen vertailuarvojen osalta ks. L. Coutinho ym. (2018); maakohtaisten ulkomaista nettovarallisuusasemaa koskevien varovaisuuskynnysarvojen osalta ks. alaviite </w:t>
      </w:r>
      <w:r>
        <w:rPr>
          <w:rFonts w:ascii="Times New Roman" w:eastAsia="Times New Roman" w:hAnsi="Times New Roman" w:cs="Times New Roman"/>
          <w:sz w:val="20"/>
          <w:szCs w:val="20"/>
          <w:lang w:val="fi-FI" w:eastAsia="fi-FI" w:bidi="fi-FI"/>
        </w:rPr>
        <w:fldChar w:fldCharType="begin" w:fldLock="1"/>
      </w:r>
      <w:r>
        <w:rPr>
          <w:rFonts w:ascii="Times New Roman" w:eastAsia="Times New Roman" w:hAnsi="Times New Roman" w:cs="Times New Roman"/>
          <w:sz w:val="20"/>
          <w:szCs w:val="20"/>
          <w:lang w:val="fi-FI" w:eastAsia="fi-FI" w:bidi="fi-FI"/>
        </w:rPr>
        <w:instrText xml:space="preserve"> NOTEREF _Ref526336022 \h  \* MERGEFORMAT </w:instrText>
      </w:r>
      <w:r>
        <w:rPr>
          <w:rFonts w:ascii="Times New Roman" w:eastAsia="Times New Roman" w:hAnsi="Times New Roman" w:cs="Times New Roman"/>
          <w:sz w:val="20"/>
          <w:szCs w:val="20"/>
          <w:lang w:val="fi-FI" w:eastAsia="fi-FI" w:bidi="fi-FI"/>
        </w:rPr>
      </w:r>
      <w:r>
        <w:rPr>
          <w:rFonts w:ascii="Times New Roman" w:eastAsia="Times New Roman" w:hAnsi="Times New Roman" w:cs="Times New Roman"/>
          <w:sz w:val="20"/>
          <w:szCs w:val="20"/>
          <w:lang w:val="fi-FI" w:eastAsia="fi-FI" w:bidi="fi-FI"/>
        </w:rPr>
        <w:fldChar w:fldCharType="separate"/>
      </w:r>
      <w:r>
        <w:rPr>
          <w:rFonts w:ascii="Times New Roman" w:eastAsia="Times New Roman" w:hAnsi="Times New Roman" w:cs="Times New Roman"/>
          <w:sz w:val="20"/>
          <w:szCs w:val="20"/>
          <w:lang w:val="fi-FI" w:eastAsia="fi-FI" w:bidi="fi-FI"/>
        </w:rPr>
        <w:t>18</w:t>
      </w:r>
      <w:r>
        <w:rPr>
          <w:rFonts w:ascii="Times New Roman" w:eastAsia="Times New Roman" w:hAnsi="Times New Roman" w:cs="Times New Roman"/>
          <w:sz w:val="20"/>
          <w:szCs w:val="20"/>
          <w:lang w:val="fi-FI" w:eastAsia="fi-FI" w:bidi="fi-FI"/>
        </w:rPr>
        <w:fldChar w:fldCharType="end"/>
      </w:r>
      <w:r>
        <w:rPr>
          <w:lang w:val="fi-FI"/>
        </w:rPr>
        <w:t xml:space="preserve">. </w:t>
      </w:r>
    </w:p>
  </w:footnote>
  <w:footnote w:id="18">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Perustekijöiden mukainen ulkomainen nettovarallisuusasema saadaan norminmukaisten vaihtotaseiden kasautuessa ajan mittaan (ks. myös alaviite</w:t>
      </w:r>
      <w:r>
        <w:rPr>
          <w:rFonts w:ascii="Times New Roman" w:hAnsi="Times New Roman" w:cs="Times New Roman"/>
          <w:lang w:val="fi-FI"/>
        </w:rPr>
        <w:t xml:space="preserve"> </w:t>
      </w:r>
      <w:r>
        <w:rPr>
          <w:sz w:val="20"/>
          <w:lang w:val="fi-FI" w:eastAsia="fi-FI" w:bidi="fi-FI"/>
        </w:rPr>
        <w:fldChar w:fldCharType="begin" w:fldLock="1"/>
      </w:r>
      <w:r>
        <w:rPr>
          <w:sz w:val="20"/>
          <w:lang w:val="fi-FI" w:eastAsia="fi-FI" w:bidi="fi-FI"/>
        </w:rPr>
        <w:instrText xml:space="preserve"> NOTEREF _Ref526526513 \h  \* MERGEFORMAT </w:instrText>
      </w:r>
      <w:r>
        <w:rPr>
          <w:sz w:val="20"/>
          <w:lang w:val="fi-FI" w:eastAsia="fi-FI" w:bidi="fi-FI"/>
        </w:rPr>
      </w:r>
      <w:r>
        <w:rPr>
          <w:sz w:val="20"/>
          <w:lang w:val="fi-FI" w:eastAsia="fi-FI" w:bidi="fi-FI"/>
        </w:rPr>
        <w:fldChar w:fldCharType="separate"/>
      </w:r>
      <w:r>
        <w:rPr>
          <w:sz w:val="20"/>
          <w:lang w:val="fi-FI" w:eastAsia="fi-FI" w:bidi="fi-FI"/>
        </w:rPr>
        <w:t>16</w:t>
      </w:r>
      <w:r>
        <w:rPr>
          <w:sz w:val="20"/>
          <w:lang w:val="fi-FI" w:eastAsia="fi-FI" w:bidi="fi-FI"/>
        </w:rPr>
        <w:fldChar w:fldCharType="end"/>
      </w:r>
      <w:r>
        <w:rPr>
          <w:rFonts w:ascii="Times New Roman" w:hAnsi="Times New Roman"/>
          <w:lang w:val="fi-FI"/>
        </w:rPr>
        <w:t>). Ulkomaisen nettovarallisuusaseman varovaisuuskynnysarvot määritetään maksimoimalla signaalien voimakkuus ennustettaessa maksutasekriisiä. Laskennassa otetaan huomioon maakohtaiset tiedot, jotka esitetään asukasta kohden laskett</w:t>
      </w:r>
      <w:r>
        <w:rPr>
          <w:rFonts w:ascii="Times New Roman" w:hAnsi="Times New Roman"/>
          <w:lang w:val="fi-FI"/>
        </w:rPr>
        <w:t xml:space="preserve">una tulotasona. Ulkomaisen nettovarallisuusaseman laskennassa käytetyn menetelmän osalta ks. A. Turrini ja S. Zeugner, </w:t>
      </w:r>
      <w:r>
        <w:rPr>
          <w:rFonts w:ascii="Times New Roman" w:hAnsi="Times New Roman"/>
          <w:i/>
          <w:lang w:val="fi-FI"/>
        </w:rPr>
        <w:t>Benchmarks for Net International Investment Positions</w:t>
      </w:r>
      <w:r>
        <w:rPr>
          <w:rFonts w:ascii="Times New Roman" w:hAnsi="Times New Roman"/>
          <w:lang w:val="fi-FI"/>
        </w:rPr>
        <w:t xml:space="preserve">, European Economy, Discussion Paper, tulossa. </w:t>
      </w:r>
    </w:p>
  </w:footnote>
  <w:footnote w:id="19">
    <w:p w:rsidR="00876CA6" w:rsidRDefault="0031278A">
      <w:pPr>
        <w:jc w:val="both"/>
        <w:rPr>
          <w:lang w:val="fi-FI"/>
        </w:rPr>
      </w:pPr>
      <w:r>
        <w:rPr>
          <w:rStyle w:val="FootnoteReference"/>
          <w:lang w:val="fi-FI"/>
        </w:rPr>
        <w:footnoteRef/>
      </w:r>
      <w:r>
        <w:rPr>
          <w:lang w:val="fi-FI"/>
        </w:rPr>
        <w:t xml:space="preserve"> Kuten NENDI-muuttuja eli ulkomaine</w:t>
      </w:r>
      <w:r>
        <w:rPr>
          <w:lang w:val="fi-FI"/>
        </w:rPr>
        <w:t xml:space="preserve">n nettovarallisuusasema ilman maksukyvyttömyysriskittömiä instrumentteja osoittaa. </w:t>
      </w:r>
      <w:r>
        <w:rPr>
          <w:rFonts w:ascii="Times New Roman" w:hAnsi="Times New Roman"/>
          <w:lang w:val="fi-FI"/>
        </w:rPr>
        <w:t>Myönteistä on, että ulkomaisten nettovarallisuusasemien parantuminen näissä maissa vuonna 2017 johtui pääosin NENDIn parantumisesta.</w:t>
      </w:r>
    </w:p>
  </w:footnote>
  <w:footnote w:id="20">
    <w:p w:rsidR="00876CA6" w:rsidRDefault="0031278A">
      <w:pPr>
        <w:rPr>
          <w:lang w:val="fi-FI"/>
        </w:rPr>
      </w:pPr>
      <w:r>
        <w:rPr>
          <w:rStyle w:val="FootnoteReference"/>
          <w:lang w:val="fi-FI"/>
        </w:rPr>
        <w:footnoteRef/>
      </w:r>
      <w:r>
        <w:rPr>
          <w:lang w:val="fi-FI"/>
        </w:rPr>
        <w:t xml:space="preserve"> NENDIn merkitys vaihtelee huomattavasti näissä maissa, mikä kuvastaa myös niiden rahoituskeskusten merkitystä, kuten Luxemburgissa ja Maltassa, tai pankkien ja monikansallisten yritysten pääkonttoreiden ulkomaisen velan merkitystä, kuten Alankomaissa.</w:t>
      </w:r>
    </w:p>
  </w:footnote>
  <w:footnote w:id="21">
    <w:p w:rsidR="00876CA6" w:rsidRDefault="0031278A">
      <w:pPr>
        <w:jc w:val="both"/>
        <w:rPr>
          <w:lang w:val="fi-FI"/>
        </w:rPr>
      </w:pPr>
      <w:r>
        <w:rPr>
          <w:rStyle w:val="FootnoteReference"/>
          <w:lang w:val="fi-FI"/>
        </w:rPr>
        <w:footnoteRef/>
      </w:r>
      <w:r>
        <w:rPr>
          <w:lang w:val="fi-FI"/>
        </w:rPr>
        <w:t xml:space="preserve"> K</w:t>
      </w:r>
      <w:r>
        <w:rPr>
          <w:lang w:val="fi-FI"/>
        </w:rPr>
        <w:t xml:space="preserve">s. esim. Euroopan komissio (2018), </w:t>
      </w:r>
      <w:r>
        <w:rPr>
          <w:i/>
          <w:lang w:val="fi-FI"/>
        </w:rPr>
        <w:t>Labour markets and wage developments in Europe - Annual review 2018</w:t>
      </w:r>
      <w:r>
        <w:rPr>
          <w:lang w:val="fi-FI"/>
        </w:rPr>
        <w:t xml:space="preserve">, ja Z. Darvas ja I. Gonçalves Raposo (2018), </w:t>
      </w:r>
      <w:r>
        <w:rPr>
          <w:i/>
          <w:lang w:val="fi-FI"/>
        </w:rPr>
        <w:t>The ever-rising labour shortages in Europe</w:t>
      </w:r>
      <w:r>
        <w:rPr>
          <w:lang w:val="fi-FI"/>
        </w:rPr>
        <w:t>, Bruegel Blog Post, 25. tammikuuta 2018.</w:t>
      </w:r>
    </w:p>
  </w:footnote>
  <w:footnote w:id="22">
    <w:p w:rsidR="00876CA6" w:rsidRDefault="0031278A">
      <w:pPr>
        <w:jc w:val="both"/>
        <w:rPr>
          <w:lang w:val="fi-FI"/>
        </w:rPr>
      </w:pPr>
      <w:r>
        <w:rPr>
          <w:rStyle w:val="FootnoteReference"/>
          <w:lang w:val="fi-FI"/>
        </w:rPr>
        <w:footnoteRef/>
      </w:r>
      <w:r>
        <w:rPr>
          <w:lang w:val="fi-FI"/>
        </w:rPr>
        <w:t xml:space="preserve"> Vaikka marginaalin sup</w:t>
      </w:r>
      <w:r>
        <w:rPr>
          <w:lang w:val="fi-FI"/>
        </w:rPr>
        <w:t xml:space="preserve">istuminen estää kustannuskilpailukykyä vaikuttamasta kaupan ehtoihin, mikä puolestaan hillitsee vaikutusta kauppavirtoihin aloilla, joille on ominaista tuotteiden eriyttäminen ja markkinaehtoinen hinnoittelu, jatkuvasti heikentynyt kannattavuus merkitsisi </w:t>
      </w:r>
      <w:r>
        <w:rPr>
          <w:lang w:val="fi-FI"/>
        </w:rPr>
        <w:t>ajan myötä avoimen sektorin kaventumista.</w:t>
      </w:r>
    </w:p>
  </w:footnote>
  <w:footnote w:id="23">
    <w:p w:rsidR="00876CA6" w:rsidRDefault="0031278A">
      <w:pPr>
        <w:jc w:val="both"/>
        <w:rPr>
          <w:lang w:val="fi-FI"/>
        </w:rPr>
      </w:pPr>
      <w:r>
        <w:rPr>
          <w:rStyle w:val="FootnoteReference"/>
          <w:lang w:val="fi-FI"/>
        </w:rPr>
        <w:footnoteRef/>
      </w:r>
      <w:r>
        <w:rPr>
          <w:lang w:val="fi-FI"/>
        </w:rPr>
        <w:t xml:space="preserve"> Ks. Euroopan komission syksyn 2018 talousennuste ja IMF (2018), </w:t>
      </w:r>
      <w:r>
        <w:rPr>
          <w:i/>
          <w:lang w:val="fi-FI"/>
        </w:rPr>
        <w:t>World Economic Outlook</w:t>
      </w:r>
      <w:r>
        <w:rPr>
          <w:lang w:val="fi-FI"/>
        </w:rPr>
        <w:t>, lokakuu 2018. Ks. myös liitteessä oleva taulukko 2.1, jossa vertaillaan vientitulosta kehittyneisiin talouksiin.</w:t>
      </w:r>
    </w:p>
  </w:footnote>
  <w:footnote w:id="24">
    <w:p w:rsidR="00876CA6" w:rsidRDefault="0031278A">
      <w:pPr>
        <w:spacing w:after="0"/>
        <w:jc w:val="both"/>
        <w:rPr>
          <w:sz w:val="20"/>
          <w:szCs w:val="20"/>
          <w:lang w:val="fi-FI"/>
        </w:rPr>
      </w:pPr>
      <w:r>
        <w:rPr>
          <w:rStyle w:val="FootnoteReference"/>
          <w:lang w:val="fi-FI"/>
        </w:rPr>
        <w:footnoteRef/>
      </w:r>
      <w:r>
        <w:rPr>
          <w:lang w:val="fi-FI"/>
        </w:rPr>
        <w:t xml:space="preserve"> </w:t>
      </w:r>
      <w:r>
        <w:rPr>
          <w:sz w:val="20"/>
          <w:szCs w:val="20"/>
          <w:lang w:val="fi-FI"/>
        </w:rPr>
        <w:t>Maksutase</w:t>
      </w:r>
      <w:r>
        <w:rPr>
          <w:sz w:val="20"/>
          <w:szCs w:val="20"/>
          <w:lang w:val="fi-FI"/>
        </w:rPr>
        <w:t>tietoihin perustuvia euroalueen vaihtotaselukuja tarkistettiin hiljattain hieman alaspäin, ja ne osoittavat tällä hetkellä ylijäämää, joka on vuoden 2015 osalta noin 0,3 prosenttiyksikköä ja vuoden 2016 osalta noin 0,1 prosenttiyksikköä pienempi verrattuna</w:t>
      </w:r>
      <w:r>
        <w:rPr>
          <w:sz w:val="20"/>
          <w:szCs w:val="20"/>
          <w:lang w:val="fi-FI"/>
        </w:rPr>
        <w:t xml:space="preserve"> vuotta aikaisemmin käytettävissä olleisiin lukuihin. Euroalueen aggregaattitasolla vaihtotase suhteessa muuhun maailmaan oli 3,2 prosenttia suhteessa BKT:hen vuosina 2016 ja 2017 sekä maksutasetilastojen että kansantalouden tilinpidon lukujen mukaan. Euro</w:t>
      </w:r>
      <w:r>
        <w:rPr>
          <w:sz w:val="20"/>
          <w:szCs w:val="20"/>
          <w:lang w:val="fi-FI"/>
        </w:rPr>
        <w:t>alueen jäsenvaltioiden vaihtotaseiden summa on kuitenkin 3,5 prosenttia suhteessa euroalueen BKT:hen vuonna 2016 ja 4 prosenttia vuonna 2017. Euroalueen aggregaattitason ja jäsenvaltioiden vaihtotaseiden summan välinen ero johtuu jäsenvaltioiden ilmoittami</w:t>
      </w:r>
      <w:r>
        <w:rPr>
          <w:sz w:val="20"/>
          <w:szCs w:val="20"/>
          <w:lang w:val="fi-FI"/>
        </w:rPr>
        <w:t xml:space="preserve">en epäsymmetristen tietojen mukauttamisesta. </w:t>
      </w:r>
    </w:p>
  </w:footnote>
  <w:footnote w:id="25">
    <w:p w:rsidR="00876CA6" w:rsidRDefault="0031278A">
      <w:pPr>
        <w:spacing w:after="0"/>
        <w:jc w:val="both"/>
        <w:rPr>
          <w:sz w:val="20"/>
          <w:szCs w:val="20"/>
          <w:lang w:val="fi-FI"/>
        </w:rPr>
      </w:pPr>
      <w:r>
        <w:rPr>
          <w:rStyle w:val="FootnoteReference"/>
          <w:lang w:val="fi-FI"/>
        </w:rPr>
        <w:footnoteRef/>
      </w:r>
      <w:r>
        <w:rPr>
          <w:lang w:val="fi-FI"/>
        </w:rPr>
        <w:t xml:space="preserve"> </w:t>
      </w:r>
      <w:r>
        <w:rPr>
          <w:sz w:val="20"/>
          <w:szCs w:val="20"/>
          <w:lang w:val="fi-FI"/>
        </w:rPr>
        <w:t xml:space="preserve">Perustekijöiden mukaisen vaihtotaseen (norminmukainen vaihtotase) laskennassa käytettävän menetelmän osalta ks. alaviite </w:t>
      </w:r>
      <w:r>
        <w:rPr>
          <w:sz w:val="20"/>
          <w:lang w:val="fi-FI" w:eastAsia="fi-FI" w:bidi="fi-FI"/>
        </w:rPr>
        <w:fldChar w:fldCharType="begin" w:fldLock="1"/>
      </w:r>
      <w:r>
        <w:rPr>
          <w:sz w:val="20"/>
          <w:lang w:val="fi-FI" w:eastAsia="fi-FI" w:bidi="fi-FI"/>
        </w:rPr>
        <w:instrText xml:space="preserve"> NOTEREF _Ref526526513 \h  \* MERGEFORMAT </w:instrText>
      </w:r>
      <w:r>
        <w:rPr>
          <w:sz w:val="20"/>
          <w:lang w:val="fi-FI" w:eastAsia="fi-FI" w:bidi="fi-FI"/>
        </w:rPr>
      </w:r>
      <w:r>
        <w:rPr>
          <w:sz w:val="20"/>
          <w:lang w:val="fi-FI" w:eastAsia="fi-FI" w:bidi="fi-FI"/>
        </w:rPr>
        <w:fldChar w:fldCharType="separate"/>
      </w:r>
      <w:r>
        <w:rPr>
          <w:sz w:val="20"/>
          <w:lang w:val="fi-FI" w:eastAsia="fi-FI" w:bidi="fi-FI"/>
        </w:rPr>
        <w:t>16</w:t>
      </w:r>
      <w:r>
        <w:rPr>
          <w:sz w:val="20"/>
          <w:lang w:val="fi-FI" w:eastAsia="fi-FI" w:bidi="fi-FI"/>
        </w:rPr>
        <w:fldChar w:fldCharType="end"/>
      </w:r>
      <w:r>
        <w:rPr>
          <w:sz w:val="20"/>
          <w:szCs w:val="20"/>
          <w:lang w:val="fi-FI"/>
        </w:rPr>
        <w:t xml:space="preserve"> ja siinä olevat viittaukset. Kansainvälisen valuuttarahaston vuonna 2018 laatiman ulkoista sektoria koskevan raportin (</w:t>
      </w:r>
      <w:r>
        <w:rPr>
          <w:i/>
          <w:sz w:val="20"/>
          <w:szCs w:val="20"/>
          <w:lang w:val="fi-FI"/>
        </w:rPr>
        <w:t>External Sector Report 2018</w:t>
      </w:r>
      <w:r>
        <w:rPr>
          <w:sz w:val="20"/>
          <w:szCs w:val="20"/>
          <w:lang w:val="fi-FI"/>
        </w:rPr>
        <w:t>) mukaan euroalueen norminmukainen vaihtotase olisi noin 1,5 prosenttia suhteessa BKT</w:t>
      </w:r>
      <w:r>
        <w:rPr>
          <w:sz w:val="20"/>
          <w:szCs w:val="20"/>
          <w:lang w:val="fi-FI"/>
        </w:rPr>
        <w:t>:hen.</w:t>
      </w:r>
    </w:p>
  </w:footnote>
  <w:footnote w:id="26">
    <w:p w:rsidR="00876CA6" w:rsidRDefault="0031278A">
      <w:pPr>
        <w:jc w:val="both"/>
        <w:rPr>
          <w:lang w:val="fi-FI"/>
        </w:rPr>
      </w:pPr>
      <w:r>
        <w:rPr>
          <w:rStyle w:val="FootnoteReference"/>
          <w:lang w:val="fi-FI"/>
        </w:rPr>
        <w:footnoteRef/>
      </w:r>
      <w:r>
        <w:rPr>
          <w:lang w:val="fi-FI"/>
        </w:rPr>
        <w:t xml:space="preserve"> </w:t>
      </w:r>
      <w:r>
        <w:rPr>
          <w:sz w:val="20"/>
          <w:szCs w:val="20"/>
          <w:lang w:val="fi-FI"/>
        </w:rPr>
        <w:t>Ennuste perustuu kansantalouden tilinpidon lukuihin.</w:t>
      </w:r>
    </w:p>
  </w:footnote>
  <w:footnote w:id="27">
    <w:p w:rsidR="00876CA6" w:rsidRDefault="0031278A">
      <w:pPr>
        <w:jc w:val="both"/>
        <w:rPr>
          <w:lang w:val="fi-FI"/>
        </w:rPr>
      </w:pPr>
      <w:r>
        <w:rPr>
          <w:rStyle w:val="FootnoteReference"/>
          <w:lang w:val="fi-FI"/>
        </w:rPr>
        <w:footnoteRef/>
      </w:r>
      <w:r>
        <w:rPr>
          <w:lang w:val="fi-FI"/>
        </w:rPr>
        <w:t xml:space="preserve"> </w:t>
      </w:r>
      <w:r>
        <w:rPr>
          <w:rFonts w:ascii="Times New Roman" w:hAnsi="Times New Roman"/>
          <w:lang w:val="fi-FI"/>
        </w:rPr>
        <w:t xml:space="preserve">Ks. myös EKP:n talouskatsaus 5/2018, kehikko 2. </w:t>
      </w:r>
    </w:p>
  </w:footnote>
  <w:footnote w:id="28">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Arvioitaessa energiatasenäkymiä olisi otettava huomioon myös euroalueen energiataseen asteittainen rakenteellinen parantuminen tietyllä öljyn </w:t>
      </w:r>
      <w:r>
        <w:rPr>
          <w:rFonts w:ascii="Times New Roman" w:hAnsi="Times New Roman"/>
          <w:lang w:val="fi-FI"/>
        </w:rPr>
        <w:t xml:space="preserve">hintatasolla, joka on yhteydessä paljon energiaa kuluttavien toimintojen heikompaan painoarvoon ja tuotantoprosessien energiatehokkuuden parantumiseen. Ks. esim. IAE (2018), </w:t>
      </w:r>
      <w:r>
        <w:rPr>
          <w:rFonts w:ascii="Times New Roman" w:hAnsi="Times New Roman"/>
          <w:i/>
          <w:lang w:val="fi-FI"/>
        </w:rPr>
        <w:t>Energy Efficiency 2017</w:t>
      </w:r>
      <w:r>
        <w:rPr>
          <w:rFonts w:ascii="Times New Roman" w:hAnsi="Times New Roman"/>
          <w:lang w:val="fi-FI"/>
        </w:rPr>
        <w:t>, Kansainvälinen energiajärjestö.</w:t>
      </w:r>
    </w:p>
  </w:footnote>
  <w:footnote w:id="29">
    <w:p w:rsidR="00876CA6" w:rsidRDefault="0031278A">
      <w:pPr>
        <w:jc w:val="both"/>
        <w:rPr>
          <w:lang w:val="fi-FI"/>
        </w:rPr>
      </w:pPr>
      <w:r>
        <w:rPr>
          <w:rStyle w:val="FootnoteReference"/>
          <w:lang w:val="fi-FI"/>
        </w:rPr>
        <w:footnoteRef/>
      </w:r>
      <w:r>
        <w:rPr>
          <w:lang w:val="fi-FI"/>
        </w:rPr>
        <w:t xml:space="preserve"> Ks. Euroopan komissio, Vuotuinen kasvuselvitys 2019, sekä B. Pierluigi ja D. Sondermann (2018), </w:t>
      </w:r>
      <w:r>
        <w:rPr>
          <w:i/>
          <w:lang w:val="fi-FI"/>
        </w:rPr>
        <w:t>Macroeconomic imbalances in the euro area: where do we stand?</w:t>
      </w:r>
      <w:r>
        <w:rPr>
          <w:lang w:val="fi-FI"/>
        </w:rPr>
        <w:t>,</w:t>
      </w:r>
      <w:r>
        <w:rPr>
          <w:rFonts w:ascii="Times New Roman" w:hAnsi="Times New Roman"/>
          <w:lang w:val="fi-FI"/>
        </w:rPr>
        <w:t xml:space="preserve"> </w:t>
      </w:r>
      <w:r>
        <w:rPr>
          <w:lang w:val="fi-FI"/>
        </w:rPr>
        <w:t>ECB Occasional Paper 211/2018.</w:t>
      </w:r>
    </w:p>
  </w:footnote>
  <w:footnote w:id="30">
    <w:p w:rsidR="00876CA6" w:rsidRDefault="0031278A">
      <w:pPr>
        <w:jc w:val="both"/>
        <w:rPr>
          <w:lang w:val="fi-FI"/>
        </w:rPr>
      </w:pPr>
      <w:bookmarkStart w:id="1" w:name="_GoBack"/>
      <w:bookmarkEnd w:id="1"/>
      <w:r>
        <w:rPr>
          <w:rStyle w:val="FootnoteReference"/>
          <w:lang w:val="fi-FI"/>
        </w:rPr>
        <w:footnoteRef/>
      </w:r>
      <w:r>
        <w:rPr>
          <w:lang w:val="fi-FI"/>
        </w:rPr>
        <w:t xml:space="preserve"> Nämä tekijät otetaan huomioon Euroopan komission yhteistyössä t</w:t>
      </w:r>
      <w:r>
        <w:rPr>
          <w:lang w:val="fi-FI"/>
        </w:rPr>
        <w:t xml:space="preserve">alouspoliittisen komitean LIME-työryhmän kanssa kehittämissä maakohtaisissa vertailuarvoissa (Euroopan komissio, </w:t>
      </w:r>
      <w:r>
        <w:rPr>
          <w:i/>
          <w:lang w:val="fi-FI"/>
        </w:rPr>
        <w:t>Benchmarks for the assessment of private debt</w:t>
      </w:r>
      <w:r>
        <w:rPr>
          <w:lang w:val="fi-FI"/>
        </w:rPr>
        <w:t xml:space="preserve">, selvitys talouspoliittiselle komitealla, ARES (2017) 4970814). Ensimmäisen vertailuarvon avulla </w:t>
      </w:r>
      <w:r>
        <w:rPr>
          <w:lang w:val="fi-FI"/>
        </w:rPr>
        <w:t xml:space="preserve">voidaan arvioida yksityistä velkaa suhteessa arvoihin, jotka voidaan selittää talouden perustekijöiden perusteella. Toinen vertailuarvo koostuu varovaisuuskynnysarvoista, jotka perustuvat signaalien maksimointiin pankkikriisien ennustamisessa ja joissa on </w:t>
      </w:r>
      <w:r>
        <w:rPr>
          <w:lang w:val="fi-FI"/>
        </w:rPr>
        <w:t>mukana maakohtaisia tietoja pankkien pääomatilanteesta, julkisesta velasta ja talouskehityksen tasosta. Useimmissa EU:n jäsenvaltioissa varoitusmekanismia koskevan kertomuksen tulostaulun kynnysarvon ylittävät yksityiset velkasuhteet ylittävät myös molemma</w:t>
      </w:r>
      <w:r>
        <w:rPr>
          <w:lang w:val="fi-FI"/>
        </w:rPr>
        <w:t>t maakohtaiset vertailuarvot.</w:t>
      </w:r>
    </w:p>
  </w:footnote>
  <w:footnote w:id="31">
    <w:p w:rsidR="00876CA6" w:rsidRDefault="0031278A">
      <w:pPr>
        <w:jc w:val="both"/>
        <w:rPr>
          <w:rFonts w:ascii="Times New Roman" w:hAnsi="Times New Roman" w:cs="Times New Roman"/>
          <w:sz w:val="18"/>
          <w:szCs w:val="18"/>
          <w:lang w:val="fi-FI"/>
        </w:rPr>
      </w:pPr>
      <w:r>
        <w:rPr>
          <w:rStyle w:val="FootnoteReference"/>
          <w:rFonts w:ascii="Times New Roman" w:hAnsi="Times New Roman"/>
          <w:lang w:val="fi-FI"/>
        </w:rPr>
        <w:footnoteRef/>
      </w:r>
      <w:r>
        <w:rPr>
          <w:rFonts w:ascii="Times New Roman" w:hAnsi="Times New Roman"/>
          <w:lang w:val="fi-FI"/>
        </w:rPr>
        <w:t xml:space="preserve"> </w:t>
      </w:r>
      <w:r>
        <w:rPr>
          <w:lang w:val="fi-FI"/>
        </w:rPr>
        <w:t>Poikkeuksen muodostavat Tšekki ja Slovakia. Tšekin tapauksessa rahoitusalan velkojen nopea kasvu vuonna 2017 johtuu suurelta osin ennen valuuttakurssisitoumuksen päättymistä toteutetuista rahoitustoimista, eikä se näin ollen</w:t>
      </w:r>
      <w:r>
        <w:rPr>
          <w:lang w:val="fi-FI"/>
        </w:rPr>
        <w:t xml:space="preserve"> kuvasta kotimaista lainanantotoimintaa. Slovakiassa kasvu johtui pääasiassa euroalueen ulkopuolisilta yksiköiltä peräisin olevien keskuspankin velkojen kasvusta. Tämä on saattanut olla yhteydessä Slovakian keskuspankin tarjoamiin varannonhoitopalveluihin,</w:t>
      </w:r>
      <w:r>
        <w:rPr>
          <w:lang w:val="fi-FI"/>
        </w:rPr>
        <w:t xml:space="preserve"> joilla ei ole välitöntä vaikutusta kotimaiseen talouteen.</w:t>
      </w:r>
    </w:p>
  </w:footnote>
  <w:footnote w:id="32">
    <w:p w:rsidR="00876CA6" w:rsidRDefault="0031278A">
      <w:pPr>
        <w:jc w:val="both"/>
        <w:rPr>
          <w:lang w:val="fi-FI"/>
        </w:rPr>
      </w:pPr>
      <w:r>
        <w:rPr>
          <w:rStyle w:val="FootnoteReference"/>
          <w:lang w:val="fi-FI"/>
        </w:rPr>
        <w:footnoteRef/>
      </w:r>
      <w:r>
        <w:rPr>
          <w:lang w:val="fi-FI"/>
        </w:rPr>
        <w:t xml:space="preserve"> Tulostaulun lisäindikaattoreihin sisältyvät järjestämättömät lainat määritellään bruttomääräisten järjestämättömien lainojen ja ennakkojen kokonaismäärän prosenttiosuudeksi bruttomääräisten laino</w:t>
      </w:r>
      <w:r>
        <w:rPr>
          <w:lang w:val="fi-FI"/>
        </w:rPr>
        <w:t>jen ja ennakkojen kokonaismäärästä (bruttomääräinen kirjanpitoarvo) raportointisektorilla ”kotimaiset pankkiryhmittymät ja itsenäiset pankit, ulkomaisessa määräysvallassa olevat tytäryhtiöt ja ulkomaisessa määräysvallassa olevat sivukonttorit, kaikki laito</w:t>
      </w:r>
      <w:r>
        <w:rPr>
          <w:lang w:val="fi-FI"/>
        </w:rPr>
        <w:t>kset”. Arvot annetaan taulukossa 2.1.</w:t>
      </w:r>
    </w:p>
  </w:footnote>
  <w:footnote w:id="33">
    <w:p w:rsidR="00876CA6" w:rsidRDefault="0031278A">
      <w:pPr>
        <w:jc w:val="both"/>
        <w:rPr>
          <w:lang w:val="fi-FI"/>
        </w:rPr>
      </w:pPr>
      <w:r>
        <w:rPr>
          <w:rStyle w:val="FootnoteReference"/>
          <w:lang w:val="fi-FI"/>
        </w:rPr>
        <w:footnoteRef/>
      </w:r>
      <w:r>
        <w:rPr>
          <w:lang w:val="fi-FI"/>
        </w:rPr>
        <w:t xml:space="preserve"> Yhdenmukaistetut järjestämättömien lainojen osuudet ovat käytettävissä vasta vuodesta 2014 alkaen. Kuviossa 17 esitetään bruttomääräisten järjestämättömien velkainstrumenttien osuus kaikista bruttomääräisistä velkain</w:t>
      </w:r>
      <w:r>
        <w:rPr>
          <w:lang w:val="fi-FI"/>
        </w:rPr>
        <w:t>strumenteista. Kyseinen osuus on saatavilla pidempinä aikasarjoina, ja sillä viitataan lainojen lisäksi myös muihin pankkialan hallussa oleviin velkainstrumentteihin. Viimeksi mainittu on tyypillisesti hieman alhaisempi kuin järjestämättömien lainojen osuu</w:t>
      </w:r>
      <w:r>
        <w:rPr>
          <w:lang w:val="fi-FI"/>
        </w:rPr>
        <w:t>det. Näiden kahden osuuden suurin ero on tällä hetkellä 4 prosenttiyksikköä (Kreikassa), kun useimmissa jäsenvaltioissa se on alle 1 prosenttiyksikköä.</w:t>
      </w:r>
    </w:p>
  </w:footnote>
  <w:footnote w:id="34">
    <w:p w:rsidR="00876CA6" w:rsidRDefault="0031278A">
      <w:pPr>
        <w:jc w:val="both"/>
        <w:rPr>
          <w:rFonts w:ascii="Times New Roman" w:hAnsi="Times New Roman" w:cs="Times New Roman"/>
          <w:lang w:val="fi-FI"/>
        </w:rPr>
      </w:pPr>
      <w:r>
        <w:rPr>
          <w:rStyle w:val="FootnoteReference"/>
          <w:rFonts w:ascii="Times New Roman" w:hAnsi="Times New Roman"/>
          <w:lang w:val="fi-FI"/>
        </w:rPr>
        <w:footnoteRef/>
      </w:r>
      <w:r>
        <w:rPr>
          <w:rFonts w:ascii="Times New Roman" w:hAnsi="Times New Roman"/>
          <w:lang w:val="fi-FI"/>
        </w:rPr>
        <w:t xml:space="preserve"> Hintojen arvostuksen arviointi perustuu kolmen parametrin keskiarvoon: i) maksukykykuilu (hinta-tulosu</w:t>
      </w:r>
      <w:r>
        <w:rPr>
          <w:rFonts w:ascii="Times New Roman" w:hAnsi="Times New Roman"/>
          <w:lang w:val="fi-FI"/>
        </w:rPr>
        <w:t>hteen poikkeama pitkän aikavälin keskiarvostaan); ii) tuottokuilu (hinta-vuokrasuhteen poikkeama pitkän aikavälin keskiarvostaan); ja iii) arviot siitä, miten paljon asuntojen hinnat poikkeavat asuntojen kysynnän ja tarjonnan perustekijöiden perusteella as</w:t>
      </w:r>
      <w:r>
        <w:rPr>
          <w:rFonts w:ascii="Times New Roman" w:hAnsi="Times New Roman"/>
          <w:lang w:val="fi-FI"/>
        </w:rPr>
        <w:t xml:space="preserve">ianmukaisesta tasapainotasosta. Ks. N. Philiponnet ja A. Turrini (2017), </w:t>
      </w:r>
      <w:r>
        <w:rPr>
          <w:rFonts w:ascii="Times New Roman" w:hAnsi="Times New Roman"/>
          <w:i/>
          <w:lang w:val="fi-FI"/>
        </w:rPr>
        <w:t>Assessing House Price Developments in the EU</w:t>
      </w:r>
      <w:r>
        <w:rPr>
          <w:rFonts w:ascii="Times New Roman" w:hAnsi="Times New Roman"/>
          <w:lang w:val="fi-FI"/>
        </w:rPr>
        <w:t>, Euroopan komission keskusteluasiakirja 048, toukokuu 2017. Kotitalouksien käytettävissä oleviin tuloihin asukasta kohti suhteutettuihin a</w:t>
      </w:r>
      <w:r>
        <w:rPr>
          <w:rFonts w:ascii="Times New Roman" w:hAnsi="Times New Roman"/>
          <w:lang w:val="fi-FI"/>
        </w:rPr>
        <w:t xml:space="preserve">suntojen hintatasoihin perustuvan vaihtoehtoisen indikaattorin perusteella Kroatiassa, Kyproksessa ja Virossa voisi olla yliarvostuksia. Sitä vastoin yliarvostus ei ole yhtä ilmeistä Tanskan, Tšekin ja Latvian osalta (katso Euroopan komissio, </w:t>
      </w:r>
      <w:r>
        <w:rPr>
          <w:rFonts w:ascii="Times New Roman" w:hAnsi="Times New Roman"/>
          <w:i/>
          <w:lang w:val="fi-FI"/>
        </w:rPr>
        <w:t>European Econ</w:t>
      </w:r>
      <w:r>
        <w:rPr>
          <w:rFonts w:ascii="Times New Roman" w:hAnsi="Times New Roman"/>
          <w:i/>
          <w:lang w:val="fi-FI"/>
        </w:rPr>
        <w:t>omic Forecast – Winter 2016</w:t>
      </w:r>
      <w:r>
        <w:rPr>
          <w:rFonts w:ascii="Times New Roman" w:hAnsi="Times New Roman"/>
          <w:lang w:val="fi-FI"/>
        </w:rPr>
        <w:t>, European Economy, Institutional Paper 20, 2016, (tekstikehys 1.4)).</w:t>
      </w:r>
    </w:p>
  </w:footnote>
  <w:footnote w:id="35">
    <w:p w:rsidR="00876CA6" w:rsidRDefault="0031278A">
      <w:pPr>
        <w:jc w:val="both"/>
        <w:rPr>
          <w:lang w:val="fi-FI"/>
        </w:rPr>
      </w:pPr>
      <w:r>
        <w:rPr>
          <w:rStyle w:val="FootnoteReference"/>
          <w:lang w:val="fi-FI"/>
        </w:rPr>
        <w:footnoteRef/>
      </w:r>
      <w:r>
        <w:rPr>
          <w:lang w:val="fi-FI"/>
        </w:rPr>
        <w:t xml:space="preserve"> Ilmoitetut maat ovat niitä, joissa asuntojen reaalihintojen nousuasteet vuoden 2018 ensimmäisellä puoliskolla ylittävät tai alittavat vuoden 2017 vuotuisen n</w:t>
      </w:r>
      <w:r>
        <w:rPr>
          <w:lang w:val="fi-FI"/>
        </w:rPr>
        <w:t>ousuasteen vähintään 2 prosenttiyksiköllä.</w:t>
      </w:r>
    </w:p>
  </w:footnote>
  <w:footnote w:id="36">
    <w:p w:rsidR="00876CA6" w:rsidRDefault="0031278A">
      <w:pPr>
        <w:jc w:val="both"/>
        <w:rPr>
          <w:rFonts w:ascii="Times New Roman" w:hAnsi="Times New Roman" w:cs="Times New Roman"/>
          <w:lang w:val="fi-FI"/>
        </w:rPr>
      </w:pPr>
      <w:r>
        <w:rPr>
          <w:rStyle w:val="FootnoteReference"/>
          <w:rFonts w:ascii="Times New Roman" w:hAnsi="Times New Roman"/>
          <w:sz w:val="18"/>
          <w:lang w:val="fi-FI"/>
        </w:rPr>
        <w:footnoteRef/>
      </w:r>
      <w:r>
        <w:rPr>
          <w:rFonts w:ascii="Times New Roman" w:hAnsi="Times New Roman"/>
          <w:sz w:val="18"/>
          <w:lang w:val="fi-FI"/>
        </w:rPr>
        <w:t xml:space="preserve"> </w:t>
      </w:r>
      <w:r>
        <w:rPr>
          <w:rFonts w:ascii="Times New Roman" w:hAnsi="Times New Roman"/>
          <w:i/>
          <w:sz w:val="18"/>
          <w:lang w:val="fi-FI"/>
        </w:rPr>
        <w:t>Köyhyysriskin tai sosiaalisen syrjäytymisen riskin alaisen väestön</w:t>
      </w:r>
      <w:r>
        <w:rPr>
          <w:rFonts w:ascii="Times New Roman" w:hAnsi="Times New Roman"/>
          <w:sz w:val="18"/>
          <w:lang w:val="fi-FI"/>
        </w:rPr>
        <w:t xml:space="preserve"> osuutta koskeva indikaattori kuvaa sellaisten henkilöiden osuutta, jotka ovat haavoittuvassa asemassa vähintään yhden seuraavassa luetellun sosi</w:t>
      </w:r>
      <w:r>
        <w:rPr>
          <w:rFonts w:ascii="Times New Roman" w:hAnsi="Times New Roman"/>
          <w:sz w:val="18"/>
          <w:lang w:val="fi-FI"/>
        </w:rPr>
        <w:t xml:space="preserve">aalisen indikaattorin perusteella: 1) </w:t>
      </w:r>
      <w:r>
        <w:rPr>
          <w:rFonts w:ascii="Times New Roman" w:hAnsi="Times New Roman"/>
          <w:i/>
          <w:sz w:val="18"/>
          <w:lang w:val="fi-FI"/>
        </w:rPr>
        <w:t>köyhyysriski</w:t>
      </w:r>
      <w:r>
        <w:rPr>
          <w:rFonts w:ascii="Times New Roman" w:hAnsi="Times New Roman"/>
          <w:sz w:val="18"/>
          <w:lang w:val="fi-FI"/>
        </w:rPr>
        <w:t>, jolla mitataan tuloköyhyyttä suhteessa kansalliseen tulonjakoon ja joka lasketaan sellaisten henkilöiden osuutena, joiden käytettävissä olevat tulot (mukautettuina kotitalouden koostumuksen perusteella) o</w:t>
      </w:r>
      <w:r>
        <w:rPr>
          <w:rFonts w:ascii="Times New Roman" w:hAnsi="Times New Roman"/>
          <w:sz w:val="18"/>
          <w:lang w:val="fi-FI"/>
        </w:rPr>
        <w:t xml:space="preserve">vat alle 60 prosenttia kansallisesta mediaanitulosta; 2) </w:t>
      </w:r>
      <w:r>
        <w:rPr>
          <w:rFonts w:ascii="Times New Roman" w:hAnsi="Times New Roman"/>
          <w:i/>
          <w:sz w:val="18"/>
          <w:lang w:val="fi-FI"/>
        </w:rPr>
        <w:t>vakava aineellinen puute</w:t>
      </w:r>
      <w:r>
        <w:rPr>
          <w:rFonts w:ascii="Times New Roman" w:hAnsi="Times New Roman"/>
          <w:sz w:val="18"/>
          <w:lang w:val="fi-FI"/>
        </w:rPr>
        <w:t>, joka kattaa resurssien puutteeseen liittyvät indikaattorit ja jolla mitataan sellaisten ihmisten osuutta, joiden elämässä toteutuu vähintään neljä puutetekijää yhdeksästä, k</w:t>
      </w:r>
      <w:r>
        <w:rPr>
          <w:rFonts w:ascii="Times New Roman" w:hAnsi="Times New Roman"/>
          <w:sz w:val="18"/>
          <w:lang w:val="fi-FI"/>
        </w:rPr>
        <w:t xml:space="preserve">oska heillä ei ole varaa tietyntyyppisiin hankintoihin; 3) </w:t>
      </w:r>
      <w:r>
        <w:rPr>
          <w:rFonts w:ascii="Times New Roman" w:hAnsi="Times New Roman"/>
          <w:i/>
          <w:sz w:val="18"/>
          <w:lang w:val="fi-FI"/>
        </w:rPr>
        <w:t>hyvin alhaisen työssäkäyntiasteen kotitalouksissa asuvilla</w:t>
      </w:r>
      <w:r>
        <w:rPr>
          <w:rFonts w:ascii="Times New Roman" w:hAnsi="Times New Roman"/>
          <w:sz w:val="18"/>
          <w:lang w:val="fi-FI"/>
        </w:rPr>
        <w:t xml:space="preserve"> tarkoitetaan 0–59-vuotiaita henkilöitä kotitalouksissa, joissa aikuiset (18–59-vuotiaat) ovat edeltävän vuoden aikana työskennelleet alle </w:t>
      </w:r>
      <w:r>
        <w:rPr>
          <w:rFonts w:ascii="Times New Roman" w:hAnsi="Times New Roman"/>
          <w:sz w:val="18"/>
          <w:lang w:val="fi-FI"/>
        </w:rPr>
        <w:t>20 prosenttia koko työpotentiaalistaan. Näissä mittausvälineissä käytettyjen tietojen osalta tulojen viitejakso on tietty 12 kuukauden jakso, kuten edellinen kalenteri- tai verovuosi, jota kaikkien maiden tiedot koskevat lukuun ottamatta Yhdistynyttä kunin</w:t>
      </w:r>
      <w:r>
        <w:rPr>
          <w:rFonts w:ascii="Times New Roman" w:hAnsi="Times New Roman"/>
          <w:sz w:val="18"/>
          <w:lang w:val="fi-FI"/>
        </w:rPr>
        <w:t xml:space="preserve">gaskuntaa, jonka osalta tulojen viitejakso on tutkimuksen tekovuosi, ja Irlantia, jossa tutkimus on jatkuva ja jossa tulotiedot kerätään tutkimusta edeltäneiltä 12 kuukaudelta. Tämän kertomuksen laadintahetkellä vuoden 2017 tiedot ovat saatavilla kaikista </w:t>
      </w:r>
      <w:r>
        <w:rPr>
          <w:rFonts w:ascii="Times New Roman" w:hAnsi="Times New Roman"/>
          <w:sz w:val="18"/>
          <w:lang w:val="fi-FI"/>
        </w:rPr>
        <w:t xml:space="preserve">maista Irlantia ja Yhdistynyttä kuningaskuntaa lukuun ottamatta. </w:t>
      </w:r>
    </w:p>
  </w:footnote>
  <w:footnote w:id="37">
    <w:p w:rsidR="00876CA6" w:rsidRDefault="0031278A">
      <w:pPr>
        <w:rPr>
          <w:lang w:val="fi-FI"/>
        </w:rPr>
      </w:pPr>
      <w:r>
        <w:rPr>
          <w:rStyle w:val="FootnoteReference"/>
          <w:lang w:val="fi-FI"/>
        </w:rPr>
        <w:footnoteRef/>
      </w:r>
      <w:r>
        <w:rPr>
          <w:lang w:val="fi-FI"/>
        </w:rPr>
        <w:t xml:space="preserve"> Sopimusvalmistus on prosessi, jossa kotimaassa sijaitsevat monikansalliset yritykset tekevät ulkomaisten yritysten kanssa sopimuksia tavaroiden valmistamisesta. Koska kotimaiset yritykset </w:t>
      </w:r>
      <w:r>
        <w:rPr>
          <w:lang w:val="fi-FI"/>
        </w:rPr>
        <w:t>omistavat nämä tavarat, niiden myynti kirjataan kotimaan vienniksi, vaikka ne eivät päädy kotimaan talouteen.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8A" w:rsidRPr="0031278A" w:rsidRDefault="0031278A" w:rsidP="0031278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pPr>
      <w:pStyle w:val="Header"/>
      <w:jc w:val="center"/>
    </w:pPr>
  </w:p>
  <w:p w:rsidR="00876CA6" w:rsidRDefault="00876CA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pPr>
      <w:pStyle w:val="Header"/>
      <w:jc w:val="center"/>
    </w:pPr>
  </w:p>
  <w:p w:rsidR="00876CA6" w:rsidRDefault="00876CA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A6" w:rsidRDefault="00876C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fi-FI"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31967A36-C571-444B-92F7-686185967782"/>
    <w:docVar w:name="LW_COVERPAGE_TYPE" w:val="1"/>
    <w:docVar w:name="LW_CROSSREFERENCE" w:val="{SWD(2018) 466 fnal}"/>
    <w:docVar w:name="LW_DocType" w:val="NORMAL"/>
    <w:docVar w:name="LW_EMISSION" w:val="31.1.2019"/>
    <w:docVar w:name="LW_EMISSION_ISODATE" w:val="2019-01-31"/>
    <w:docVar w:name="LW_EMISSION_LOCATION" w:val="BRX"/>
    <w:docVar w:name="LW_EMISSION_PREFIX" w:val="Bryssel "/>
    <w:docVar w:name="LW_EMISSION_SUFFIX" w:val=" "/>
    <w:docVar w:name="LW_ID_DOCTYPE_NONLW" w:val="CP-003"/>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OPAN PARLAMENTILLE, NEUVOSTOLLE, EUROOPAN KESKUSPANKILLE JA EUROOPAN TALOUS- JA SOSIAALIKOMITEALLE_x000d__x000d__x000b__x000d__x000d__x000b_Kertomus varoitusmekanismista - vuosi 2019_x000d__x000d__x000b__x000d__x000d__x000b_(makrotalouden epätasapainon ennalta ehkäisemisestä ja korjaamisesta annetun asetuksen (EU) N:o 1176/2011 3 ja 4 artiklan mukainen kertomus)"/>
    <w:docVar w:name="LW_TYPE.DOC.CP" w:val="KOMISSION KERTOMUS"/>
  </w:docVars>
  <w:rsids>
    <w:rsidRoot w:val="00876CA6"/>
    <w:rsid w:val="0031278A"/>
    <w:rsid w:val="00876C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FEF9745-53E6-43C1-91EA-4761683F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png"/><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B212A-3EF1-4051-AFAC-765E25E7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60</Pages>
  <Words>15149</Words>
  <Characters>130440</Characters>
  <Application>Microsoft Office Word</Application>
  <DocSecurity>0</DocSecurity>
  <Lines>1786</Lines>
  <Paragraphs>271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25</cp:revision>
  <cp:lastPrinted>2019-01-11T08:00:00Z</cp:lastPrinted>
  <dcterms:created xsi:type="dcterms:W3CDTF">2019-01-10T08:12:00Z</dcterms:created>
  <dcterms:modified xsi:type="dcterms:W3CDTF">2019-02-04T11:49:00Z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