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0BE782DF-A4D5-4A20-9A32-8E4DC2A7B6A8" style="width:450.8pt;height:306.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RAPPORT FRA KOMMISSIONEN TIL EUROPA-PARLAMENTET OG RÅDET</w:t>
      </w:r>
    </w:p>
    <w:p>
      <w:pPr>
        <w:pStyle w:val="Titreobjet"/>
        <w:rPr>
          <w:noProof/>
        </w:rPr>
      </w:pPr>
      <w:r>
        <w:rPr>
          <w:noProof/>
        </w:rPr>
        <w:t>om anvendelsen af Europa-Parlamentets og Rådets forordning (EU) nr. 1337/2011 af 13. december 2011 om europæiske statistikker vedrørende flerårige kulturer</w:t>
      </w:r>
    </w:p>
    <w:p>
      <w:pPr>
        <w:pStyle w:val="Heading1"/>
      </w:pPr>
      <w:r>
        <w:rPr>
          <w:rFonts w:ascii="Times New Roman" w:hAnsi="Times New Roman"/>
          <w:color w:val="auto"/>
          <w:sz w:val="24"/>
        </w:rPr>
        <w:t>1.</w:t>
      </w:r>
      <w:r>
        <w:tab/>
      </w:r>
      <w:r>
        <w:rPr>
          <w:rFonts w:ascii="Times New Roman" w:hAnsi="Times New Roman"/>
          <w:color w:val="auto"/>
          <w:sz w:val="24"/>
        </w:rPr>
        <w:t>BAGGRUND</w:t>
      </w:r>
    </w:p>
    <w:p>
      <w:pPr>
        <w:rPr>
          <w:noProof/>
        </w:rPr>
      </w:pPr>
    </w:p>
    <w:p>
      <w:pPr>
        <w:jc w:val="both"/>
        <w:rPr>
          <w:rFonts w:ascii="Times New Roman" w:eastAsia="Times New Roman" w:hAnsi="Times New Roman" w:cs="Times New Roman"/>
          <w:noProof/>
          <w:sz w:val="24"/>
          <w:szCs w:val="20"/>
        </w:rPr>
      </w:pPr>
      <w:r>
        <w:rPr>
          <w:rFonts w:ascii="Times New Roman" w:hAnsi="Times New Roman"/>
          <w:noProof/>
          <w:sz w:val="24"/>
        </w:rPr>
        <w:t>Forordning (EU) nr. 1337/2011 ("forordningen") om europæiske statistikker vedrørende flerårige kulturer</w:t>
      </w:r>
      <w:r>
        <w:rPr>
          <w:rStyle w:val="FootnoteReference"/>
          <w:rFonts w:ascii="Times New Roman" w:hAnsi="Times New Roman"/>
          <w:noProof/>
          <w:sz w:val="24"/>
        </w:rPr>
        <w:footnoteReference w:id="1"/>
      </w:r>
      <w:r>
        <w:rPr>
          <w:rFonts w:ascii="Times New Roman" w:hAnsi="Times New Roman"/>
          <w:noProof/>
          <w:sz w:val="24"/>
        </w:rPr>
        <w:t xml:space="preserve"> trådte i kraft den 1. januar 2012. Den ophævede to retsakter: Rådets forordning (EØF) nr. 357/79 af 5. februar 1979 om statistiske undersøgelser vedrørende vinarealerne</w:t>
      </w:r>
      <w:r>
        <w:rPr>
          <w:rStyle w:val="FootnoteReference"/>
          <w:rFonts w:ascii="Times New Roman" w:hAnsi="Times New Roman"/>
          <w:noProof/>
          <w:sz w:val="24"/>
        </w:rPr>
        <w:footnoteReference w:id="2"/>
      </w:r>
      <w:r>
        <w:rPr>
          <w:rFonts w:ascii="Times New Roman" w:hAnsi="Times New Roman"/>
          <w:noProof/>
          <w:sz w:val="24"/>
        </w:rPr>
        <w:t xml:space="preserve"> og Europa-Parlamentets og Rådets direktiv 2001/109/EF af 19. december 2001 om statistiske undersøgelser, der skal foretages for at bestemme produktionskapaciteten i plantager med visse arter af frugttræer</w:t>
      </w:r>
      <w:r>
        <w:rPr>
          <w:rStyle w:val="FootnoteReference"/>
          <w:rFonts w:ascii="Times New Roman" w:hAnsi="Times New Roman"/>
          <w:noProof/>
          <w:sz w:val="24"/>
        </w:rPr>
        <w:footnoteReference w:id="3"/>
      </w:r>
      <w:r>
        <w:rPr>
          <w:rFonts w:ascii="Times New Roman" w:hAnsi="Times New Roman"/>
          <w:noProof/>
          <w:sz w:val="24"/>
        </w:rPr>
        <w:t>. Forordning (EU) nr. 1337/2011 vedrører to indsamlinger af strukturelle data om flerårige kulturer:</w:t>
      </w:r>
    </w:p>
    <w:p>
      <w:pPr>
        <w:pStyle w:val="ListParagraph"/>
        <w:numPr>
          <w:ilvl w:val="0"/>
          <w:numId w:val="1"/>
        </w:numPr>
        <w:jc w:val="both"/>
        <w:rPr>
          <w:rFonts w:ascii="Times New Roman" w:eastAsia="Times New Roman" w:hAnsi="Times New Roman" w:cs="Times New Roman"/>
          <w:noProof/>
          <w:sz w:val="24"/>
          <w:szCs w:val="20"/>
        </w:rPr>
      </w:pPr>
      <w:r>
        <w:rPr>
          <w:rFonts w:ascii="Times New Roman" w:hAnsi="Times New Roman"/>
          <w:noProof/>
          <w:sz w:val="24"/>
        </w:rPr>
        <w:t>indsamling af data om frugtplantager – æble, pære, fersken, nektarin, appelsin, citron og små citrusfrugter, oliventræer og vinstokke til produktion af spisedruer</w:t>
      </w:r>
    </w:p>
    <w:p>
      <w:pPr>
        <w:pStyle w:val="ListParagraph"/>
        <w:numPr>
          <w:ilvl w:val="0"/>
          <w:numId w:val="1"/>
        </w:numPr>
        <w:jc w:val="both"/>
        <w:rPr>
          <w:rFonts w:ascii="Times New Roman" w:eastAsia="Times New Roman" w:hAnsi="Times New Roman" w:cs="Times New Roman"/>
          <w:noProof/>
          <w:sz w:val="24"/>
          <w:szCs w:val="20"/>
        </w:rPr>
      </w:pPr>
      <w:r>
        <w:rPr>
          <w:rFonts w:ascii="Times New Roman" w:hAnsi="Times New Roman"/>
          <w:noProof/>
          <w:sz w:val="24"/>
        </w:rPr>
        <w:t>indsamling af data om vinmarker, hvor der produceres druer til vin, rosiner og druer til to anvendelsesformål.</w:t>
      </w:r>
    </w:p>
    <w:p>
      <w:pPr>
        <w:jc w:val="both"/>
        <w:rPr>
          <w:rFonts w:ascii="Times New Roman" w:eastAsia="Times New Roman" w:hAnsi="Times New Roman" w:cs="Times New Roman"/>
          <w:noProof/>
          <w:sz w:val="24"/>
          <w:szCs w:val="20"/>
        </w:rPr>
      </w:pPr>
      <w:r>
        <w:rPr>
          <w:rFonts w:ascii="Times New Roman" w:hAnsi="Times New Roman"/>
          <w:noProof/>
          <w:sz w:val="24"/>
        </w:rPr>
        <w:t>Der er indtil videre blevet gennemført tre dataindsamlinger, nemlig to om frugtplantager (2012 og 2017) og en om vinmarker (2015).</w:t>
      </w:r>
    </w:p>
    <w:p>
      <w:pPr>
        <w:jc w:val="both"/>
        <w:rPr>
          <w:rFonts w:ascii="Times New Roman" w:eastAsia="Times New Roman" w:hAnsi="Times New Roman" w:cs="Times New Roman"/>
          <w:noProof/>
          <w:sz w:val="24"/>
          <w:szCs w:val="20"/>
        </w:rPr>
      </w:pPr>
      <w:r>
        <w:rPr>
          <w:rFonts w:ascii="Times New Roman" w:hAnsi="Times New Roman"/>
          <w:noProof/>
          <w:sz w:val="24"/>
        </w:rPr>
        <w:t>Følgende fastslås i forordningens artikel 13: "Senest den 31. december 2018 og derefter hvert femte år foretager Kommissionen en evaluering af denne forordnings funktionsmåde. Kommissionen vurderer som led i denne evaluering, om det er nødvendigt at fremlægge alle de data, der er nævnt i artikel 4. Finder Kommissionen, at nogle af disse data ikke længere er nødvendige, tillægges den beføjelser til at vedtage delegerede retsakter i henhold til artikel 11, for at fjerne visse data fra bilag I og II."</w:t>
      </w:r>
    </w:p>
    <w:p>
      <w:pPr>
        <w:jc w:val="both"/>
        <w:rPr>
          <w:rFonts w:ascii="Times New Roman" w:eastAsia="Times New Roman" w:hAnsi="Times New Roman" w:cs="Times New Roman"/>
          <w:noProof/>
          <w:sz w:val="24"/>
          <w:szCs w:val="20"/>
        </w:rPr>
      </w:pPr>
      <w:r>
        <w:rPr>
          <w:rFonts w:ascii="Times New Roman" w:hAnsi="Times New Roman"/>
          <w:noProof/>
          <w:sz w:val="24"/>
        </w:rPr>
        <w:t xml:space="preserve">I denne rapport sammenfattes de vigtigste resultater af vurderingen af, hvordan forordningen fungerer. Der henvises til den europæiske strategi for landbrugsstatistikker 2020, som blev godkendt af Det Europæiske Statistiske System på det 27. møde den 19. november 2015, og redegøres for den nye retlige ramme for strukturelle statistikker vedrørende flerårige kulturer, der ophæver forordning (EU) nr. 1337/2011, hvis funktion denne rapport vedrører. </w:t>
      </w:r>
    </w:p>
    <w:p>
      <w:pPr>
        <w:pStyle w:val="Heading1"/>
        <w:rPr>
          <w:rFonts w:ascii="Times New Roman" w:hAnsi="Times New Roman" w:cs="Times New Roman"/>
          <w:bCs w:val="0"/>
          <w:color w:val="auto"/>
          <w:sz w:val="24"/>
          <w:szCs w:val="24"/>
        </w:rPr>
      </w:pPr>
      <w:r>
        <w:rPr>
          <w:rFonts w:ascii="Times New Roman" w:hAnsi="Times New Roman"/>
          <w:color w:val="auto"/>
          <w:sz w:val="24"/>
        </w:rPr>
        <w:t>2.</w:t>
      </w:r>
      <w:r>
        <w:tab/>
      </w:r>
      <w:r>
        <w:rPr>
          <w:rFonts w:ascii="Times New Roman" w:hAnsi="Times New Roman"/>
          <w:color w:val="auto"/>
          <w:sz w:val="24"/>
        </w:rPr>
        <w:t>VIGTIGSTE RESULTATER OG VURDERING</w:t>
      </w:r>
    </w:p>
    <w:p>
      <w:pPr>
        <w:rPr>
          <w:noProof/>
        </w:rPr>
      </w:pPr>
    </w:p>
    <w:p>
      <w:pPr>
        <w:jc w:val="both"/>
        <w:rPr>
          <w:rFonts w:ascii="Times New Roman" w:eastAsia="Times New Roman" w:hAnsi="Times New Roman" w:cs="Times New Roman"/>
          <w:noProof/>
          <w:sz w:val="24"/>
          <w:szCs w:val="20"/>
        </w:rPr>
      </w:pPr>
      <w:r>
        <w:rPr>
          <w:rFonts w:ascii="Times New Roman" w:hAnsi="Times New Roman"/>
          <w:noProof/>
          <w:sz w:val="24"/>
        </w:rPr>
        <w:t>Forordning (EU) nr. 1337/2011 er i et vist omfang problematisk at gennemføre, hvilket fremgår af erfaringerne fra indsamlingerne af data om frugtplantager i 2012 og 2017 og indsamlingen af data om vinmarker i 2015, tilbagemeldingerne fra forskellige ekspertgruppemøder</w:t>
      </w:r>
      <w:r>
        <w:rPr>
          <w:rStyle w:val="FootnoteReference"/>
          <w:rFonts w:ascii="Times New Roman" w:hAnsi="Times New Roman"/>
          <w:noProof/>
          <w:sz w:val="24"/>
        </w:rPr>
        <w:footnoteReference w:id="4"/>
      </w:r>
      <w:r>
        <w:rPr>
          <w:rFonts w:ascii="Times New Roman" w:hAnsi="Times New Roman"/>
          <w:noProof/>
          <w:sz w:val="24"/>
        </w:rPr>
        <w:t xml:space="preserve"> og kvalitetsrapporterne fra medlemsstaterne. Brugerbehovene har også ændret sig i løbet af det seneste årti.</w:t>
      </w:r>
    </w:p>
    <w:p>
      <w:pPr>
        <w:jc w:val="both"/>
        <w:rPr>
          <w:rFonts w:ascii="Times New Roman" w:eastAsia="Times New Roman" w:hAnsi="Times New Roman" w:cs="Times New Roman"/>
          <w:b/>
          <w:noProof/>
          <w:sz w:val="24"/>
          <w:szCs w:val="20"/>
        </w:rPr>
      </w:pPr>
    </w:p>
    <w:p>
      <w:pPr>
        <w:jc w:val="both"/>
        <w:rPr>
          <w:rFonts w:ascii="Times New Roman" w:eastAsia="Times New Roman" w:hAnsi="Times New Roman" w:cs="Times New Roman"/>
          <w:b/>
          <w:noProof/>
          <w:sz w:val="24"/>
          <w:szCs w:val="20"/>
        </w:rPr>
      </w:pPr>
      <w:r>
        <w:rPr>
          <w:rFonts w:ascii="Times New Roman" w:hAnsi="Times New Roman"/>
          <w:b/>
          <w:noProof/>
          <w:sz w:val="24"/>
        </w:rPr>
        <w:t xml:space="preserve">2.1 </w:t>
      </w:r>
      <w:r>
        <w:rPr>
          <w:noProof/>
        </w:rPr>
        <w:tab/>
      </w:r>
      <w:r>
        <w:rPr>
          <w:rFonts w:ascii="Times New Roman" w:hAnsi="Times New Roman"/>
          <w:b/>
          <w:noProof/>
          <w:sz w:val="24"/>
        </w:rPr>
        <w:t>Udfordringer i forbindelse med dataindsamling</w:t>
      </w:r>
    </w:p>
    <w:p>
      <w:pPr>
        <w:jc w:val="both"/>
        <w:rPr>
          <w:rFonts w:ascii="Times New Roman" w:eastAsia="Times New Roman" w:hAnsi="Times New Roman" w:cs="Times New Roman"/>
          <w:noProof/>
          <w:sz w:val="24"/>
          <w:szCs w:val="20"/>
        </w:rPr>
      </w:pPr>
      <w:r>
        <w:rPr>
          <w:rFonts w:ascii="Times New Roman" w:hAnsi="Times New Roman"/>
          <w:noProof/>
          <w:sz w:val="24"/>
        </w:rPr>
        <w:t>Ud fra analysen af dataene og kvalitetsrapporterne står det klart, at indsamlingen af data om frugtplantager og indsamlingen af data om vinmarker har visse iboende udfordringer.</w:t>
      </w:r>
    </w:p>
    <w:p>
      <w:pPr>
        <w:ind w:firstLine="360"/>
        <w:jc w:val="both"/>
        <w:rPr>
          <w:rFonts w:ascii="Times New Roman" w:eastAsia="Times New Roman" w:hAnsi="Times New Roman" w:cs="Times New Roman"/>
          <w:i/>
          <w:noProof/>
          <w:sz w:val="24"/>
          <w:szCs w:val="20"/>
        </w:rPr>
      </w:pPr>
      <w:r>
        <w:rPr>
          <w:rFonts w:ascii="Times New Roman" w:hAnsi="Times New Roman"/>
          <w:i/>
          <w:noProof/>
          <w:sz w:val="24"/>
        </w:rPr>
        <w:t>2.1.1 Indsamling af data om frugtplantager</w:t>
      </w:r>
    </w:p>
    <w:p>
      <w:pPr>
        <w:pStyle w:val="ListParagraph"/>
        <w:ind w:left="0"/>
        <w:jc w:val="both"/>
        <w:rPr>
          <w:rFonts w:ascii="Times New Roman" w:eastAsia="Times New Roman" w:hAnsi="Times New Roman" w:cs="Times New Roman"/>
          <w:noProof/>
          <w:sz w:val="24"/>
          <w:szCs w:val="20"/>
        </w:rPr>
      </w:pPr>
      <w:r>
        <w:rPr>
          <w:rFonts w:ascii="Times New Roman" w:hAnsi="Times New Roman"/>
          <w:noProof/>
          <w:sz w:val="24"/>
        </w:rPr>
        <w:t>Der er to konsekvenser forbundet med krydskontrol af datavariablerne (artsgruppe, frugtens farve, høsttidspunkt, alder, tæthed). For det første skal medlemsstaternes prøvetagningshyppighed være meget høj. Blandt de lande, som ikke havde en fortegnelse over frugtplantager, var den gennemsnitlige prøvetagningshyppighed meget høj – 54 %. Derfor var fem af disse lande nødt til at foretage en tælling med henblik på indsamling af data om frugtplantager.  For det andet medfører den detaljerede opdeling af dataene omkostningstunge og tidskrævende dataindsamlinger. De gennemsnitlige omkostninger forbundet med indsamlingen af data om frugtplantager (pr. referenceår) udgør ca. 220 000 EUR pr. land i intervallet 2 500 EUR til 900 000 EUR. De statistiske myndigheders arbejdsindsats varierer fra 0,1 fuldtidsækvivalenter til 6,2 fuldtidsækvivalenter. Respondenterne er også pålagt en meget tung byrde på grund af meget store stikprøver og lange spørgeskemaer, der kræver mange arealopmålinger.</w:t>
      </w:r>
    </w:p>
    <w:p>
      <w:pPr>
        <w:pStyle w:val="ListParagraph"/>
        <w:ind w:left="0"/>
        <w:jc w:val="both"/>
        <w:rPr>
          <w:rFonts w:ascii="Times New Roman" w:eastAsia="Times New Roman" w:hAnsi="Times New Roman" w:cs="Times New Roman"/>
          <w:noProof/>
          <w:sz w:val="24"/>
          <w:szCs w:val="20"/>
        </w:rPr>
      </w:pPr>
    </w:p>
    <w:p>
      <w:pPr>
        <w:pStyle w:val="ListParagraph"/>
        <w:ind w:left="0"/>
        <w:jc w:val="both"/>
        <w:rPr>
          <w:rFonts w:ascii="Times New Roman" w:eastAsia="Times New Roman" w:hAnsi="Times New Roman" w:cs="Times New Roman"/>
          <w:noProof/>
          <w:sz w:val="24"/>
          <w:szCs w:val="20"/>
        </w:rPr>
      </w:pPr>
      <w:r>
        <w:rPr>
          <w:rFonts w:ascii="Times New Roman" w:hAnsi="Times New Roman"/>
          <w:noProof/>
          <w:sz w:val="24"/>
        </w:rPr>
        <w:t>Databrugerne kan desværre ikke drage fuld nytte af de store investeringer på nationalt plan i indsamlingen af meget detaljerede oplysninger, da nogle af de indsamlede data ikke kan offentliggøres på grund af hensynet til statistisk fortrolighed.</w:t>
      </w:r>
    </w:p>
    <w:p>
      <w:pPr>
        <w:jc w:val="both"/>
        <w:rPr>
          <w:rFonts w:ascii="Times New Roman" w:eastAsia="Times New Roman" w:hAnsi="Times New Roman" w:cs="Times New Roman"/>
          <w:noProof/>
          <w:sz w:val="24"/>
          <w:szCs w:val="20"/>
        </w:rPr>
      </w:pPr>
      <w:r>
        <w:rPr>
          <w:rFonts w:ascii="Times New Roman" w:hAnsi="Times New Roman"/>
          <w:noProof/>
          <w:sz w:val="24"/>
        </w:rPr>
        <w:t xml:space="preserve">De artsgrupper, der er defineret i bilag I til forordningen, navnlig for æbler og pærer, afspejler ikke fordelingen af artsgrupper i EU korrekt. For spiseæbler er 34 % af arealet med træer klassificeret i gruppen "Andre", og for pærer 18 %. Problemet er endnu større i de nordlige og østlige dele af Europa, hvor næsten alle frugtplantager i nogle lande klassificeres under "Andre". </w:t>
      </w:r>
    </w:p>
    <w:p>
      <w:pPr>
        <w:jc w:val="both"/>
        <w:rPr>
          <w:rFonts w:ascii="Times New Roman" w:eastAsia="Times New Roman" w:hAnsi="Times New Roman" w:cs="Times New Roman"/>
          <w:noProof/>
          <w:sz w:val="24"/>
          <w:szCs w:val="20"/>
        </w:rPr>
      </w:pPr>
      <w:r>
        <w:rPr>
          <w:rFonts w:ascii="Times New Roman" w:hAnsi="Times New Roman"/>
          <w:noProof/>
          <w:sz w:val="24"/>
        </w:rPr>
        <w:t>Det er vanskeligt at indsamle frivillige data om æble-, pære- og ferskentræer, der plantes til industriel forarbejdning, da vejret, markedsvilkår og kvalitetsaspekter i mange tilfælde er mere afgørende for landbrugernes årlige beslutninger om at sælge frugterne til konsum eller industriel forarbejdning end frugttræernes sorter.</w:t>
      </w:r>
      <w:r>
        <w:rPr>
          <w:noProof/>
        </w:rPr>
        <w:cr/>
      </w:r>
    </w:p>
    <w:p>
      <w:pPr>
        <w:ind w:firstLine="360"/>
        <w:jc w:val="both"/>
        <w:rPr>
          <w:rFonts w:ascii="Times New Roman" w:eastAsia="Times New Roman" w:hAnsi="Times New Roman" w:cs="Times New Roman"/>
          <w:i/>
          <w:noProof/>
          <w:sz w:val="24"/>
          <w:szCs w:val="20"/>
        </w:rPr>
      </w:pPr>
      <w:r>
        <w:rPr>
          <w:rFonts w:ascii="Times New Roman" w:hAnsi="Times New Roman"/>
          <w:i/>
          <w:noProof/>
          <w:sz w:val="24"/>
        </w:rPr>
        <w:t>2.1.2 Indsamling af data om vinmarker</w:t>
      </w:r>
    </w:p>
    <w:p>
      <w:pPr>
        <w:jc w:val="both"/>
        <w:rPr>
          <w:rFonts w:ascii="Times New Roman" w:eastAsia="Times New Roman" w:hAnsi="Times New Roman" w:cs="Times New Roman"/>
          <w:noProof/>
          <w:sz w:val="24"/>
          <w:szCs w:val="20"/>
        </w:rPr>
      </w:pPr>
      <w:r>
        <w:rPr>
          <w:rFonts w:ascii="Times New Roman" w:hAnsi="Times New Roman"/>
          <w:noProof/>
          <w:sz w:val="24"/>
        </w:rPr>
        <w:t>Det fastsættes i forordningens artikel 3, stk. 4, at data om vinstokke, undtagen spisedruer (bilag II til forordningen) "udarbejdes på grundlag af de data, som er indeholdt i fortegnelsen over vindyrkningsarealer oprettet i overensstemmelse med artikel 185a i forordning (EF) nr. 1234/2007, og som dækker alle bedrifterne i denne fortegnelse, jf. artikel 3, stk. 1, litra a), i forordning (EF) nr. 436/2009". Den obligatoriske kobling mellem fortegnelsen over vindyrkningsarealer og indsamlingen af data om vinmarker i henhold til forordningen skaber problemer i en række medlemsstater, da fortegnelsen ikke altid er opdateret og ikke indeholder alle de variabler, der er opstillet i forordningen. Forpligtelsen til at benytte fortegnelsen som den eneste datakilde er også problematisk i forhold til adfærdskodeksen for europæiske statistikker</w:t>
      </w:r>
      <w:r>
        <w:rPr>
          <w:rStyle w:val="FootnoteReference"/>
          <w:rFonts w:ascii="Times New Roman" w:hAnsi="Times New Roman"/>
          <w:noProof/>
          <w:sz w:val="24"/>
        </w:rPr>
        <w:footnoteReference w:id="5"/>
      </w:r>
      <w:r>
        <w:rPr>
          <w:rFonts w:ascii="Times New Roman" w:hAnsi="Times New Roman"/>
          <w:noProof/>
          <w:sz w:val="24"/>
        </w:rPr>
        <w:t xml:space="preserve">. Dette skyldes, at valget af statistiske kilder bør baseres på statistiske overvejelser i henhold til kodeksens artikel 6, stk. 2, og at kildedataene skal vurderes og valideres regelmæssigt i henhold til artikel 12, stk. 1. </w:t>
      </w:r>
    </w:p>
    <w:p>
      <w:pPr>
        <w:jc w:val="both"/>
        <w:rPr>
          <w:rFonts w:ascii="Times New Roman" w:eastAsia="Times New Roman" w:hAnsi="Times New Roman" w:cs="Times New Roman"/>
          <w:b/>
          <w:noProof/>
          <w:sz w:val="24"/>
          <w:szCs w:val="20"/>
        </w:rPr>
      </w:pPr>
    </w:p>
    <w:p>
      <w:pPr>
        <w:jc w:val="both"/>
        <w:rPr>
          <w:rFonts w:ascii="Times New Roman" w:eastAsia="Times New Roman" w:hAnsi="Times New Roman" w:cs="Times New Roman"/>
          <w:b/>
          <w:noProof/>
          <w:sz w:val="24"/>
          <w:szCs w:val="20"/>
        </w:rPr>
      </w:pPr>
      <w:r>
        <w:rPr>
          <w:rFonts w:ascii="Times New Roman" w:hAnsi="Times New Roman"/>
          <w:b/>
          <w:noProof/>
          <w:sz w:val="24"/>
        </w:rPr>
        <w:t>2.2.</w:t>
      </w:r>
      <w:r>
        <w:rPr>
          <w:noProof/>
        </w:rPr>
        <w:tab/>
      </w:r>
      <w:r>
        <w:rPr>
          <w:rFonts w:ascii="Times New Roman" w:hAnsi="Times New Roman"/>
          <w:b/>
          <w:noProof/>
          <w:sz w:val="24"/>
        </w:rPr>
        <w:t>Brugerbehov</w:t>
      </w:r>
    </w:p>
    <w:p>
      <w:pPr>
        <w:jc w:val="both"/>
        <w:rPr>
          <w:rFonts w:ascii="Times New Roman" w:eastAsia="Times New Roman" w:hAnsi="Times New Roman" w:cs="Times New Roman"/>
          <w:noProof/>
          <w:sz w:val="24"/>
          <w:szCs w:val="20"/>
        </w:rPr>
      </w:pPr>
      <w:r>
        <w:rPr>
          <w:rFonts w:ascii="Times New Roman" w:hAnsi="Times New Roman"/>
          <w:noProof/>
          <w:sz w:val="24"/>
        </w:rPr>
        <w:t xml:space="preserve">Høringen af de relevante generaldirektorater bekræftede, at Kommissionen har behov for nøjagtige oplysninger om produktionskapaciteten i plantager med visse arter af flerårige kulturer inden for EU. Af hensyn til forvaltningen af den fælles landbrugspolitik er det nødvendigt, at der til Kommissionen indberettes data om flerårige kulturer. Screeningen af data viste imidlertid, at der kan gennemføres betydelige foranstaltninger med henblik på at mindske byrden, navnlig ved indsamling af data om frugtplantager. </w:t>
      </w:r>
      <w:r>
        <w:rPr>
          <w:noProof/>
        </w:rPr>
        <w:br w:type="page"/>
      </w:r>
    </w:p>
    <w:p>
      <w:pPr>
        <w:jc w:val="both"/>
        <w:rPr>
          <w:rFonts w:ascii="Times New Roman" w:eastAsia="Times New Roman" w:hAnsi="Times New Roman" w:cs="Times New Roman"/>
          <w:noProof/>
          <w:sz w:val="24"/>
          <w:szCs w:val="20"/>
        </w:rPr>
      </w:pPr>
      <w:r>
        <w:rPr>
          <w:rFonts w:ascii="Times New Roman" w:hAnsi="Times New Roman"/>
          <w:noProof/>
          <w:sz w:val="24"/>
        </w:rPr>
        <w:t>Følgende variabler er ikke længere en nødvendig del af de strukturelle statistiske data, der tilvejebringes til dækning af behovene for politikovervågning:</w:t>
      </w:r>
    </w:p>
    <w:p>
      <w:pPr>
        <w:pStyle w:val="ListParagraph"/>
        <w:numPr>
          <w:ilvl w:val="0"/>
          <w:numId w:val="6"/>
        </w:numPr>
        <w:rPr>
          <w:rFonts w:ascii="Times New Roman" w:eastAsia="Times New Roman" w:hAnsi="Times New Roman" w:cs="Times New Roman"/>
          <w:noProof/>
          <w:sz w:val="24"/>
          <w:szCs w:val="20"/>
        </w:rPr>
      </w:pPr>
      <w:r>
        <w:rPr>
          <w:rFonts w:ascii="Times New Roman" w:hAnsi="Times New Roman"/>
          <w:noProof/>
          <w:sz w:val="24"/>
        </w:rPr>
        <w:t>artsgrupper for æbler og pærer</w:t>
      </w:r>
    </w:p>
    <w:p>
      <w:pPr>
        <w:pStyle w:val="ListParagraph"/>
        <w:numPr>
          <w:ilvl w:val="0"/>
          <w:numId w:val="6"/>
        </w:numPr>
        <w:rPr>
          <w:rFonts w:ascii="Times New Roman" w:eastAsia="Times New Roman" w:hAnsi="Times New Roman" w:cs="Times New Roman"/>
          <w:noProof/>
          <w:sz w:val="24"/>
          <w:szCs w:val="20"/>
        </w:rPr>
      </w:pPr>
      <w:r>
        <w:rPr>
          <w:rFonts w:ascii="Times New Roman" w:hAnsi="Times New Roman"/>
          <w:noProof/>
          <w:sz w:val="24"/>
        </w:rPr>
        <w:t>farven på frugterne ferskner, nektariner og spisedruer</w:t>
      </w:r>
    </w:p>
    <w:p>
      <w:pPr>
        <w:pStyle w:val="ListParagraph"/>
        <w:numPr>
          <w:ilvl w:val="0"/>
          <w:numId w:val="6"/>
        </w:numPr>
        <w:rPr>
          <w:rFonts w:ascii="Times New Roman" w:eastAsia="Times New Roman" w:hAnsi="Times New Roman" w:cs="Times New Roman"/>
          <w:noProof/>
          <w:sz w:val="24"/>
          <w:szCs w:val="20"/>
        </w:rPr>
      </w:pPr>
      <w:r>
        <w:rPr>
          <w:rFonts w:ascii="Times New Roman" w:hAnsi="Times New Roman"/>
          <w:noProof/>
          <w:sz w:val="24"/>
        </w:rPr>
        <w:t>høsttidspunkt for ferskner, nektariner, abrikoser, appelsiner og små citrusfrugter.</w:t>
      </w:r>
    </w:p>
    <w:p>
      <w:pPr>
        <w:jc w:val="both"/>
        <w:rPr>
          <w:rFonts w:ascii="Times New Roman" w:eastAsia="Times New Roman" w:hAnsi="Times New Roman" w:cs="Times New Roman"/>
          <w:noProof/>
          <w:sz w:val="24"/>
          <w:szCs w:val="20"/>
        </w:rPr>
      </w:pPr>
      <w:r>
        <w:rPr>
          <w:rFonts w:ascii="Times New Roman" w:hAnsi="Times New Roman"/>
          <w:noProof/>
          <w:sz w:val="24"/>
        </w:rPr>
        <w:t>Det er desuden ikke længere nødvendigt at krydstabulere de variabler, der anvendes for alder og tæthed, selv om de kan indsamles separat. Dataindsamlingen kan foretages med 6-7 års mellemrum, da strukturen i frugtplantager og vinmarker er forholdsvis stabil. I henhold til forordningen skal medlemsstater, som dyrker vinstokke på mindst 500 ha, gennemføre dataindsamlingen. For frugtplantager var tærsklen 1 000 ha på nationalt plan for alle typer frugttræer. For at tilpasse tærsklen til de andre foranstaltninger og fortegnelser i vinsektoren bør den også være 1 000 ha for vinmarker.</w:t>
      </w:r>
    </w:p>
    <w:p>
      <w:pPr>
        <w:jc w:val="both"/>
        <w:rPr>
          <w:rFonts w:ascii="Times New Roman" w:eastAsia="Times New Roman" w:hAnsi="Times New Roman" w:cs="Times New Roman"/>
          <w:noProof/>
          <w:sz w:val="24"/>
          <w:szCs w:val="20"/>
        </w:rPr>
      </w:pPr>
      <w:r>
        <w:rPr>
          <w:rFonts w:ascii="Times New Roman" w:hAnsi="Times New Roman"/>
          <w:noProof/>
          <w:sz w:val="24"/>
        </w:rPr>
        <w:t>Der er et politikbehov for data, der i højere grad repræsenterer regionale områder. I henhold til forordningen blev data om frugttræer indsamlet på NUTS</w:t>
      </w:r>
      <w:r>
        <w:rPr>
          <w:rStyle w:val="FootnoteReference"/>
          <w:rFonts w:ascii="Times New Roman" w:hAnsi="Times New Roman"/>
          <w:noProof/>
          <w:sz w:val="24"/>
        </w:rPr>
        <w:footnoteReference w:id="6"/>
      </w:r>
      <w:r>
        <w:rPr>
          <w:rFonts w:ascii="Times New Roman" w:hAnsi="Times New Roman"/>
          <w:noProof/>
          <w:sz w:val="24"/>
        </w:rPr>
        <w:t xml:space="preserve"> 1-niveau, og data om vinmarker til fremstilling af vin på NUTS 2-niveau. Da disse data er vigtige for analysen af regionens potentiale for frugtplantager og vinmarker, både i forbindelse med forvaltning af markedet og i en krisesituation, er der behov for alle strukturelle data om frugtplantager og vinmarker på NUTS 2-niveau.  </w:t>
      </w:r>
    </w:p>
    <w:p>
      <w:pPr>
        <w:rPr>
          <w:rFonts w:ascii="Times New Roman" w:eastAsia="Calibri" w:hAnsi="Times New Roman" w:cs="Times New Roman"/>
          <w:b/>
          <w:noProof/>
          <w:sz w:val="24"/>
          <w:szCs w:val="24"/>
        </w:rPr>
      </w:pPr>
    </w:p>
    <w:p>
      <w:pPr>
        <w:ind w:left="709" w:hanging="709"/>
        <w:jc w:val="both"/>
        <w:rPr>
          <w:rFonts w:ascii="Times New Roman" w:eastAsia="Calibri" w:hAnsi="Times New Roman" w:cs="Times New Roman"/>
          <w:b/>
          <w:noProof/>
          <w:sz w:val="24"/>
          <w:szCs w:val="24"/>
        </w:rPr>
      </w:pPr>
      <w:r>
        <w:rPr>
          <w:rFonts w:ascii="Times New Roman" w:hAnsi="Times New Roman"/>
          <w:b/>
          <w:noProof/>
          <w:sz w:val="24"/>
        </w:rPr>
        <w:t>3.</w:t>
      </w:r>
      <w:r>
        <w:rPr>
          <w:noProof/>
        </w:rPr>
        <w:tab/>
      </w:r>
      <w:r>
        <w:rPr>
          <w:rFonts w:ascii="Times New Roman" w:hAnsi="Times New Roman"/>
          <w:b/>
          <w:noProof/>
          <w:sz w:val="24"/>
        </w:rPr>
        <w:t>DEN EUROPÆISKE STRATEGI FOR LANDBRUGSSTATISTIKKER 2020 OG DEN NYE GENERATION AF LANDBRUGSSTATISTIKKER: INDVIRKNING PÅ FORORDNING (EU) NR. 1337/2011</w:t>
      </w:r>
    </w:p>
    <w:p>
      <w:pPr>
        <w:jc w:val="both"/>
        <w:rPr>
          <w:rFonts w:ascii="Times New Roman" w:hAnsi="Times New Roman"/>
          <w:noProof/>
          <w:sz w:val="24"/>
        </w:rPr>
      </w:pPr>
      <w:r>
        <w:rPr>
          <w:rFonts w:ascii="Times New Roman" w:hAnsi="Times New Roman"/>
          <w:noProof/>
          <w:sz w:val="24"/>
        </w:rPr>
        <w:t>Eurostat har siden 2014 arbejdet intensivt med strategien for landbrugsstatistikker frem til 2020 og derefter – "Strategy for Agricultural Statistics towards 2020 and beyond"</w:t>
      </w:r>
      <w:r>
        <w:rPr>
          <w:rStyle w:val="FootnoteReference"/>
          <w:rFonts w:ascii="Times New Roman" w:hAnsi="Times New Roman"/>
          <w:noProof/>
          <w:sz w:val="24"/>
        </w:rPr>
        <w:footnoteReference w:id="7"/>
      </w:r>
      <w:r>
        <w:rPr>
          <w:rFonts w:ascii="Times New Roman" w:hAnsi="Times New Roman"/>
          <w:noProof/>
          <w:sz w:val="24"/>
        </w:rPr>
        <w:t xml:space="preserve"> – sammen med databrugerne (hovedsagelig andre tjenestegrene i Kommissionen og andre EU-institutioner) og de nationale statistiske kontorer. Strategien for landbrugsstatistikker har til formål at:</w:t>
      </w:r>
    </w:p>
    <w:p>
      <w:pPr>
        <w:numPr>
          <w:ilvl w:val="0"/>
          <w:numId w:val="7"/>
        </w:numPr>
        <w:tabs>
          <w:tab w:val="left" w:pos="720"/>
        </w:tabs>
        <w:spacing w:after="0" w:line="240" w:lineRule="auto"/>
        <w:contextualSpacing/>
        <w:jc w:val="both"/>
        <w:rPr>
          <w:rFonts w:ascii="Times New Roman" w:hAnsi="Times New Roman"/>
          <w:noProof/>
          <w:sz w:val="24"/>
          <w:szCs w:val="24"/>
        </w:rPr>
      </w:pPr>
      <w:r>
        <w:rPr>
          <w:rFonts w:ascii="Times New Roman" w:hAnsi="Times New Roman"/>
          <w:noProof/>
          <w:sz w:val="24"/>
        </w:rPr>
        <w:t>sikre en effektiv udarbejdelse af statistikker, som opfylder brugernes behov</w:t>
      </w:r>
    </w:p>
    <w:p>
      <w:pPr>
        <w:numPr>
          <w:ilvl w:val="0"/>
          <w:numId w:val="7"/>
        </w:numPr>
        <w:tabs>
          <w:tab w:val="left" w:pos="720"/>
        </w:tabs>
        <w:spacing w:after="0" w:line="240" w:lineRule="auto"/>
        <w:contextualSpacing/>
        <w:jc w:val="both"/>
        <w:rPr>
          <w:rFonts w:ascii="Times New Roman" w:hAnsi="Times New Roman"/>
          <w:noProof/>
          <w:sz w:val="24"/>
          <w:szCs w:val="24"/>
        </w:rPr>
      </w:pPr>
      <w:r>
        <w:rPr>
          <w:rFonts w:ascii="Times New Roman" w:hAnsi="Times New Roman"/>
          <w:noProof/>
          <w:sz w:val="24"/>
        </w:rPr>
        <w:t>sikre, at byrden for respondenterne og de statistiske systemer ikke øges væsentligt, og gøre flere statistikker tilgængelige</w:t>
      </w:r>
    </w:p>
    <w:p>
      <w:pPr>
        <w:numPr>
          <w:ilvl w:val="0"/>
          <w:numId w:val="7"/>
        </w:numPr>
        <w:tabs>
          <w:tab w:val="left" w:pos="720"/>
        </w:tabs>
        <w:spacing w:after="0" w:line="240" w:lineRule="auto"/>
        <w:contextualSpacing/>
        <w:rPr>
          <w:rFonts w:ascii="Times New Roman" w:hAnsi="Times New Roman"/>
          <w:noProof/>
          <w:sz w:val="24"/>
          <w:szCs w:val="24"/>
        </w:rPr>
      </w:pPr>
      <w:r>
        <w:rPr>
          <w:rFonts w:ascii="Times New Roman" w:hAnsi="Times New Roman"/>
          <w:noProof/>
          <w:sz w:val="24"/>
        </w:rPr>
        <w:t>forbedre sammenhængen mellem landbrugsstatistikske underområder</w:t>
      </w:r>
    </w:p>
    <w:p>
      <w:pPr>
        <w:numPr>
          <w:ilvl w:val="0"/>
          <w:numId w:val="7"/>
        </w:numPr>
        <w:tabs>
          <w:tab w:val="left" w:pos="720"/>
        </w:tabs>
        <w:spacing w:after="0" w:line="240" w:lineRule="auto"/>
        <w:contextualSpacing/>
        <w:rPr>
          <w:rFonts w:ascii="Times New Roman" w:hAnsi="Times New Roman"/>
          <w:noProof/>
          <w:sz w:val="24"/>
          <w:szCs w:val="24"/>
        </w:rPr>
      </w:pPr>
      <w:r>
        <w:rPr>
          <w:rFonts w:ascii="Times New Roman" w:hAnsi="Times New Roman"/>
          <w:noProof/>
          <w:sz w:val="24"/>
        </w:rPr>
        <w:t>præcisere og strømline begreberne og definitionerne</w:t>
      </w:r>
    </w:p>
    <w:p>
      <w:pPr>
        <w:numPr>
          <w:ilvl w:val="0"/>
          <w:numId w:val="7"/>
        </w:numPr>
        <w:tabs>
          <w:tab w:val="left" w:pos="720"/>
        </w:tabs>
        <w:spacing w:after="0" w:line="240" w:lineRule="auto"/>
        <w:contextualSpacing/>
        <w:rPr>
          <w:rFonts w:ascii="Times New Roman" w:hAnsi="Times New Roman"/>
          <w:noProof/>
          <w:sz w:val="24"/>
          <w:szCs w:val="24"/>
        </w:rPr>
      </w:pPr>
      <w:r>
        <w:rPr>
          <w:rFonts w:ascii="Times New Roman" w:hAnsi="Times New Roman"/>
          <w:noProof/>
          <w:sz w:val="24"/>
        </w:rPr>
        <w:t>forbedre kvaliteten af landbrugsstatistikker</w:t>
      </w:r>
    </w:p>
    <w:p>
      <w:pPr>
        <w:numPr>
          <w:ilvl w:val="0"/>
          <w:numId w:val="7"/>
        </w:numPr>
        <w:tabs>
          <w:tab w:val="left" w:pos="720"/>
        </w:tabs>
        <w:spacing w:after="0" w:line="240" w:lineRule="auto"/>
        <w:contextualSpacing/>
        <w:jc w:val="both"/>
        <w:rPr>
          <w:rFonts w:ascii="Times New Roman" w:hAnsi="Times New Roman"/>
          <w:noProof/>
          <w:sz w:val="24"/>
          <w:szCs w:val="24"/>
        </w:rPr>
      </w:pPr>
      <w:r>
        <w:rPr>
          <w:rFonts w:ascii="Times New Roman" w:hAnsi="Times New Roman"/>
          <w:noProof/>
          <w:sz w:val="24"/>
        </w:rPr>
        <w:t>forbedre integrationen mellem statistikkerne for landbrug, skovbrug, arealanvendelse og miljø.</w:t>
      </w:r>
    </w:p>
    <w:p>
      <w:pPr>
        <w:jc w:val="both"/>
        <w:rPr>
          <w:rFonts w:ascii="Times New Roman" w:eastAsia="Times New Roman" w:hAnsi="Times New Roman" w:cs="Times New Roman"/>
          <w:noProof/>
          <w:sz w:val="24"/>
          <w:szCs w:val="20"/>
        </w:rPr>
      </w:pPr>
      <w:r>
        <w:rPr>
          <w:rFonts w:ascii="Times New Roman" w:hAnsi="Times New Roman"/>
          <w:noProof/>
          <w:sz w:val="24"/>
        </w:rPr>
        <w:t>Gennemførelsesfasen blev indledt efter Det Europæiske Statistiske Systems godkendelse af strategien i 2015. I konsekvensanalysen blev strategien for gennemførelse i to trin anset for at være bedst egnet til at imødekomme det statistiske systems og databrugernes behov.</w:t>
      </w:r>
    </w:p>
    <w:p>
      <w:pPr>
        <w:pStyle w:val="ListParagraph"/>
        <w:numPr>
          <w:ilvl w:val="0"/>
          <w:numId w:val="8"/>
        </w:numPr>
        <w:jc w:val="both"/>
        <w:rPr>
          <w:rFonts w:ascii="Times New Roman" w:eastAsia="Times New Roman" w:hAnsi="Times New Roman" w:cs="Times New Roman"/>
          <w:noProof/>
          <w:sz w:val="24"/>
          <w:szCs w:val="20"/>
        </w:rPr>
      </w:pPr>
      <w:r>
        <w:rPr>
          <w:rFonts w:ascii="Times New Roman" w:hAnsi="Times New Roman"/>
          <w:noProof/>
          <w:sz w:val="24"/>
        </w:rPr>
        <w:t>Det første trin er rammeforordningen om integrerede landbrugsstatistikker (IFS – Integrated Farm Statistics), som vedrører undersøgelsen af landbrugsbedrifternes struktur, der i øjeblikket er omfattet af forordningen om undersøgelser af landbrugsbedrifternes struktur</w:t>
      </w:r>
      <w:r>
        <w:rPr>
          <w:rStyle w:val="FootnoteReference"/>
          <w:rFonts w:ascii="Times New Roman" w:hAnsi="Times New Roman"/>
          <w:noProof/>
          <w:sz w:val="24"/>
        </w:rPr>
        <w:footnoteReference w:id="8"/>
      </w:r>
      <w:r>
        <w:rPr>
          <w:rFonts w:ascii="Times New Roman" w:hAnsi="Times New Roman"/>
          <w:noProof/>
          <w:sz w:val="24"/>
        </w:rPr>
        <w:t>, de strukturelle statistikker vedrørende frugtplantager og vinmarker i henhold til forordning (EU) nr. 1337/2011 og en række landbrugsmiljøindikatorer. Indsamlingerne af strukturelle data om frugtplantager og vinmarker vil finde sted i modulerne for frugtplantager og vinmarker i forordning (EU) 2018/1091 (forordningen om integrerede landbrugsstatistikker)</w:t>
      </w:r>
      <w:r>
        <w:rPr>
          <w:rStyle w:val="FootnoteReference"/>
          <w:rFonts w:ascii="Times New Roman" w:hAnsi="Times New Roman"/>
          <w:noProof/>
          <w:sz w:val="24"/>
        </w:rPr>
        <w:footnoteReference w:id="9"/>
      </w:r>
      <w:r>
        <w:rPr>
          <w:rFonts w:ascii="Times New Roman" w:hAnsi="Times New Roman"/>
          <w:noProof/>
          <w:sz w:val="24"/>
        </w:rPr>
        <w:t>, der blev vedtaget den 18. juli 2018. Forordning (EU) nr. 1337/2011 er blevet ophævet med virkning fra den 1. januar 2022.</w:t>
      </w:r>
    </w:p>
    <w:p>
      <w:pPr>
        <w:pStyle w:val="ListParagraph"/>
        <w:numPr>
          <w:ilvl w:val="0"/>
          <w:numId w:val="8"/>
        </w:numPr>
        <w:jc w:val="both"/>
        <w:rPr>
          <w:rFonts w:ascii="Times New Roman" w:eastAsia="Times New Roman" w:hAnsi="Times New Roman" w:cs="Times New Roman"/>
          <w:noProof/>
          <w:sz w:val="24"/>
          <w:szCs w:val="20"/>
        </w:rPr>
      </w:pPr>
      <w:r>
        <w:rPr>
          <w:rFonts w:ascii="Times New Roman" w:hAnsi="Times New Roman"/>
          <w:noProof/>
          <w:sz w:val="24"/>
        </w:rPr>
        <w:t>Det andet trin er forordningen om statistikker over landbrugsmæssige input og output (SAIO – Statistics on Agricultural Input and Output), der bl.a. vedrører afgrødeproduktion og afgrødebalancer.</w:t>
      </w:r>
    </w:p>
    <w:p>
      <w:pPr>
        <w:jc w:val="both"/>
        <w:rPr>
          <w:rFonts w:ascii="Times New Roman" w:eastAsia="Times New Roman" w:hAnsi="Times New Roman" w:cs="Times New Roman"/>
          <w:noProof/>
          <w:sz w:val="24"/>
          <w:szCs w:val="20"/>
        </w:rPr>
      </w:pPr>
      <w:r>
        <w:rPr>
          <w:rFonts w:ascii="Times New Roman" w:hAnsi="Times New Roman"/>
          <w:noProof/>
          <w:sz w:val="24"/>
        </w:rPr>
        <w:t>Dataene om afgrødekendetegn i modulerne for frugtplantager og vinmarker i henhold til forordningen om integrerede landbrugsstatistikker vil være mindre detaljerede, men dataene vil blive fremsendt til Eurostat som mikrodata knyttet til de centrale bedriftsdata. Dataene kan således anvendes mere fleksibelt og bedre imødekomme brugernes behov. Mikrodataene gør det muligt at foretage krydstabuleringer for at se, hvilke typer landbrugere der dyrker forskellige typer flerårige kulturer, og hvordan disse landbrugere arbejder (f.eks. alder, uddannelse, andre landbrugsaktiviteter og andre erhvervsmæssige aktiviteter, hvorvidt bedrifterne er beliggende i ugunstigt stillede områder, osv.).</w:t>
      </w:r>
    </w:p>
    <w:p>
      <w:pPr>
        <w:jc w:val="both"/>
        <w:rPr>
          <w:rFonts w:ascii="Times New Roman" w:eastAsia="Times New Roman" w:hAnsi="Times New Roman" w:cs="Times New Roman"/>
          <w:b/>
          <w:noProof/>
          <w:sz w:val="24"/>
          <w:szCs w:val="20"/>
        </w:rPr>
      </w:pPr>
      <w:r>
        <w:rPr>
          <w:rFonts w:ascii="Times New Roman" w:hAnsi="Times New Roman"/>
          <w:b/>
          <w:noProof/>
          <w:sz w:val="24"/>
        </w:rPr>
        <w:t>3.1 Modulet for frugtplantager i forordningen om integrerede landbrugsstatistikker</w:t>
      </w:r>
    </w:p>
    <w:p>
      <w:pPr>
        <w:jc w:val="both"/>
        <w:rPr>
          <w:rFonts w:ascii="Times New Roman" w:eastAsia="Times New Roman" w:hAnsi="Times New Roman" w:cs="Times New Roman"/>
          <w:noProof/>
          <w:sz w:val="24"/>
          <w:szCs w:val="20"/>
        </w:rPr>
      </w:pPr>
      <w:r>
        <w:rPr>
          <w:rFonts w:ascii="Times New Roman" w:hAnsi="Times New Roman"/>
          <w:noProof/>
          <w:sz w:val="24"/>
        </w:rPr>
        <w:t>De strukturelle statistikker vedrørende frugtplantager vil blive omfattet af modulet for frugtplantager i forordningen om integrerede landbrugsstatistikker. Det løser de problemer, der er fremhævet i punkt 2, og der tages hensyn til Kommissionens nuværende behov. Modulet for frugtplantager omfatter ca. 600 variabler mindre end i forordning (EU) nr. 1337/2011. Dette forventes at reducere omkostningerne og byrden forbundet med indsamling af data, selv når der tages hensyn til præcisionskrav på NUTS 2-niveau.</w:t>
      </w:r>
    </w:p>
    <w:p>
      <w:pPr>
        <w:jc w:val="both"/>
        <w:rPr>
          <w:rFonts w:ascii="Times New Roman" w:eastAsia="Times New Roman" w:hAnsi="Times New Roman" w:cs="Times New Roman"/>
          <w:noProof/>
          <w:sz w:val="24"/>
          <w:szCs w:val="20"/>
        </w:rPr>
      </w:pPr>
      <w:r>
        <w:rPr>
          <w:rFonts w:ascii="Times New Roman" w:hAnsi="Times New Roman"/>
          <w:noProof/>
          <w:sz w:val="24"/>
        </w:rPr>
        <w:t>Indsamlingen af data i modulet for frugtplantager i forordningen om integrerede landbrugsstatistikker vil finde sted i 2023.</w:t>
      </w:r>
    </w:p>
    <w:p>
      <w:pPr>
        <w:rPr>
          <w:rFonts w:ascii="Times New Roman" w:eastAsia="Times New Roman" w:hAnsi="Times New Roman" w:cs="Times New Roman"/>
          <w:b/>
          <w:noProof/>
          <w:sz w:val="24"/>
          <w:szCs w:val="20"/>
        </w:rPr>
      </w:pPr>
      <w:r>
        <w:rPr>
          <w:noProof/>
        </w:rPr>
        <w:br w:type="page"/>
      </w:r>
    </w:p>
    <w:p>
      <w:pPr>
        <w:jc w:val="both"/>
        <w:rPr>
          <w:rFonts w:ascii="Times New Roman" w:eastAsia="Times New Roman" w:hAnsi="Times New Roman" w:cs="Times New Roman"/>
          <w:b/>
          <w:noProof/>
          <w:sz w:val="24"/>
          <w:szCs w:val="20"/>
        </w:rPr>
      </w:pPr>
      <w:r>
        <w:rPr>
          <w:rFonts w:ascii="Times New Roman" w:hAnsi="Times New Roman"/>
          <w:b/>
          <w:noProof/>
          <w:sz w:val="24"/>
        </w:rPr>
        <w:t>3.2 Modulet for vinmarker i forordningen om integrerede landbrugsstatistikker</w:t>
      </w:r>
    </w:p>
    <w:p>
      <w:pPr>
        <w:jc w:val="both"/>
        <w:rPr>
          <w:rFonts w:ascii="Times New Roman" w:eastAsia="Times New Roman" w:hAnsi="Times New Roman" w:cs="Times New Roman"/>
          <w:noProof/>
          <w:sz w:val="24"/>
          <w:szCs w:val="20"/>
        </w:rPr>
      </w:pPr>
      <w:r>
        <w:rPr>
          <w:rFonts w:ascii="Times New Roman" w:hAnsi="Times New Roman"/>
          <w:noProof/>
          <w:sz w:val="24"/>
        </w:rPr>
        <w:t>De indsamlede data om vinmarker i modulet for vinmarker i forordningen om integrerede landbrugsstatistikker vil i de fleste tilfælde være de samme som i henhold til forordning (EU) nr. 1337/2011. Den eneste forskel er definitionen af de vigtigste vinstoksorter. I øjeblikket defineres de vigtigste sorter som alle vinstoksorter, der dyrkes på mindst 500 ha på nationalt plan. I forordningen om integrerede landbrugsstatistikker defineres de på grundlag af en bottom-up-tilgang: de enkelte vinavlsbedrifter indberetter de 10 vigtigste sorter dyrket på bedriften, og derefter fastlægges de vigtigste sorter på nationalt plan på grundlag af disse sorter.</w:t>
      </w:r>
    </w:p>
    <w:p>
      <w:pPr>
        <w:jc w:val="both"/>
        <w:rPr>
          <w:rFonts w:ascii="Times New Roman" w:eastAsia="Times New Roman" w:hAnsi="Times New Roman" w:cs="Times New Roman"/>
          <w:noProof/>
          <w:sz w:val="24"/>
          <w:szCs w:val="20"/>
        </w:rPr>
      </w:pPr>
      <w:r>
        <w:rPr>
          <w:rFonts w:ascii="Times New Roman" w:hAnsi="Times New Roman"/>
          <w:noProof/>
          <w:sz w:val="24"/>
        </w:rPr>
        <w:t>I modulet for vinmarker i forordningen om integrerede landbrugsstatistikker kan medlemsstaterne vælge at anvende den bedste tilgængelige datakilde ved indsamlingen af data om vinmarker (en dataindsamling eller fortegnelsen over vindyrkningsarealer). Kommissionen opfordrer imidlertid medlemsstaterne til at anvende dataene i fortegnelsen over vindyrkningsarealer i videst muligt omfang, da det mindsker byrden for respondenterne og omkostningerne. For at forbedre kvaliteten af dataene i fortegnelsen over vindyrkningsarealer planlægger Kommissionen at offentliggøre en indkaldelse af forslag til tilskud, der tager sigte på at forbedre interoperabiliteten af fortegnelsen over vindyrkningsarealer og indsamlingen af statistiske data (herunder den statistiske bedriftsfortegnelse).</w:t>
      </w:r>
    </w:p>
    <w:p>
      <w:pPr>
        <w:jc w:val="both"/>
        <w:rPr>
          <w:rFonts w:ascii="Times New Roman" w:eastAsia="Times New Roman" w:hAnsi="Times New Roman" w:cs="Times New Roman"/>
          <w:noProof/>
          <w:sz w:val="24"/>
          <w:szCs w:val="20"/>
        </w:rPr>
      </w:pPr>
      <w:r>
        <w:rPr>
          <w:rFonts w:ascii="Times New Roman" w:hAnsi="Times New Roman"/>
          <w:noProof/>
          <w:sz w:val="24"/>
        </w:rPr>
        <w:t>Indsamlingen af data om vinmarker i henhold til forordningen om integrerede landbrugsstatistikker vil finde sted i 2026. Indsamlingen af data om vindyrkningsarealer i 2020 vil fortsat finde sted i henhold til forordning (EU) nr. 1337/2011, således at der er tilstrækkelig tid til at tilpasse den statistiske bedriftsfortegnelse til fortegnelsen over vindyrkningsarealer som krævet i forordningen om integrerede landbrugsstatistikker.</w:t>
      </w:r>
    </w:p>
    <w:p>
      <w:pPr>
        <w:jc w:val="both"/>
        <w:rPr>
          <w:rFonts w:ascii="Times New Roman" w:eastAsia="Times New Roman" w:hAnsi="Times New Roman" w:cs="Times New Roman"/>
          <w:b/>
          <w:noProof/>
          <w:sz w:val="24"/>
          <w:szCs w:val="20"/>
        </w:rPr>
      </w:pPr>
    </w:p>
    <w:p>
      <w:pPr>
        <w:jc w:val="both"/>
        <w:rPr>
          <w:rFonts w:ascii="Times New Roman" w:eastAsia="Calibri" w:hAnsi="Times New Roman" w:cs="Times New Roman"/>
          <w:b/>
          <w:noProof/>
          <w:sz w:val="24"/>
          <w:szCs w:val="24"/>
        </w:rPr>
      </w:pPr>
      <w:r>
        <w:rPr>
          <w:rFonts w:ascii="Times New Roman" w:hAnsi="Times New Roman"/>
          <w:b/>
          <w:noProof/>
          <w:sz w:val="24"/>
        </w:rPr>
        <w:t>4.</w:t>
      </w:r>
      <w:r>
        <w:rPr>
          <w:noProof/>
        </w:rPr>
        <w:tab/>
      </w:r>
      <w:r>
        <w:rPr>
          <w:rFonts w:ascii="Times New Roman" w:hAnsi="Times New Roman"/>
          <w:b/>
          <w:noProof/>
          <w:sz w:val="24"/>
        </w:rPr>
        <w:t>KONKLUSIONER</w:t>
      </w:r>
      <w:r>
        <w:rPr>
          <w:noProof/>
        </w:rPr>
        <w:tab/>
      </w:r>
    </w:p>
    <w:p>
      <w:pPr>
        <w:jc w:val="both"/>
        <w:rPr>
          <w:rFonts w:ascii="Times New Roman" w:eastAsia="Times New Roman" w:hAnsi="Times New Roman" w:cs="Times New Roman"/>
          <w:noProof/>
          <w:sz w:val="24"/>
          <w:szCs w:val="20"/>
        </w:rPr>
      </w:pPr>
      <w:r>
        <w:rPr>
          <w:rFonts w:ascii="Times New Roman" w:hAnsi="Times New Roman"/>
          <w:noProof/>
          <w:sz w:val="24"/>
        </w:rPr>
        <w:t>Forordning (EU) nr. 1337/2011 har ikke fungeret som tiltænkt, da den blev vedtaget. Dette skyldes, at dataindholdet og krydstabuleringen af data er for detaljeret. Disse faktorer har bidraget til den tunge byrde for respondenterne og til høje dataindsamlingsomkostninger, hvilket har resulteret i fortrolige data.  Brugerbehovene har ligeledes ændret sig gennem årene, og i dag har Kommissionen ikke behov for så mange detaljerede oplysninger.</w:t>
      </w:r>
    </w:p>
    <w:p>
      <w:pPr>
        <w:jc w:val="both"/>
        <w:rPr>
          <w:rFonts w:ascii="Times New Roman" w:eastAsia="Times New Roman" w:hAnsi="Times New Roman" w:cs="Times New Roman"/>
          <w:noProof/>
          <w:sz w:val="24"/>
          <w:szCs w:val="20"/>
        </w:rPr>
      </w:pPr>
      <w:r>
        <w:rPr>
          <w:rFonts w:ascii="Times New Roman" w:hAnsi="Times New Roman"/>
          <w:noProof/>
          <w:sz w:val="24"/>
        </w:rPr>
        <w:t>Af ovennævnte grunde og for at gennemføre strategien for landbrugsstatistikker frem til 2020 indarbejdes de indsamlinger af data om frugtplantager og vinmarker, der er omfattet af forordning (EU) nr. 1337/2011, i den nye forordning om integrerede landbrugsstatistikker. Forordning nr. 1337/2011 er blevet ophævet med virkning efter indsamlingen af data om vinmarker i 2020 (datalevering i 2022).</w:t>
      </w:r>
    </w:p>
    <w:p>
      <w:pPr>
        <w:jc w:val="both"/>
        <w:rPr>
          <w:rFonts w:ascii="Times New Roman" w:eastAsia="Times New Roman" w:hAnsi="Times New Roman" w:cs="Times New Roman"/>
          <w:noProof/>
          <w:sz w:val="24"/>
          <w:szCs w:val="20"/>
        </w:rPr>
      </w:pPr>
      <w:r>
        <w:rPr>
          <w:rFonts w:ascii="Times New Roman" w:hAnsi="Times New Roman"/>
          <w:noProof/>
          <w:sz w:val="24"/>
        </w:rPr>
        <w:t>Det nye retsgrundlag for strukturelle data om frugtplantager og vinmarker vil i højere grad opfylde brugernes behov og forventes at reducere byrden for respondenterne. Dataene i modulerne for frugtplantager og vinmarker i henhold til forordningen om integrerede landbrugsstatistikker vil gøre det muligt at analysere de bedrifter, der dyrker frugttræer og vinstokke, grundigt. Dette skyldes de mange muligheder som følge af tilvejebringelsen af mikrodata, der vil gøre det muligt at knytte frugtplantagernes og vinmarkernes struktur til alle de strukturelle data vedrørende bedrifterne. Dette vil således styrke det evidensgrundlag, der anvendes til at træffe beslutninger, som berører sektoren.</w:t>
      </w:r>
    </w:p>
    <w:sectPr>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000869"/>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709" w:hanging="709"/>
        <w:jc w:val="both"/>
        <w:rPr>
          <w:rFonts w:ascii="Times New Roman" w:eastAsia="Times New Roman" w:hAnsi="Times New Roman" w:cs="Times New Roman"/>
        </w:rPr>
      </w:pPr>
      <w:r>
        <w:rPr>
          <w:rStyle w:val="FootnoteReference"/>
        </w:rPr>
        <w:footnoteRef/>
      </w:r>
      <w:r>
        <w:tab/>
      </w:r>
      <w:r>
        <w:rPr>
          <w:rFonts w:ascii="Times New Roman" w:hAnsi="Times New Roman"/>
        </w:rPr>
        <w:t>Europa-Parlamentets og Rådets forordning (EU) nr. 1337/2011 af 13. december 2011 om europæiske statistikker vedrørende flerårige kulturer og om ophævelse af Rådets forordning (EØF) nr. 357/79 og Europa-Parlamentets og Rådets direktiv 2001/109/EF EØS-relevant tekst (EUT L 347 af 30.12.2011, s. 7).</w:t>
      </w:r>
    </w:p>
  </w:footnote>
  <w:footnote w:id="2">
    <w:p>
      <w:pPr>
        <w:pStyle w:val="FootnoteText"/>
        <w:ind w:left="709" w:hanging="709"/>
        <w:jc w:val="both"/>
        <w:rPr>
          <w:rFonts w:ascii="Times New Roman" w:eastAsia="Times New Roman" w:hAnsi="Times New Roman" w:cs="Times New Roman"/>
        </w:rPr>
      </w:pPr>
      <w:r>
        <w:rPr>
          <w:rStyle w:val="FootnoteReference"/>
        </w:rPr>
        <w:footnoteRef/>
      </w:r>
      <w:r>
        <w:tab/>
      </w:r>
      <w:r>
        <w:rPr>
          <w:rFonts w:ascii="Times New Roman" w:hAnsi="Times New Roman"/>
        </w:rPr>
        <w:t>Rådets forordning (EØF) nr. 357/79 af 5. februar 1979 om statistiske undersøgelser vedrørende vinarealerne (EFT L 54 af 5.3.1979, s. 124).</w:t>
      </w:r>
    </w:p>
  </w:footnote>
  <w:footnote w:id="3">
    <w:p>
      <w:pPr>
        <w:pStyle w:val="FootnoteText"/>
        <w:ind w:left="709" w:hanging="709"/>
        <w:jc w:val="both"/>
      </w:pPr>
      <w:r>
        <w:rPr>
          <w:rStyle w:val="FootnoteReference"/>
        </w:rPr>
        <w:footnoteRef/>
      </w:r>
      <w:r>
        <w:tab/>
      </w:r>
      <w:r>
        <w:rPr>
          <w:rFonts w:ascii="Times New Roman" w:hAnsi="Times New Roman"/>
        </w:rPr>
        <w:t>Europa-Parlamentets og Rådets direktiv 2001/109/EF af 19. december 2001 om statistiske undersøgelser, der skal foretages for at bestemme produktionskapaciteten i plantager med visse arter af frugttræer (EFT L 13 af 16.1.2002, s. 21).</w:t>
      </w:r>
    </w:p>
  </w:footnote>
  <w:footnote w:id="4">
    <w:p>
      <w:pPr>
        <w:pStyle w:val="FootnoteText"/>
        <w:ind w:left="709" w:hanging="709"/>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Møder i arbejdsgruppen om afgrødestatistikker (2012-2017), Den Stående Landbrugsstatistiske Komité (indtil 2014) og direktørgruppen for landbrugsstatistikker (fra 2015 og fremefter).</w:t>
      </w:r>
    </w:p>
  </w:footnote>
  <w:footnote w:id="5">
    <w:p>
      <w:pPr>
        <w:pStyle w:val="FootnoteText"/>
        <w:ind w:left="851" w:hanging="851"/>
        <w:jc w:val="both"/>
      </w:pPr>
      <w:r>
        <w:rPr>
          <w:rStyle w:val="FootnoteReference"/>
        </w:rPr>
        <w:footnoteRef/>
      </w:r>
      <w:r>
        <w:t xml:space="preserve"> </w:t>
      </w:r>
      <w:r>
        <w:tab/>
      </w:r>
      <w:r>
        <w:rPr>
          <w:rFonts w:ascii="Times New Roman" w:hAnsi="Times New Roman"/>
        </w:rPr>
        <w:t xml:space="preserve">"European statistics code of practice for national statistical authorities and Eurostat (EU statistical authority)", vedtaget af Udvalget for det Europæiske Statistiske System den 16. november 2017: </w:t>
      </w:r>
      <w:hyperlink r:id="rId1">
        <w:r>
          <w:rPr>
            <w:rStyle w:val="Hyperlink"/>
            <w:rFonts w:ascii="Times New Roman" w:hAnsi="Times New Roman"/>
          </w:rPr>
          <w:t>http://ec.europa.eu/eurostat/documents/4031688/8971242/KS-02-18-142-EN-N.pdf/e7f85f07-91db-4312-8118-f729c75878c7</w:t>
        </w:r>
      </w:hyperlink>
      <w:r>
        <w:rPr>
          <w:rFonts w:ascii="Times New Roman" w:hAnsi="Times New Roman"/>
        </w:rPr>
        <w:t xml:space="preserve"> (foreligger kun på engelsk).</w:t>
      </w:r>
    </w:p>
  </w:footnote>
  <w:footnote w:id="6">
    <w:p>
      <w:pPr>
        <w:pStyle w:val="FootnoteText"/>
      </w:pPr>
      <w:r>
        <w:rPr>
          <w:rStyle w:val="FootnoteReference"/>
        </w:rPr>
        <w:footnoteRef/>
      </w:r>
      <w:r>
        <w:t xml:space="preserve"> </w:t>
      </w:r>
      <w:r>
        <w:tab/>
      </w:r>
      <w:r>
        <w:rPr>
          <w:rFonts w:ascii="Times New Roman" w:hAnsi="Times New Roman"/>
        </w:rPr>
        <w:t xml:space="preserve">      Nomenklaturen for statistiske regionale enheder.</w:t>
      </w:r>
    </w:p>
  </w:footnote>
  <w:footnote w:id="7">
    <w:p>
      <w:pPr>
        <w:pStyle w:val="FootnoteText"/>
        <w:ind w:left="993" w:hanging="993"/>
        <w:rPr>
          <w:rFonts w:ascii="Times New Roman" w:hAnsi="Times New Roman" w:cs="Times New Roman"/>
        </w:rPr>
      </w:pPr>
      <w:r>
        <w:rPr>
          <w:rStyle w:val="FootnoteReference"/>
        </w:rPr>
        <w:footnoteRef/>
      </w:r>
      <w:r>
        <w:t xml:space="preserve"> </w:t>
      </w:r>
      <w:r>
        <w:tab/>
      </w:r>
      <w:r>
        <w:rPr>
          <w:rFonts w:ascii="Times New Roman" w:hAnsi="Times New Roman"/>
        </w:rPr>
        <w:t>Arbejdsdokument fra Kommissionens tjenestegrene – konsekvensanalyse, der ledsager strategien for landbrugsstatistikker frem til 2020 og derefter og de efterfølgende mulige lovgivningsscenarier</w:t>
      </w:r>
    </w:p>
    <w:p>
      <w:pPr>
        <w:pStyle w:val="FootnoteText"/>
        <w:ind w:left="273" w:firstLine="720"/>
        <w:rPr>
          <w:rFonts w:ascii="Times New Roman" w:hAnsi="Times New Roman" w:cs="Times New Roman"/>
        </w:rPr>
      </w:pPr>
      <w:r>
        <w:rPr>
          <w:rFonts w:ascii="Times New Roman" w:hAnsi="Times New Roman"/>
        </w:rPr>
        <w:t>SWD/2016/0430 final – 2016/0389 (COD),</w:t>
      </w:r>
    </w:p>
    <w:p>
      <w:pPr>
        <w:pStyle w:val="FootnoteText"/>
        <w:ind w:left="993"/>
      </w:pPr>
      <w:hyperlink r:id="rId2">
        <w:r>
          <w:rPr>
            <w:rStyle w:val="Hyperlink"/>
            <w:rFonts w:ascii="Times New Roman" w:hAnsi="Times New Roman"/>
          </w:rPr>
          <w:t>https://eur-lex.europa.eu/legal-content/EN/TXT/?uri=CELEX:52016SC0430</w:t>
        </w:r>
      </w:hyperlink>
      <w:r>
        <w:rPr>
          <w:rFonts w:ascii="Times New Roman" w:hAnsi="Times New Roman"/>
        </w:rPr>
        <w:t xml:space="preserve"> (foreligger kun på engelsk).</w:t>
      </w:r>
    </w:p>
  </w:footnote>
  <w:footnote w:id="8">
    <w:p>
      <w:pPr>
        <w:pStyle w:val="FootnoteText"/>
        <w:ind w:left="709" w:hanging="709"/>
        <w:jc w:val="both"/>
      </w:pPr>
      <w:r>
        <w:rPr>
          <w:rStyle w:val="FootnoteReference"/>
        </w:rPr>
        <w:footnoteRef/>
      </w:r>
      <w:r>
        <w:t xml:space="preserve"> </w:t>
      </w:r>
      <w:r>
        <w:tab/>
      </w:r>
      <w:r>
        <w:rPr>
          <w:rFonts w:ascii="Times New Roman" w:hAnsi="Times New Roman"/>
        </w:rPr>
        <w:t>Europa-Parlamentets og Rådets forordning (EF) nr. 1166/2008 af 19. november 2008 om en række undersøgelser af landbrugsbedrifternes struktur og en undersøgelse af produktionsmetoderne i landbruget og om ophævelse af Rådets forordning (EØF) nr. 571/88 (EUT L 321 af 1.12.2008, s. 14).</w:t>
      </w:r>
    </w:p>
  </w:footnote>
  <w:footnote w:id="9">
    <w:p>
      <w:pPr>
        <w:spacing w:line="140" w:lineRule="atLeast"/>
        <w:ind w:left="709" w:hanging="709"/>
        <w:jc w:val="both"/>
        <w:rPr>
          <w:rFonts w:ascii="Times New Roman" w:hAnsi="Times New Roman" w:cs="Times New Roman"/>
          <w:sz w:val="20"/>
          <w:szCs w:val="20"/>
        </w:rPr>
      </w:pPr>
      <w:r>
        <w:rPr>
          <w:rStyle w:val="FootnoteReference"/>
        </w:rPr>
        <w:footnoteRef/>
      </w:r>
      <w:r>
        <w:t xml:space="preserve"> </w:t>
      </w:r>
      <w:r>
        <w:tab/>
      </w:r>
      <w:r>
        <w:rPr>
          <w:rFonts w:ascii="Times New Roman" w:hAnsi="Times New Roman"/>
          <w:sz w:val="20"/>
        </w:rPr>
        <w:t>Europa-Parlamentets og Rådets forordning (EU) 2018/1091 af 18. juli 2018 om integrerede landbrugsstatistikker og om ophævelse af forordning (EF) nr. 1166/2008 og (EU) nr. 1337/2011 (EUT L 200 af 7.8.2018,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0F6"/>
    <w:multiLevelType w:val="hybridMultilevel"/>
    <w:tmpl w:val="1ECA8E02"/>
    <w:lvl w:ilvl="0" w:tplc="ACFA7B2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D70EB6"/>
    <w:multiLevelType w:val="hybridMultilevel"/>
    <w:tmpl w:val="F88C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CB1D05"/>
    <w:multiLevelType w:val="hybridMultilevel"/>
    <w:tmpl w:val="5FD2945C"/>
    <w:lvl w:ilvl="0" w:tplc="A08EDD8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C35C6D"/>
    <w:multiLevelType w:val="hybridMultilevel"/>
    <w:tmpl w:val="F6F0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AF084C"/>
    <w:multiLevelType w:val="hybridMultilevel"/>
    <w:tmpl w:val="320671AC"/>
    <w:lvl w:ilvl="0" w:tplc="A08EDD8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664061"/>
    <w:multiLevelType w:val="hybridMultilevel"/>
    <w:tmpl w:val="0C74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75703C"/>
    <w:multiLevelType w:val="hybridMultilevel"/>
    <w:tmpl w:val="1FF2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F350CD"/>
    <w:multiLevelType w:val="hybridMultilevel"/>
    <w:tmpl w:val="17C427D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BE782DF-A4D5-4A20-9A32-8E4DC2A7B6A8"/>
    <w:docVar w:name="LW_COVERPAGE_TYPE" w:val="1"/>
    <w:docVar w:name="LW_CROSSREFERENCE" w:val="&lt;UNUSED&gt;"/>
    <w:docVar w:name="LW_DocType" w:val="NORMAL"/>
    <w:docVar w:name="LW_EMISSION" w:val="5.2.2019"/>
    <w:docVar w:name="LW_EMISSION_ISODATE" w:val="2019-02-05"/>
    <w:docVar w:name="LW_EMISSION_LOCATION" w:val="BRX"/>
    <w:docVar w:name="LW_EMISSION_PREFIX" w:val="Bruxelles, den "/>
    <w:docVar w:name="LW_EMISSION_SUFFIX" w:val=" "/>
    <w:docVar w:name="LW_ID_DOCTYPE_NONLW" w:val="CP-006"/>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9) 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m anvendelsen af Europa-Parlamentets og Rådets forordning (EU) nr. 1337/2011 af 13. december 2011 om europæiske statistikker vedrørende flerårige kulturer"/>
    <w:docVar w:name="LW_TYPE.DOC.CP" w:val="RAPPORT FRA KOMMISSIONEN TIL EUROPA-PARLAMENTET OG RÅDET"/>
    <w:docVar w:name="Stamp" w:val="\\dossiers.dgt.cec.eu.int\dossiers\ESTAT\ESTAT-2018-10216\ESTAT-2018-10216-00-00-EN-EDT-00.201811201241086322547.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Calibri" w:hAnsiTheme="majorHAnsi" w:cstheme="majorBidi"/>
      <w:b/>
      <w:bCs/>
      <w:noProof/>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Calibri" w:hAnsiTheme="majorHAnsi" w:cstheme="majorBidi"/>
      <w:b/>
      <w:bCs/>
      <w:noProof/>
      <w:color w:val="365F91" w:themeColor="accent1" w:themeShade="BF"/>
      <w:sz w:val="28"/>
      <w:szCs w:val="28"/>
    </w:rPr>
  </w:style>
  <w:style w:type="paragraph" w:styleId="FootnoteText">
    <w:name w:val="footnote text"/>
    <w:basedOn w:val="Normal"/>
    <w:uiPriority w:val="99"/>
    <w:semiHidden/>
    <w:unhideWhenUsed/>
    <w:pPr>
      <w:spacing w:after="0" w:line="240" w:lineRule="auto"/>
    </w:pPr>
    <w:rPr>
      <w:sz w:val="20"/>
      <w:szCs w:val="20"/>
    </w:rPr>
  </w:style>
  <w:style w:type="character" w:customStyle="1" w:styleId="FootnoteTextChar">
    <w:name w:val="Footnote Text Char"/>
    <w:basedOn w:val="DefaultParagraphFon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Calibri" w:hAnsiTheme="majorHAnsi" w:cstheme="majorBidi"/>
      <w:b/>
      <w:bCs/>
      <w:noProof/>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Calibri" w:hAnsiTheme="majorHAnsi" w:cstheme="majorBidi"/>
      <w:b/>
      <w:bCs/>
      <w:noProof/>
      <w:color w:val="365F91" w:themeColor="accent1" w:themeShade="BF"/>
      <w:sz w:val="28"/>
      <w:szCs w:val="28"/>
    </w:rPr>
  </w:style>
  <w:style w:type="paragraph" w:styleId="FootnoteText">
    <w:name w:val="footnote text"/>
    <w:basedOn w:val="Normal"/>
    <w:uiPriority w:val="99"/>
    <w:semiHidden/>
    <w:unhideWhenUsed/>
    <w:pPr>
      <w:spacing w:after="0" w:line="240" w:lineRule="auto"/>
    </w:pPr>
    <w:rPr>
      <w:sz w:val="20"/>
      <w:szCs w:val="20"/>
    </w:rPr>
  </w:style>
  <w:style w:type="character" w:customStyle="1" w:styleId="FootnoteTextChar">
    <w:name w:val="Footnote Text Char"/>
    <w:basedOn w:val="DefaultParagraphFon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42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52016SC0430" TargetMode="External"/><Relationship Id="rId1" Type="http://schemas.openxmlformats.org/officeDocument/2006/relationships/hyperlink" Target="http://ec.europa.eu/eurostat/documents/4031688/8971242/KS-02-18-142-EN-N.pdf/e7f85f07-91db-4312-8118-f729c75878c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5C320-1F10-4DB4-BB21-8DAAA5BC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2055</Words>
  <Characters>12907</Characters>
  <Application>Microsoft Office Word</Application>
  <DocSecurity>0</DocSecurity>
  <Lines>201</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2018-12-03T07:22:00Z</cp:lastPrinted>
  <dcterms:created xsi:type="dcterms:W3CDTF">2019-01-07T14:35:00Z</dcterms:created>
  <dcterms:modified xsi:type="dcterms:W3CDTF">2019-01-29T13:30:00Z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