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47776C1-34EC-460C-B7C3-C8C3DF407227" style="width:450.75pt;height:306.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KOMISJONI ARUANNE EUROOPA PARLAMENDILE JA NÕUKOGULE</w:t>
      </w:r>
    </w:p>
    <w:p>
      <w:pPr>
        <w:pStyle w:val="Titreobjet"/>
        <w:rPr>
          <w:noProof/>
        </w:rPr>
      </w:pPr>
      <w:r>
        <w:rPr>
          <w:noProof/>
        </w:rPr>
        <w:t>Euroopa Parlamendi ja nõukogu 13. detsembri 2011. aasta määruse (EL) nr 1337/2011 (mis käsitleb Euroopa püsikultuuride statistikat) toimimise kohta</w:t>
      </w:r>
    </w:p>
    <w:p>
      <w:pPr>
        <w:pStyle w:val="Heading1"/>
      </w:pPr>
      <w:r>
        <w:rPr>
          <w:rFonts w:ascii="Times New Roman" w:hAnsi="Times New Roman"/>
          <w:color w:val="auto"/>
          <w:sz w:val="24"/>
        </w:rPr>
        <w:t>1.</w:t>
      </w:r>
      <w:r>
        <w:tab/>
      </w:r>
      <w:r>
        <w:rPr>
          <w:rFonts w:ascii="Times New Roman" w:hAnsi="Times New Roman"/>
          <w:color w:val="auto"/>
          <w:sz w:val="24"/>
        </w:rPr>
        <w:t>TAUST</w:t>
      </w:r>
    </w:p>
    <w:p>
      <w:pPr>
        <w:rPr>
          <w:noProof/>
        </w:rPr>
      </w:pPr>
    </w:p>
    <w:p>
      <w:pPr>
        <w:jc w:val="both"/>
        <w:rPr>
          <w:rFonts w:ascii="Times New Roman" w:eastAsia="Times New Roman" w:hAnsi="Times New Roman" w:cs="Times New Roman"/>
          <w:noProof/>
          <w:sz w:val="24"/>
          <w:szCs w:val="20"/>
        </w:rPr>
      </w:pPr>
      <w:r>
        <w:rPr>
          <w:rFonts w:ascii="Times New Roman" w:hAnsi="Times New Roman"/>
          <w:noProof/>
          <w:sz w:val="24"/>
        </w:rPr>
        <w:t>Määrus (EL) nr 1337/2011 (edaspidi „määrus“) (mis käsitleb Euroopa püsikultuuride statistikat)</w:t>
      </w:r>
      <w:r>
        <w:rPr>
          <w:rStyle w:val="FootnoteReference"/>
          <w:rFonts w:ascii="Times New Roman" w:hAnsi="Times New Roman"/>
          <w:noProof/>
          <w:sz w:val="24"/>
        </w:rPr>
        <w:footnoteReference w:id="1"/>
      </w:r>
      <w:r>
        <w:rPr>
          <w:rFonts w:ascii="Times New Roman" w:hAnsi="Times New Roman"/>
          <w:noProof/>
          <w:sz w:val="24"/>
        </w:rPr>
        <w:t xml:space="preserve"> jõustus 1. jaanuaril 2012. Määrusega tunnistati kehtetuks kaks õigusakti: nõukogu 5. veebruari 1979. aasta määrus (EMÜ) nr 357/79 viinamarjakasvatusalade statistiliste vaatluste kohta</w:t>
      </w:r>
      <w:r>
        <w:rPr>
          <w:rStyle w:val="FootnoteReference"/>
          <w:rFonts w:ascii="Times New Roman" w:hAnsi="Times New Roman"/>
          <w:noProof/>
          <w:sz w:val="24"/>
        </w:rPr>
        <w:footnoteReference w:id="2"/>
      </w:r>
      <w:r>
        <w:rPr>
          <w:rFonts w:ascii="Times New Roman" w:hAnsi="Times New Roman"/>
          <w:noProof/>
          <w:sz w:val="24"/>
        </w:rPr>
        <w:t xml:space="preserve"> ning Euroopa Parlamendi ja nõukogu 19. detsembri 2001. aasta direktiiv 2001/109/EÜ, mis käsitleb liikmesriikide statistilisi vaatlusi teatavate viljapuuliikide istandike tootmispotentsiaali kindlaksmääramiseks</w:t>
      </w:r>
      <w:r>
        <w:rPr>
          <w:rStyle w:val="FootnoteReference"/>
          <w:rFonts w:ascii="Times New Roman" w:hAnsi="Times New Roman"/>
          <w:noProof/>
          <w:sz w:val="24"/>
        </w:rPr>
        <w:footnoteReference w:id="3"/>
      </w:r>
      <w:r>
        <w:rPr>
          <w:rFonts w:ascii="Times New Roman" w:hAnsi="Times New Roman"/>
          <w:noProof/>
          <w:sz w:val="24"/>
        </w:rPr>
        <w:t>. Määruses (EL) nr 1337/2011 käsitletakse püsikultuuride kohta kaht liiki struktuuriliste andmete kogumist:</w:t>
      </w:r>
    </w:p>
    <w:p>
      <w:pPr>
        <w:pStyle w:val="ListParagraph"/>
        <w:numPr>
          <w:ilvl w:val="0"/>
          <w:numId w:val="1"/>
        </w:numPr>
        <w:jc w:val="both"/>
        <w:rPr>
          <w:rFonts w:ascii="Times New Roman" w:eastAsia="Times New Roman" w:hAnsi="Times New Roman" w:cs="Times New Roman"/>
          <w:noProof/>
          <w:sz w:val="24"/>
          <w:szCs w:val="20"/>
        </w:rPr>
      </w:pPr>
      <w:r>
        <w:rPr>
          <w:rFonts w:ascii="Times New Roman" w:hAnsi="Times New Roman"/>
          <w:noProof/>
          <w:sz w:val="24"/>
        </w:rPr>
        <w:t>viljapuuaedade andmete kogumine õuna-, pirni-, virsiku-, nektariini-, apelsini-, sidruni-, väikeseviljaliste tsitrusepuude ja oliivipuude ning lauaviinamarjadeks ettenähtud viinamarjasortide kohta ning</w:t>
      </w:r>
    </w:p>
    <w:p>
      <w:pPr>
        <w:pStyle w:val="ListParagraph"/>
        <w:numPr>
          <w:ilvl w:val="0"/>
          <w:numId w:val="1"/>
        </w:numPr>
        <w:jc w:val="both"/>
        <w:rPr>
          <w:rFonts w:ascii="Times New Roman" w:eastAsia="Times New Roman" w:hAnsi="Times New Roman" w:cs="Times New Roman"/>
          <w:noProof/>
          <w:sz w:val="24"/>
          <w:szCs w:val="20"/>
        </w:rPr>
      </w:pPr>
      <w:r>
        <w:rPr>
          <w:rFonts w:ascii="Times New Roman" w:hAnsi="Times New Roman"/>
          <w:noProof/>
          <w:sz w:val="24"/>
        </w:rPr>
        <w:t>viinamarjaistanduste andmete kogumine viinamarjaistanduste kohta, kus kasvatatakse viinamarju veinide ja rosinate tootmiseks ning kahesuguseks otstarbeks ettenähtud viinamarju.</w:t>
      </w:r>
    </w:p>
    <w:p>
      <w:pPr>
        <w:jc w:val="both"/>
        <w:rPr>
          <w:rFonts w:ascii="Times New Roman" w:eastAsia="Times New Roman" w:hAnsi="Times New Roman" w:cs="Times New Roman"/>
          <w:noProof/>
          <w:sz w:val="24"/>
          <w:szCs w:val="20"/>
        </w:rPr>
      </w:pPr>
      <w:r>
        <w:rPr>
          <w:rFonts w:ascii="Times New Roman" w:hAnsi="Times New Roman"/>
          <w:noProof/>
          <w:sz w:val="24"/>
        </w:rPr>
        <w:t>Seni on korraldatud kolm andmekogumist: kaks viljapuuaedade kohta (2012. ja 2017. aastal) ning üks viinamarjaistanduste kohta (2015. aastal).</w:t>
      </w:r>
    </w:p>
    <w:p>
      <w:pPr>
        <w:jc w:val="both"/>
        <w:rPr>
          <w:rFonts w:ascii="Times New Roman" w:eastAsia="Times New Roman" w:hAnsi="Times New Roman" w:cs="Times New Roman"/>
          <w:noProof/>
          <w:sz w:val="24"/>
          <w:szCs w:val="20"/>
        </w:rPr>
      </w:pPr>
      <w:r>
        <w:rPr>
          <w:rFonts w:ascii="Times New Roman" w:hAnsi="Times New Roman"/>
          <w:noProof/>
          <w:sz w:val="24"/>
        </w:rPr>
        <w:t>Määruse artiklis 13 on sätestatud: „Komisjon vaatab käesoleva määruse toimimise läbi 31. detsembriks 2018 ja seejärel iga viie aasta tagant. Läbivaatamise raames hindab komisjon artiklis 4 osutatud andmete koostamise vajadust. Kui komisjon leiab, et osa neist andmetest ei ole enam vajalikud, on tal volitus võtta artiklis 11 sätestatud korras vastu delegeeritud õigusakte, millega teatavad andmed I ja II lisast kustutatakse.“</w:t>
      </w:r>
    </w:p>
    <w:p>
      <w:pPr>
        <w:jc w:val="both"/>
        <w:rPr>
          <w:rFonts w:ascii="Times New Roman" w:eastAsia="Times New Roman" w:hAnsi="Times New Roman" w:cs="Times New Roman"/>
          <w:noProof/>
          <w:sz w:val="24"/>
          <w:szCs w:val="20"/>
        </w:rPr>
      </w:pPr>
      <w:r>
        <w:rPr>
          <w:rFonts w:ascii="Times New Roman" w:hAnsi="Times New Roman"/>
          <w:noProof/>
          <w:sz w:val="24"/>
        </w:rPr>
        <w:t xml:space="preserve">Käesolevas aruandes on tehtud kokkuvõte määruse toimimise läbivaatamise peamistest järeldustest. Aruandes viidatakse Euroopa 2020. aasta põllumajandusstatistika strateegiale, mille Euroopa statistikasüsteemi komitee kiitis heaks oma 27. koosolekul, mis toimus 19. novembril 2015. aastal. Aruandes tutvustatakse püsikultuuride struktuurilise statistika uut õigusraamistikku, millega tunnistatakse kehtetuks määrus (EL) nr 1337/2011, mille toimimine on käesoleva aruande teema. </w:t>
      </w:r>
    </w:p>
    <w:p>
      <w:pPr>
        <w:pStyle w:val="Heading1"/>
        <w:rPr>
          <w:rFonts w:ascii="Times New Roman" w:hAnsi="Times New Roman" w:cs="Times New Roman"/>
          <w:bCs w:val="0"/>
          <w:color w:val="auto"/>
          <w:sz w:val="24"/>
          <w:szCs w:val="24"/>
        </w:rPr>
      </w:pPr>
      <w:r>
        <w:rPr>
          <w:rFonts w:ascii="Times New Roman" w:hAnsi="Times New Roman"/>
          <w:color w:val="auto"/>
          <w:sz w:val="24"/>
        </w:rPr>
        <w:t>2.</w:t>
      </w:r>
      <w:r>
        <w:tab/>
      </w:r>
      <w:r>
        <w:rPr>
          <w:rFonts w:ascii="Times New Roman" w:hAnsi="Times New Roman"/>
          <w:color w:val="auto"/>
          <w:sz w:val="24"/>
        </w:rPr>
        <w:t>PEAMISED JÄRELDUSED JA HINNANGUD</w:t>
      </w:r>
    </w:p>
    <w:p>
      <w:pPr>
        <w:rPr>
          <w:noProof/>
        </w:rPr>
      </w:pPr>
    </w:p>
    <w:p>
      <w:pPr>
        <w:jc w:val="both"/>
        <w:rPr>
          <w:rFonts w:ascii="Times New Roman" w:eastAsia="Times New Roman" w:hAnsi="Times New Roman" w:cs="Times New Roman"/>
          <w:noProof/>
          <w:sz w:val="24"/>
          <w:szCs w:val="20"/>
        </w:rPr>
      </w:pPr>
      <w:r>
        <w:rPr>
          <w:rFonts w:ascii="Times New Roman" w:hAnsi="Times New Roman"/>
          <w:noProof/>
          <w:sz w:val="24"/>
        </w:rPr>
        <w:t>Määrust (EL) nr 1337/2011 on teatud määral keeruline rakendada, nagu selgub 2012. ja 2017. aastal viljapuuaedade andmete kogumisel ning 2015. aastal viinamarjaistanduste andmete kogumisel saadud kogemuste, erinevate eksperdirühmade kohtumistel</w:t>
      </w:r>
      <w:r>
        <w:rPr>
          <w:rStyle w:val="FootnoteReference"/>
          <w:rFonts w:ascii="Times New Roman" w:hAnsi="Times New Roman"/>
          <w:noProof/>
          <w:sz w:val="24"/>
        </w:rPr>
        <w:footnoteReference w:id="4"/>
      </w:r>
      <w:r>
        <w:rPr>
          <w:rFonts w:ascii="Times New Roman" w:hAnsi="Times New Roman"/>
          <w:noProof/>
          <w:sz w:val="24"/>
        </w:rPr>
        <w:t xml:space="preserve"> antud tagasiside ja liikmesriikide esitatud kvaliteediaruannete põhjal. Lisaks on möödunud aastakümne jooksul muutunud ka kasutajate vajadused.</w:t>
      </w:r>
    </w:p>
    <w:p>
      <w:pPr>
        <w:jc w:val="both"/>
        <w:rPr>
          <w:rFonts w:ascii="Times New Roman" w:eastAsia="Times New Roman" w:hAnsi="Times New Roman" w:cs="Times New Roman"/>
          <w:b/>
          <w:noProof/>
          <w:sz w:val="24"/>
          <w:szCs w:val="20"/>
        </w:rPr>
      </w:pPr>
    </w:p>
    <w:p>
      <w:pPr>
        <w:jc w:val="both"/>
        <w:rPr>
          <w:rFonts w:ascii="Times New Roman" w:eastAsia="Times New Roman" w:hAnsi="Times New Roman" w:cs="Times New Roman"/>
          <w:b/>
          <w:noProof/>
          <w:sz w:val="24"/>
          <w:szCs w:val="20"/>
        </w:rPr>
      </w:pPr>
      <w:r>
        <w:rPr>
          <w:rFonts w:ascii="Times New Roman" w:hAnsi="Times New Roman"/>
          <w:b/>
          <w:noProof/>
          <w:sz w:val="24"/>
        </w:rPr>
        <w:t xml:space="preserve">2.1 </w:t>
      </w:r>
      <w:r>
        <w:rPr>
          <w:noProof/>
        </w:rPr>
        <w:tab/>
      </w:r>
      <w:r>
        <w:rPr>
          <w:rFonts w:ascii="Times New Roman" w:hAnsi="Times New Roman"/>
          <w:b/>
          <w:noProof/>
          <w:sz w:val="24"/>
        </w:rPr>
        <w:t>Andmekogumisega seotud probleemid.</w:t>
      </w:r>
    </w:p>
    <w:p>
      <w:pPr>
        <w:jc w:val="both"/>
        <w:rPr>
          <w:rFonts w:ascii="Times New Roman" w:eastAsia="Times New Roman" w:hAnsi="Times New Roman" w:cs="Times New Roman"/>
          <w:noProof/>
          <w:sz w:val="24"/>
          <w:szCs w:val="20"/>
        </w:rPr>
      </w:pPr>
      <w:r>
        <w:rPr>
          <w:rFonts w:ascii="Times New Roman" w:hAnsi="Times New Roman"/>
          <w:noProof/>
          <w:sz w:val="24"/>
        </w:rPr>
        <w:t>Andmete ja kvaliteediaruannete analüüsi põhjal on selge, et viljapuuaedade ja viinamarjaistanduste andmete kogumisel esineb teatud probleeme.</w:t>
      </w:r>
    </w:p>
    <w:p>
      <w:pPr>
        <w:ind w:firstLine="360"/>
        <w:jc w:val="both"/>
        <w:rPr>
          <w:rFonts w:ascii="Times New Roman" w:eastAsia="Times New Roman" w:hAnsi="Times New Roman" w:cs="Times New Roman"/>
          <w:i/>
          <w:noProof/>
          <w:sz w:val="24"/>
          <w:szCs w:val="20"/>
        </w:rPr>
      </w:pPr>
      <w:r>
        <w:rPr>
          <w:rFonts w:ascii="Times New Roman" w:hAnsi="Times New Roman"/>
          <w:i/>
          <w:noProof/>
          <w:sz w:val="24"/>
        </w:rPr>
        <w:t>2.1.1 Viljapuuaedade andmete kogumine</w:t>
      </w:r>
    </w:p>
    <w:p>
      <w:pPr>
        <w:pStyle w:val="ListParagraph"/>
        <w:ind w:left="0"/>
        <w:jc w:val="both"/>
        <w:rPr>
          <w:rFonts w:ascii="Times New Roman" w:eastAsia="Times New Roman" w:hAnsi="Times New Roman" w:cs="Times New Roman"/>
          <w:noProof/>
          <w:sz w:val="24"/>
          <w:szCs w:val="20"/>
        </w:rPr>
      </w:pPr>
      <w:r>
        <w:rPr>
          <w:rFonts w:ascii="Times New Roman" w:hAnsi="Times New Roman"/>
          <w:noProof/>
          <w:sz w:val="24"/>
        </w:rPr>
        <w:t>Andmemuutujate (liigirühm, vilja värvus, saagikoristuse aeg, vanus, tihedus) risttabelis esitamisel on kaks tagajärge. Esiteks peavad liikmesriigid kasutama väga suuri proovivõtumäärasid. Nendel riikidel, kellel ei olnud viljapuuaedade registrit, oli keskmine proovivõtumäär väga kõrge – 54 %. Seega pidi nendest riikidest viis riiki korraldama loenduse, et viljapuuaedade kohta andmeid koguda. Teiseks eeldab andmete üksikasjalik liigendamine kulukat ja aeganõudvat andmekogumist. Viljapuuaedade andmete kogumise keskmine maksumus (vaatlusaasta kohta) on ligikaudu 220 000 eurot riigi kohta, ulatudes 2 500 eurost kuni 900 000 euroni. Statistikaasutuste tööjõusisend ulatub 0,1 täistööaja ekvivalendist kuni 6,2 täistööaja ekvivalendini. Lisaks on andmeesitajatele suureks koormaks suured proovivõtumäärad ja pikad küsimustikud, mille jaoks on vaja teha palju pindalamõõtmisi.</w:t>
      </w:r>
    </w:p>
    <w:p>
      <w:pPr>
        <w:pStyle w:val="ListParagraph"/>
        <w:ind w:left="0"/>
        <w:jc w:val="both"/>
        <w:rPr>
          <w:rFonts w:ascii="Times New Roman" w:eastAsia="Times New Roman" w:hAnsi="Times New Roman" w:cs="Times New Roman"/>
          <w:noProof/>
          <w:sz w:val="24"/>
          <w:szCs w:val="20"/>
        </w:rPr>
      </w:pPr>
    </w:p>
    <w:p>
      <w:pPr>
        <w:pStyle w:val="ListParagraph"/>
        <w:ind w:left="0"/>
        <w:jc w:val="both"/>
        <w:rPr>
          <w:rFonts w:ascii="Times New Roman" w:eastAsia="Times New Roman" w:hAnsi="Times New Roman" w:cs="Times New Roman"/>
          <w:noProof/>
          <w:sz w:val="24"/>
          <w:szCs w:val="20"/>
        </w:rPr>
      </w:pPr>
      <w:r>
        <w:rPr>
          <w:rFonts w:ascii="Times New Roman" w:hAnsi="Times New Roman"/>
          <w:noProof/>
          <w:sz w:val="24"/>
        </w:rPr>
        <w:t>Väga üksikasjaliku teabe kogumiseks riiklikul tasandil tehtavad suured investeeringud ei too kahjuks täit kasu andmekasutajatele, kuna mõningaid kogutud andmeid ei saa statistilise konfidentsiaalsuse tõttu avaldada.</w:t>
      </w:r>
    </w:p>
    <w:p>
      <w:pPr>
        <w:jc w:val="both"/>
        <w:rPr>
          <w:rFonts w:ascii="Times New Roman" w:eastAsia="Times New Roman" w:hAnsi="Times New Roman" w:cs="Times New Roman"/>
          <w:noProof/>
          <w:sz w:val="24"/>
          <w:szCs w:val="20"/>
        </w:rPr>
      </w:pPr>
      <w:r>
        <w:rPr>
          <w:rFonts w:ascii="Times New Roman" w:hAnsi="Times New Roman"/>
          <w:noProof/>
          <w:sz w:val="24"/>
        </w:rPr>
        <w:t xml:space="preserve">Määruse I lisas määratletud liigirühmad, eelkõige õunte ja pirnide puhul, ei kajasta hästi liigirühmade jaotust ELis. Lauaõunu kandvate õunapuudega kaetud aladest on 34 % liigitatud rühma „Muud“ alla ja pirnipuude puhul on see osakaal 18 %. Probleem on veelgi suurem Euroopa põhja- ja idaosas, kus mõne riigi puhul kuuluvad peaaegu kõik viljapuuaiad rühma „Muud“ alla. </w:t>
      </w:r>
    </w:p>
    <w:p>
      <w:pPr>
        <w:jc w:val="both"/>
        <w:rPr>
          <w:rFonts w:ascii="Times New Roman" w:eastAsia="Times New Roman" w:hAnsi="Times New Roman" w:cs="Times New Roman"/>
          <w:noProof/>
          <w:sz w:val="24"/>
          <w:szCs w:val="20"/>
        </w:rPr>
      </w:pPr>
      <w:r>
        <w:rPr>
          <w:rFonts w:ascii="Times New Roman" w:hAnsi="Times New Roman"/>
          <w:noProof/>
          <w:sz w:val="24"/>
        </w:rPr>
        <w:t>Raske on koguda vabatahtlikult esitatavaid andmeid õuna-, pirni- ja virsikupuude kohta, mille viljad on nähtud ette tööstuslikuks töötlemiseks, kuna otsuse tegemisel, kas müüa puuvilju tarbimiseks või tööstuslikuks töötlemiseks, juhinduvad põllumajandustootjad igal aastal paljudel juhtudel pigem ilmast, turutingimustest ja kvaliteediaspektidest kui viljapuusordist.</w:t>
      </w:r>
      <w:r>
        <w:rPr>
          <w:noProof/>
        </w:rPr>
        <w:cr/>
      </w:r>
    </w:p>
    <w:p>
      <w:pPr>
        <w:ind w:firstLine="360"/>
        <w:jc w:val="both"/>
        <w:rPr>
          <w:rFonts w:ascii="Times New Roman" w:eastAsia="Times New Roman" w:hAnsi="Times New Roman" w:cs="Times New Roman"/>
          <w:i/>
          <w:noProof/>
          <w:sz w:val="24"/>
          <w:szCs w:val="20"/>
        </w:rPr>
      </w:pPr>
      <w:r>
        <w:rPr>
          <w:rFonts w:ascii="Times New Roman" w:hAnsi="Times New Roman"/>
          <w:i/>
          <w:noProof/>
          <w:sz w:val="24"/>
        </w:rPr>
        <w:t>2.1.2 Viinamarjaistanduste andmete kogumine</w:t>
      </w:r>
    </w:p>
    <w:p>
      <w:pPr>
        <w:jc w:val="both"/>
        <w:rPr>
          <w:rFonts w:ascii="Times New Roman" w:eastAsia="Times New Roman" w:hAnsi="Times New Roman" w:cs="Times New Roman"/>
          <w:noProof/>
          <w:sz w:val="24"/>
          <w:szCs w:val="20"/>
        </w:rPr>
      </w:pPr>
      <w:r>
        <w:rPr>
          <w:rFonts w:ascii="Times New Roman" w:hAnsi="Times New Roman"/>
          <w:noProof/>
          <w:sz w:val="24"/>
        </w:rPr>
        <w:t>Määruse artikli 3 lõikes 4 on sätestatud, et muuks otstarbeks kui lauaviinamarjadeks ette nähtud viinamarjasortide (määruse II lisa) andmete „esitamiseks kasutatakse andmeid, mis on saadud määruse (EÜ) nr 1234/2007 artikli 185a kohaselt loodud istandusregistrist, kõigi kõnealusesse registrisse kantud põllumajandusettevõtete puhul määruse (EÜ) nr 436/2009 artikli 3 lõike 1 punktis a määratletu kohaselt“. Määruse kohane kohustuslik side istandusregistri ja viinamarjaistanduste andmete kogumise vahel põhjustab mitmes liikmesriigis probleeme, kuna kõnealune register ei ole alati ajakohane ega sisalda kõiki määruses loetletud muutujaid. Kohustus kasutada kõnealust registrit ainsa andmeallikana on probleemne ka Euroopa statistika tegevusjuhise seisukohalt,</w:t>
      </w:r>
      <w:r>
        <w:rPr>
          <w:rStyle w:val="FootnoteReference"/>
          <w:rFonts w:ascii="Times New Roman" w:hAnsi="Times New Roman"/>
          <w:noProof/>
          <w:sz w:val="24"/>
        </w:rPr>
        <w:footnoteReference w:id="5"/>
      </w:r>
      <w:r>
        <w:rPr>
          <w:rFonts w:ascii="Times New Roman" w:hAnsi="Times New Roman"/>
          <w:noProof/>
          <w:sz w:val="24"/>
        </w:rPr>
        <w:t xml:space="preserve"> kuna selle punktis 6.2 on sätestatud, et statistiliste allikate valik peaks põhinema statistilistel kaalutlustel, ning punktis 12.1 on sätestatud, et algandmeid tuleb regulaarselt hinnata ja kinnitada. </w:t>
      </w:r>
    </w:p>
    <w:p>
      <w:pPr>
        <w:jc w:val="both"/>
        <w:rPr>
          <w:rFonts w:ascii="Times New Roman" w:eastAsia="Times New Roman" w:hAnsi="Times New Roman" w:cs="Times New Roman"/>
          <w:b/>
          <w:noProof/>
          <w:sz w:val="24"/>
          <w:szCs w:val="20"/>
        </w:rPr>
      </w:pPr>
    </w:p>
    <w:p>
      <w:pPr>
        <w:jc w:val="both"/>
        <w:rPr>
          <w:rFonts w:ascii="Times New Roman" w:eastAsia="Times New Roman" w:hAnsi="Times New Roman" w:cs="Times New Roman"/>
          <w:b/>
          <w:noProof/>
          <w:sz w:val="24"/>
          <w:szCs w:val="20"/>
        </w:rPr>
      </w:pPr>
      <w:r>
        <w:rPr>
          <w:rFonts w:ascii="Times New Roman" w:hAnsi="Times New Roman"/>
          <w:b/>
          <w:noProof/>
          <w:sz w:val="24"/>
        </w:rPr>
        <w:t>2.2.</w:t>
      </w:r>
      <w:r>
        <w:rPr>
          <w:noProof/>
        </w:rPr>
        <w:tab/>
      </w:r>
      <w:r>
        <w:rPr>
          <w:rFonts w:ascii="Times New Roman" w:hAnsi="Times New Roman"/>
          <w:b/>
          <w:noProof/>
          <w:sz w:val="24"/>
        </w:rPr>
        <w:t>Kasutajate vajadused</w:t>
      </w:r>
    </w:p>
    <w:p>
      <w:pPr>
        <w:jc w:val="both"/>
        <w:rPr>
          <w:rFonts w:ascii="Times New Roman" w:eastAsia="Times New Roman" w:hAnsi="Times New Roman" w:cs="Times New Roman"/>
          <w:noProof/>
          <w:sz w:val="24"/>
          <w:szCs w:val="20"/>
        </w:rPr>
      </w:pPr>
      <w:r>
        <w:rPr>
          <w:rFonts w:ascii="Times New Roman" w:hAnsi="Times New Roman"/>
          <w:noProof/>
          <w:sz w:val="24"/>
        </w:rPr>
        <w:t xml:space="preserve">Konsulteerimisel asjakohase poliitikavaldkonna peadirektoraatidega saadi kinnitust, et komisjoni tuleb täpselt teavitada ELi istandike potentsiaalist toota püsikultuuride teatavaid liike. Et tagada ühise põllumajanduspoliitika nõuetekohane haldamine, nõuab komisjon, et püsikultuuride kohta esitatakse korrapäraselt andmeid. Andmete uurimine näitas aga, et koormuse vähendamiseks, eelkõige viljapuuaedade andmete kogumisel, on võimalik võtta olulisi meetmeid. </w:t>
      </w:r>
      <w:r>
        <w:rPr>
          <w:noProof/>
        </w:rPr>
        <w:br w:type="page"/>
      </w:r>
    </w:p>
    <w:p>
      <w:pPr>
        <w:jc w:val="both"/>
        <w:rPr>
          <w:rFonts w:ascii="Times New Roman" w:eastAsia="Times New Roman" w:hAnsi="Times New Roman" w:cs="Times New Roman"/>
          <w:noProof/>
          <w:sz w:val="24"/>
          <w:szCs w:val="20"/>
        </w:rPr>
      </w:pPr>
      <w:r>
        <w:rPr>
          <w:rFonts w:ascii="Times New Roman" w:hAnsi="Times New Roman"/>
          <w:noProof/>
          <w:sz w:val="24"/>
        </w:rPr>
        <w:t>Enam ei ole vajalik, et järgmised muutujad kuuluksid struktuuriliste statistiliste andmete hulka, mis esitatakse poliitika üle järelevalve teostamise eesmärgil:</w:t>
      </w:r>
    </w:p>
    <w:p>
      <w:pPr>
        <w:pStyle w:val="ListParagraph"/>
        <w:numPr>
          <w:ilvl w:val="0"/>
          <w:numId w:val="6"/>
        </w:numPr>
        <w:rPr>
          <w:rFonts w:ascii="Times New Roman" w:eastAsia="Times New Roman" w:hAnsi="Times New Roman" w:cs="Times New Roman"/>
          <w:noProof/>
          <w:sz w:val="24"/>
          <w:szCs w:val="20"/>
        </w:rPr>
      </w:pPr>
      <w:r>
        <w:rPr>
          <w:rFonts w:ascii="Times New Roman" w:hAnsi="Times New Roman"/>
          <w:noProof/>
          <w:sz w:val="24"/>
        </w:rPr>
        <w:t>õunte ja pirnide liigirühmad;</w:t>
      </w:r>
    </w:p>
    <w:p>
      <w:pPr>
        <w:pStyle w:val="ListParagraph"/>
        <w:numPr>
          <w:ilvl w:val="0"/>
          <w:numId w:val="6"/>
        </w:numPr>
        <w:rPr>
          <w:rFonts w:ascii="Times New Roman" w:eastAsia="Times New Roman" w:hAnsi="Times New Roman" w:cs="Times New Roman"/>
          <w:noProof/>
          <w:sz w:val="24"/>
          <w:szCs w:val="20"/>
        </w:rPr>
      </w:pPr>
      <w:r>
        <w:rPr>
          <w:rFonts w:ascii="Times New Roman" w:hAnsi="Times New Roman"/>
          <w:noProof/>
          <w:sz w:val="24"/>
        </w:rPr>
        <w:t>virsikute, nektariinide ja lauaviinamarjade värvus ning</w:t>
      </w:r>
    </w:p>
    <w:p>
      <w:pPr>
        <w:pStyle w:val="ListParagraph"/>
        <w:numPr>
          <w:ilvl w:val="0"/>
          <w:numId w:val="6"/>
        </w:numPr>
        <w:rPr>
          <w:rFonts w:ascii="Times New Roman" w:eastAsia="Times New Roman" w:hAnsi="Times New Roman" w:cs="Times New Roman"/>
          <w:noProof/>
          <w:sz w:val="24"/>
          <w:szCs w:val="20"/>
        </w:rPr>
      </w:pPr>
      <w:r>
        <w:rPr>
          <w:rFonts w:ascii="Times New Roman" w:hAnsi="Times New Roman"/>
          <w:noProof/>
          <w:sz w:val="24"/>
        </w:rPr>
        <w:t>virsikute, nektariinide, aprikooside, apelsinide ja väikeseviljaliste tsitrusviljade saagikoristusaeg.</w:t>
      </w:r>
    </w:p>
    <w:p>
      <w:pPr>
        <w:jc w:val="both"/>
        <w:rPr>
          <w:rFonts w:ascii="Times New Roman" w:eastAsia="Times New Roman" w:hAnsi="Times New Roman" w:cs="Times New Roman"/>
          <w:noProof/>
          <w:sz w:val="24"/>
          <w:szCs w:val="20"/>
        </w:rPr>
      </w:pPr>
      <w:r>
        <w:rPr>
          <w:rFonts w:ascii="Times New Roman" w:hAnsi="Times New Roman"/>
          <w:noProof/>
          <w:sz w:val="24"/>
        </w:rPr>
        <w:t>Lisaks ei ole enam vaja esitada vanuse- ja tihedusemuutujaid risttabelis, kuigi neid muutujaid võib eraldi koguda. Andmete kogumise sagedus võib olla 6 või 7 aastat, kuna viljapuuaedade ja viinamarjaistanduste struktuur on suhteliselt muutumatu. Määruse kohaselt pidid andmete kogumise kohustust täitma liikmesriigid, kus kasvatatakse viinamarju vähemalt 500 hektari suurusel alal. Viljapuuaedade puhul oli lävendiks ühe viljapuuliigi kohta 1000 hektari suurune ala riiklikul tasandil. Et lävend oleks vastavuses veinisektori muude meetmete ja registritega, peaks viinamarjaistanduste lävend olema samuti 1000 hektarit.</w:t>
      </w:r>
    </w:p>
    <w:p>
      <w:pPr>
        <w:jc w:val="both"/>
        <w:rPr>
          <w:rFonts w:ascii="Times New Roman" w:eastAsia="Times New Roman" w:hAnsi="Times New Roman" w:cs="Times New Roman"/>
          <w:noProof/>
          <w:sz w:val="24"/>
          <w:szCs w:val="20"/>
        </w:rPr>
      </w:pPr>
      <w:r>
        <w:rPr>
          <w:rFonts w:ascii="Times New Roman" w:hAnsi="Times New Roman"/>
          <w:noProof/>
          <w:sz w:val="24"/>
        </w:rPr>
        <w:t>Poliitikakujundamiseks on vaja piirkondi paremini kajastavaid andmeid. Määruse kohaselt koguti andmeid viljapuude kohta NUTS 1</w:t>
      </w:r>
      <w:r>
        <w:rPr>
          <w:rStyle w:val="FootnoteReference"/>
          <w:rFonts w:ascii="Times New Roman" w:hAnsi="Times New Roman"/>
          <w:noProof/>
          <w:sz w:val="24"/>
        </w:rPr>
        <w:footnoteReference w:id="6"/>
      </w:r>
      <w:r>
        <w:rPr>
          <w:rFonts w:ascii="Times New Roman" w:hAnsi="Times New Roman"/>
          <w:noProof/>
          <w:sz w:val="24"/>
        </w:rPr>
        <w:t xml:space="preserve"> tasandil ja andmeid veini tootmiseks ette nähtud viinamarjaistanduste kohta NUTS 2 tasandil. Kuna need andmed on olulised, et analüüsida viljapuuaedade ja viinamarjaistanduste piirkondlikku potentsiaali nii turukorralduse kontekstis kui ka kriisi korral, on viljapuuaedade ja viinamarjaistanduste kohta vaja koguda kõiki struktuurseid andmeid NUTS 2 tasandil.</w:t>
      </w:r>
    </w:p>
    <w:p>
      <w:pPr>
        <w:rPr>
          <w:rFonts w:ascii="Times New Roman" w:eastAsia="Calibri" w:hAnsi="Times New Roman" w:cs="Times New Roman"/>
          <w:b/>
          <w:noProof/>
          <w:sz w:val="24"/>
          <w:szCs w:val="24"/>
        </w:rPr>
      </w:pPr>
    </w:p>
    <w:p>
      <w:pPr>
        <w:ind w:left="709" w:hanging="709"/>
        <w:jc w:val="both"/>
        <w:rPr>
          <w:rFonts w:ascii="Times New Roman" w:eastAsia="Calibri" w:hAnsi="Times New Roman" w:cs="Times New Roman"/>
          <w:b/>
          <w:noProof/>
          <w:sz w:val="24"/>
          <w:szCs w:val="24"/>
        </w:rPr>
      </w:pPr>
      <w:r>
        <w:rPr>
          <w:rFonts w:ascii="Times New Roman" w:hAnsi="Times New Roman"/>
          <w:b/>
          <w:noProof/>
          <w:sz w:val="24"/>
        </w:rPr>
        <w:t>3.</w:t>
      </w:r>
      <w:r>
        <w:rPr>
          <w:noProof/>
        </w:rPr>
        <w:tab/>
      </w:r>
      <w:r>
        <w:rPr>
          <w:rFonts w:ascii="Times New Roman" w:hAnsi="Times New Roman"/>
          <w:b/>
          <w:noProof/>
          <w:sz w:val="24"/>
        </w:rPr>
        <w:t xml:space="preserve">EUROOPA 2020. AASTA PÕLLUMAJANDUSSTATISTIKA STRATEEGIA JA UUE PÕLVKONNA PÕLLUMAJANDUSSTATISTIKA: MÕJU MÄÄRUSELE (EL) nr 1337/2011 </w:t>
      </w:r>
    </w:p>
    <w:p>
      <w:pPr>
        <w:jc w:val="both"/>
        <w:rPr>
          <w:rFonts w:ascii="Times New Roman" w:hAnsi="Times New Roman"/>
          <w:noProof/>
          <w:sz w:val="24"/>
        </w:rPr>
      </w:pPr>
      <w:r>
        <w:rPr>
          <w:rFonts w:ascii="Times New Roman" w:hAnsi="Times New Roman"/>
          <w:noProof/>
          <w:sz w:val="24"/>
        </w:rPr>
        <w:t>Alates 2014. aastast on Eurostat teinud koos andmekasutajate (peamiselt muud komisjoni talitused ja ELi institutsioonid) ja riiklike statistikaametitega intensiivselt tööd 2020. aasta ja järgnevate aastate põllumajandusstatistika strateegia</w:t>
      </w:r>
      <w:r>
        <w:rPr>
          <w:rStyle w:val="FootnoteReference"/>
          <w:rFonts w:ascii="Times New Roman" w:hAnsi="Times New Roman"/>
          <w:noProof/>
          <w:sz w:val="24"/>
        </w:rPr>
        <w:footnoteReference w:id="7"/>
      </w:r>
      <w:r>
        <w:rPr>
          <w:rFonts w:ascii="Times New Roman" w:hAnsi="Times New Roman"/>
          <w:noProof/>
          <w:sz w:val="24"/>
        </w:rPr>
        <w:t xml:space="preserve"> kallal. Põllumajandusstatistika strateegia eesmärgid on:</w:t>
      </w:r>
    </w:p>
    <w:p>
      <w:pPr>
        <w:numPr>
          <w:ilvl w:val="0"/>
          <w:numId w:val="7"/>
        </w:numPr>
        <w:tabs>
          <w:tab w:val="left" w:pos="720"/>
        </w:tabs>
        <w:spacing w:after="0" w:line="240" w:lineRule="auto"/>
        <w:contextualSpacing/>
        <w:jc w:val="both"/>
        <w:rPr>
          <w:rFonts w:ascii="Times New Roman" w:hAnsi="Times New Roman"/>
          <w:noProof/>
          <w:sz w:val="24"/>
          <w:szCs w:val="24"/>
        </w:rPr>
      </w:pPr>
      <w:r>
        <w:rPr>
          <w:rFonts w:ascii="Times New Roman" w:hAnsi="Times New Roman"/>
          <w:noProof/>
          <w:sz w:val="24"/>
        </w:rPr>
        <w:t>koostada tõhusalt sellist statistikat, mis vastab kasutaja vajadustele;</w:t>
      </w:r>
    </w:p>
    <w:p>
      <w:pPr>
        <w:numPr>
          <w:ilvl w:val="0"/>
          <w:numId w:val="7"/>
        </w:numPr>
        <w:tabs>
          <w:tab w:val="left" w:pos="720"/>
        </w:tabs>
        <w:spacing w:after="0" w:line="240" w:lineRule="auto"/>
        <w:contextualSpacing/>
        <w:jc w:val="both"/>
        <w:rPr>
          <w:rFonts w:ascii="Times New Roman" w:hAnsi="Times New Roman"/>
          <w:noProof/>
          <w:sz w:val="24"/>
          <w:szCs w:val="24"/>
        </w:rPr>
      </w:pPr>
      <w:r>
        <w:rPr>
          <w:rFonts w:ascii="Times New Roman" w:hAnsi="Times New Roman"/>
          <w:noProof/>
          <w:sz w:val="24"/>
        </w:rPr>
        <w:t>mitte suurendada oluliselt andmeesitajate ja statistikasüsteemide koormust ning teha kättesaadavaks rohkem statistikat;</w:t>
      </w:r>
    </w:p>
    <w:p>
      <w:pPr>
        <w:numPr>
          <w:ilvl w:val="0"/>
          <w:numId w:val="7"/>
        </w:numPr>
        <w:tabs>
          <w:tab w:val="left" w:pos="720"/>
        </w:tabs>
        <w:spacing w:after="0" w:line="240" w:lineRule="auto"/>
        <w:contextualSpacing/>
        <w:rPr>
          <w:rFonts w:ascii="Times New Roman" w:hAnsi="Times New Roman"/>
          <w:noProof/>
          <w:sz w:val="24"/>
          <w:szCs w:val="24"/>
        </w:rPr>
      </w:pPr>
      <w:r>
        <w:rPr>
          <w:rFonts w:ascii="Times New Roman" w:hAnsi="Times New Roman"/>
          <w:noProof/>
          <w:sz w:val="24"/>
        </w:rPr>
        <w:t>parandada põllumajandusstatistika alamvaldkondade järjepidevust;</w:t>
      </w:r>
    </w:p>
    <w:p>
      <w:pPr>
        <w:numPr>
          <w:ilvl w:val="0"/>
          <w:numId w:val="7"/>
        </w:numPr>
        <w:tabs>
          <w:tab w:val="left" w:pos="720"/>
        </w:tabs>
        <w:spacing w:after="0" w:line="240" w:lineRule="auto"/>
        <w:contextualSpacing/>
        <w:rPr>
          <w:rFonts w:ascii="Times New Roman" w:hAnsi="Times New Roman"/>
          <w:noProof/>
          <w:sz w:val="24"/>
          <w:szCs w:val="24"/>
        </w:rPr>
      </w:pPr>
      <w:r>
        <w:rPr>
          <w:rFonts w:ascii="Times New Roman" w:hAnsi="Times New Roman"/>
          <w:noProof/>
          <w:sz w:val="24"/>
        </w:rPr>
        <w:t>muuta mõisted ja määratlused selgemaks ja kergemini mõistetavaks;</w:t>
      </w:r>
    </w:p>
    <w:p>
      <w:pPr>
        <w:numPr>
          <w:ilvl w:val="0"/>
          <w:numId w:val="7"/>
        </w:numPr>
        <w:tabs>
          <w:tab w:val="left" w:pos="720"/>
        </w:tabs>
        <w:spacing w:after="0" w:line="240" w:lineRule="auto"/>
        <w:contextualSpacing/>
        <w:rPr>
          <w:rFonts w:ascii="Times New Roman" w:hAnsi="Times New Roman"/>
          <w:noProof/>
          <w:sz w:val="24"/>
          <w:szCs w:val="24"/>
        </w:rPr>
      </w:pPr>
      <w:r>
        <w:rPr>
          <w:rFonts w:ascii="Times New Roman" w:hAnsi="Times New Roman"/>
          <w:noProof/>
          <w:sz w:val="24"/>
        </w:rPr>
        <w:t>parandada põllumajandusstatistika kvaliteeti ning</w:t>
      </w:r>
    </w:p>
    <w:p>
      <w:pPr>
        <w:numPr>
          <w:ilvl w:val="0"/>
          <w:numId w:val="7"/>
        </w:numPr>
        <w:tabs>
          <w:tab w:val="left" w:pos="720"/>
        </w:tabs>
        <w:spacing w:after="0" w:line="240" w:lineRule="auto"/>
        <w:contextualSpacing/>
        <w:jc w:val="both"/>
        <w:rPr>
          <w:rFonts w:ascii="Times New Roman" w:hAnsi="Times New Roman"/>
          <w:noProof/>
          <w:sz w:val="24"/>
          <w:szCs w:val="24"/>
        </w:rPr>
      </w:pPr>
      <w:r>
        <w:rPr>
          <w:rFonts w:ascii="Times New Roman" w:hAnsi="Times New Roman"/>
          <w:noProof/>
          <w:sz w:val="24"/>
        </w:rPr>
        <w:t>parandada põllumajandus-, metsandus-, maakasutus- ja keskkonnastatistika lõimimist.</w:t>
      </w:r>
    </w:p>
    <w:p>
      <w:pPr>
        <w:jc w:val="both"/>
        <w:rPr>
          <w:rFonts w:ascii="Times New Roman" w:eastAsia="Times New Roman" w:hAnsi="Times New Roman" w:cs="Times New Roman"/>
          <w:noProof/>
          <w:sz w:val="24"/>
          <w:szCs w:val="20"/>
        </w:rPr>
      </w:pPr>
      <w:r>
        <w:rPr>
          <w:rFonts w:ascii="Times New Roman" w:hAnsi="Times New Roman"/>
          <w:noProof/>
          <w:sz w:val="24"/>
        </w:rPr>
        <w:t>Rakendamisetapp algas pärast seda, kui Euroopa statistikasüsteemi komitee oli strateegia 2015. aastal heaks kiitnud. Mõjuhinnangus leiti, et kaheetapiline rakendamisstrateegia vastab kõige paremini statistikasüsteemi ja andmekasutajate vajadustele.</w:t>
      </w:r>
    </w:p>
    <w:p>
      <w:pPr>
        <w:pStyle w:val="ListParagraph"/>
        <w:numPr>
          <w:ilvl w:val="0"/>
          <w:numId w:val="8"/>
        </w:numPr>
        <w:jc w:val="both"/>
        <w:rPr>
          <w:rFonts w:ascii="Times New Roman" w:eastAsia="Times New Roman" w:hAnsi="Times New Roman" w:cs="Times New Roman"/>
          <w:noProof/>
          <w:sz w:val="24"/>
          <w:szCs w:val="20"/>
        </w:rPr>
      </w:pPr>
      <w:r>
        <w:rPr>
          <w:rFonts w:ascii="Times New Roman" w:hAnsi="Times New Roman"/>
          <w:noProof/>
          <w:sz w:val="24"/>
        </w:rPr>
        <w:t>Esimene etapp on raammäärus, mis käsitleb integreeritud statistikat põllumajanduslike majapidamiste kohta. Raammäärus hõlmab põllumajandusettevõtete struktuuriuuringuid, mida praegu käsitleb põllumajandusettevõtete uuringute määrus,</w:t>
      </w:r>
      <w:r>
        <w:rPr>
          <w:rStyle w:val="FootnoteReference"/>
          <w:rFonts w:ascii="Times New Roman" w:hAnsi="Times New Roman"/>
          <w:noProof/>
          <w:sz w:val="24"/>
        </w:rPr>
        <w:footnoteReference w:id="8"/>
      </w:r>
      <w:r>
        <w:rPr>
          <w:rFonts w:ascii="Times New Roman" w:hAnsi="Times New Roman"/>
          <w:noProof/>
          <w:sz w:val="24"/>
        </w:rPr>
        <w:t xml:space="preserve"> määruse (EL) nr 1337/2011 kohast statistikat viljapuuaedade ja viinamarjaistanduste struktuuri kohta ning mõningaid põllumajanduse keskkonnanäitajaid. Struktuurilisi andmeid viljapuuaedade ja viinamarjaistanduste kohta kogutakse määruses 2018/1091</w:t>
      </w:r>
      <w:r>
        <w:rPr>
          <w:rStyle w:val="FootnoteReference"/>
          <w:rFonts w:ascii="Times New Roman" w:hAnsi="Times New Roman"/>
          <w:noProof/>
          <w:sz w:val="24"/>
        </w:rPr>
        <w:footnoteReference w:id="9"/>
      </w:r>
      <w:r>
        <w:rPr>
          <w:rFonts w:ascii="Times New Roman" w:hAnsi="Times New Roman"/>
          <w:noProof/>
          <w:sz w:val="24"/>
        </w:rPr>
        <w:t xml:space="preserve"> (mis võeti vastu 18. juulil 2018. aastal) sätestatud viljapuuaedade ja viinamarjaistanduste moodulite alusel. Määrus (EL) nr 1337/2011 on tunnistatud kehtetuks alates 1. jaanuarist 2022.</w:t>
      </w:r>
    </w:p>
    <w:p>
      <w:pPr>
        <w:pStyle w:val="ListParagraph"/>
        <w:numPr>
          <w:ilvl w:val="0"/>
          <w:numId w:val="8"/>
        </w:numPr>
        <w:jc w:val="both"/>
        <w:rPr>
          <w:rFonts w:ascii="Times New Roman" w:eastAsia="Times New Roman" w:hAnsi="Times New Roman" w:cs="Times New Roman"/>
          <w:noProof/>
          <w:sz w:val="24"/>
          <w:szCs w:val="20"/>
        </w:rPr>
      </w:pPr>
      <w:r>
        <w:rPr>
          <w:rFonts w:ascii="Times New Roman" w:hAnsi="Times New Roman"/>
          <w:noProof/>
          <w:sz w:val="24"/>
        </w:rPr>
        <w:t>Teine etapp on määrus, mis käsitleb põllumajandussisendite ja -väljundite statistikat ning hõlmab muu hulgas põllukultuuride tootmist ja põllukultuuride tasakaalu.</w:t>
      </w:r>
    </w:p>
    <w:p>
      <w:pPr>
        <w:jc w:val="both"/>
        <w:rPr>
          <w:rFonts w:ascii="Times New Roman" w:eastAsia="Times New Roman" w:hAnsi="Times New Roman" w:cs="Times New Roman"/>
          <w:noProof/>
          <w:sz w:val="24"/>
          <w:szCs w:val="20"/>
        </w:rPr>
      </w:pPr>
      <w:r>
        <w:rPr>
          <w:rFonts w:ascii="Times New Roman" w:hAnsi="Times New Roman"/>
          <w:noProof/>
          <w:sz w:val="24"/>
        </w:rPr>
        <w:t>Põllumajandusettevõtete integreeritud statistika määruse kohasel viljapuuaedade ja viinamarjaistanduste moodulitel on vähem üksikasjalik põllukultuuride omadusi käsitlev andmesisu, kuid andmed esitatakse Eurostatile mikroandmetena, mis on seotud põllumajanduslike majapidamiste põhiandmetega. See võimaldab andmeid paindlikumalt kasutada ja andmed vastavad paremini kasutajate vajadustele. Mikroandmeid saab esitada risttabelis, milles on näha, millised põllumajandustootjad kasvatavad eri liiki püsikultuure ja kuidas need põllumajandustootjad töötavad (nt vanus, haridus ja koolitus, muu põllumajandustegevus, muu tulutoov tegevus, kas nad asuvad vähem soodsates piirkodades jne).</w:t>
      </w:r>
    </w:p>
    <w:p>
      <w:pPr>
        <w:jc w:val="both"/>
        <w:rPr>
          <w:rFonts w:ascii="Times New Roman" w:eastAsia="Times New Roman" w:hAnsi="Times New Roman" w:cs="Times New Roman"/>
          <w:b/>
          <w:noProof/>
          <w:sz w:val="24"/>
          <w:szCs w:val="20"/>
        </w:rPr>
      </w:pPr>
      <w:r>
        <w:rPr>
          <w:rFonts w:ascii="Times New Roman" w:hAnsi="Times New Roman"/>
          <w:b/>
          <w:noProof/>
          <w:sz w:val="24"/>
        </w:rPr>
        <w:t>3.1 Põllumajandusettevõtete integreeritud statistika määruse kohane viljapuuaedade moodul</w:t>
      </w:r>
    </w:p>
    <w:p>
      <w:pPr>
        <w:jc w:val="both"/>
        <w:rPr>
          <w:rFonts w:ascii="Times New Roman" w:eastAsia="Times New Roman" w:hAnsi="Times New Roman" w:cs="Times New Roman"/>
          <w:noProof/>
          <w:sz w:val="24"/>
          <w:szCs w:val="20"/>
        </w:rPr>
      </w:pPr>
      <w:r>
        <w:rPr>
          <w:rFonts w:ascii="Times New Roman" w:hAnsi="Times New Roman"/>
          <w:noProof/>
          <w:sz w:val="24"/>
        </w:rPr>
        <w:t>Viljapuuaedade struktuurilist statistikat koostatakse põllumajandusettevõtete integreeritud statistika määruse kohase viljapuuaedade mooduli alusel. Sellega lahendatakse 2. peatükis esile tõstetud probleemid ja võetakse arvesse komisjoni praeguseid vajadusi. Viljapuuaedade moodul hõlmab ligikaudu 600 muutujat vähem, kui neid oli määrusega (EL) nr 1337/2011 hõlmatud. See peaks eeldatavasti vähendama andmekogumise kulusid ja koormat, arvestades isegi NUTS 2 tasandi täpsusnõudeid.</w:t>
      </w:r>
    </w:p>
    <w:p>
      <w:pPr>
        <w:jc w:val="both"/>
        <w:rPr>
          <w:rFonts w:ascii="Times New Roman" w:eastAsia="Times New Roman" w:hAnsi="Times New Roman" w:cs="Times New Roman"/>
          <w:noProof/>
          <w:sz w:val="24"/>
          <w:szCs w:val="20"/>
        </w:rPr>
      </w:pPr>
      <w:r>
        <w:rPr>
          <w:rFonts w:ascii="Times New Roman" w:hAnsi="Times New Roman"/>
          <w:noProof/>
          <w:sz w:val="24"/>
        </w:rPr>
        <w:t>Viljapuuaedade andmeid kogutakse põllumajandusettevõtete integreeritud statistika määruse kohase viljapuuaedade mooduli alusel 2023. aastal.</w:t>
      </w:r>
    </w:p>
    <w:p>
      <w:pPr>
        <w:rPr>
          <w:rFonts w:ascii="Times New Roman" w:eastAsia="Times New Roman" w:hAnsi="Times New Roman" w:cs="Times New Roman"/>
          <w:b/>
          <w:noProof/>
          <w:sz w:val="24"/>
          <w:szCs w:val="20"/>
        </w:rPr>
      </w:pPr>
      <w:r>
        <w:rPr>
          <w:noProof/>
        </w:rPr>
        <w:br w:type="page"/>
      </w:r>
    </w:p>
    <w:p>
      <w:pPr>
        <w:jc w:val="both"/>
        <w:rPr>
          <w:rFonts w:ascii="Times New Roman" w:eastAsia="Times New Roman" w:hAnsi="Times New Roman" w:cs="Times New Roman"/>
          <w:b/>
          <w:noProof/>
          <w:sz w:val="24"/>
          <w:szCs w:val="20"/>
        </w:rPr>
      </w:pPr>
      <w:r>
        <w:rPr>
          <w:rFonts w:ascii="Times New Roman" w:hAnsi="Times New Roman"/>
          <w:b/>
          <w:noProof/>
          <w:sz w:val="24"/>
        </w:rPr>
        <w:t>3.2 Põllumajandusettevõtete integreeritud statistika määruse kohane viinamarjaistanduste moodul</w:t>
      </w:r>
    </w:p>
    <w:p>
      <w:pPr>
        <w:jc w:val="both"/>
        <w:rPr>
          <w:rFonts w:ascii="Times New Roman" w:eastAsia="Times New Roman" w:hAnsi="Times New Roman" w:cs="Times New Roman"/>
          <w:noProof/>
          <w:sz w:val="24"/>
          <w:szCs w:val="20"/>
        </w:rPr>
      </w:pPr>
      <w:r>
        <w:rPr>
          <w:rFonts w:ascii="Times New Roman" w:hAnsi="Times New Roman"/>
          <w:noProof/>
          <w:sz w:val="24"/>
        </w:rPr>
        <w:t>Põllumajandusettevõtete integreeritud statistika määruse kohase viinamarjaistanduste mooduli alusel toimuva viinamarjaistanduste andmete kogumise sisu jääb peamiselt samaks, mis oli sätestatud määruses (EL) nr 1337/2011. Ainukene erinevus on peamiste viinamarjasortide määratlus. Praegu määratletakse peamisi sorte kui kõiki neid viinamarjasorte, mille minimaalne kasvatusala on riiklikul tasandil 500 hektarit. Põllumajandusettevõtete integreeritud statistika määruse kohaselt määratakse peamised viinamarjasordid kindlaks alt-üles lähenemisviisi abil: iga viinamarjakasvataja teatab oma ettevõtte kümnest suurimast viinamarjasordist ja nende alusel määratakse kindlaks peamised sordid riiklikul tasandil.</w:t>
      </w:r>
    </w:p>
    <w:p>
      <w:pPr>
        <w:jc w:val="both"/>
        <w:rPr>
          <w:rFonts w:ascii="Times New Roman" w:eastAsia="Times New Roman" w:hAnsi="Times New Roman" w:cs="Times New Roman"/>
          <w:noProof/>
          <w:sz w:val="24"/>
          <w:szCs w:val="20"/>
        </w:rPr>
      </w:pPr>
      <w:r>
        <w:rPr>
          <w:rFonts w:ascii="Times New Roman" w:hAnsi="Times New Roman"/>
          <w:noProof/>
          <w:sz w:val="24"/>
        </w:rPr>
        <w:t>Põllumajandusettevõtete integreeritud statistika määruse kohase viinamarjaistanduste mooduli puhul võivad liikmesriigid valida viinamarjaistanduste andmete kogumiseks välja parima kättesaadava andmeallika (kas andmete kogumine või istandusregister). Komisjon julgustab liikmesriike kasutama nii palju kui võimalik istandusregistri andmeid, kuna see vähendab andmeesitajate koormat ja kulutusi. Et parandada viinamarjaistanduste registriandmete kvaliteeti, kavatseb komisjon avaldada projektikonkursi, mille toetuste eesmärk on parandada istandusregistri ja statistiliste andmete kogumise (sealhulgas põllumajandusettevõtete registri) koostalitlusvõimet.</w:t>
      </w:r>
    </w:p>
    <w:p>
      <w:pPr>
        <w:jc w:val="both"/>
        <w:rPr>
          <w:rFonts w:ascii="Times New Roman" w:eastAsia="Times New Roman" w:hAnsi="Times New Roman" w:cs="Times New Roman"/>
          <w:noProof/>
          <w:sz w:val="24"/>
          <w:szCs w:val="20"/>
        </w:rPr>
      </w:pPr>
      <w:r>
        <w:rPr>
          <w:rFonts w:ascii="Times New Roman" w:hAnsi="Times New Roman"/>
          <w:noProof/>
          <w:sz w:val="24"/>
        </w:rPr>
        <w:t>Viinamarjaistanduste andmeid kogutakse põllumajandusettevõtete integreeritud statistika määruse alusel 2026. aastal. 2020. aastal kogutakse viinamarjaistanduste andmeid veel määruse (EL) nr 1337/2011 alusel, et oleks piisavalt aega viia põllumajandusettevõtete register vastavusse istandusregistriga, mis on põllumajandusettevõtete integreeritud statistika määruse kohaselt vajalik.</w:t>
      </w:r>
    </w:p>
    <w:p>
      <w:pPr>
        <w:jc w:val="both"/>
        <w:rPr>
          <w:rFonts w:ascii="Times New Roman" w:eastAsia="Times New Roman" w:hAnsi="Times New Roman" w:cs="Times New Roman"/>
          <w:b/>
          <w:noProof/>
          <w:sz w:val="24"/>
          <w:szCs w:val="20"/>
        </w:rPr>
      </w:pPr>
    </w:p>
    <w:p>
      <w:pPr>
        <w:jc w:val="both"/>
        <w:rPr>
          <w:rFonts w:ascii="Times New Roman" w:eastAsia="Calibri"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KOKKUVÕTE</w:t>
      </w:r>
      <w:r>
        <w:rPr>
          <w:noProof/>
        </w:rPr>
        <w:tab/>
      </w:r>
    </w:p>
    <w:p>
      <w:pPr>
        <w:jc w:val="both"/>
        <w:rPr>
          <w:rFonts w:ascii="Times New Roman" w:eastAsia="Times New Roman" w:hAnsi="Times New Roman" w:cs="Times New Roman"/>
          <w:noProof/>
          <w:sz w:val="24"/>
          <w:szCs w:val="20"/>
        </w:rPr>
      </w:pPr>
      <w:r>
        <w:rPr>
          <w:rFonts w:ascii="Times New Roman" w:hAnsi="Times New Roman"/>
          <w:noProof/>
          <w:sz w:val="24"/>
        </w:rPr>
        <w:t>Määrus (EL) nr 1337/2011 ei ole toiminud nii, nagu kavandati määruse vastuvõtmise ajal. See on tingitud sellest, et andmesisu ja risttabelis esitatavad andmed on liiga üksikasjalikud. Need tegurid tekitasid andmeesitajatele suurt koormust ja suured andmete kogumise kulud ning tõid kaasa konfidentsiaalsed andmed. Aastate jooksul on ka kasutajate vajadused muutunud ja nüüd vajab komisjonil vähem üksikasju.</w:t>
      </w:r>
    </w:p>
    <w:p>
      <w:pPr>
        <w:jc w:val="both"/>
        <w:rPr>
          <w:rFonts w:ascii="Times New Roman" w:eastAsia="Times New Roman" w:hAnsi="Times New Roman" w:cs="Times New Roman"/>
          <w:noProof/>
          <w:sz w:val="24"/>
          <w:szCs w:val="20"/>
        </w:rPr>
      </w:pPr>
      <w:r>
        <w:rPr>
          <w:rFonts w:ascii="Times New Roman" w:hAnsi="Times New Roman"/>
          <w:noProof/>
          <w:sz w:val="24"/>
        </w:rPr>
        <w:t>Eespool nimetatud põhjustel ja et viia ellu 2020. aasta ja järgnevate aastate põllumajandusstatistika strateegiat, lõimitakse määruse (EL) nr 1337/2011 kohane viljapuuaedade ja viinamarjaistanduste andmete kogumine uude määrusesse, mis käsitleb integreeritud statistikat põllumajanduslike majapidamiste kohta. Määrus (EL) nr 1337/2011 on tunnistatud kehtetuks alates pärast 2020. aasta viinamarjaistanduste andmete kogumist (andmete esitamine 2022. aastal).</w:t>
      </w:r>
    </w:p>
    <w:p>
      <w:pPr>
        <w:jc w:val="both"/>
        <w:rPr>
          <w:rFonts w:ascii="Times New Roman" w:eastAsia="Times New Roman" w:hAnsi="Times New Roman" w:cs="Times New Roman"/>
          <w:noProof/>
          <w:sz w:val="24"/>
          <w:szCs w:val="20"/>
        </w:rPr>
      </w:pPr>
      <w:r>
        <w:rPr>
          <w:rFonts w:ascii="Times New Roman" w:hAnsi="Times New Roman"/>
          <w:noProof/>
          <w:sz w:val="24"/>
        </w:rPr>
        <w:t>Uus õiguslik alus viljapuuaedade ja viinamarjaistanduste kohta struktuuriliste andmete kogumiseks vastab paremini kasutajate vajadustele ning peaks eeldatavasti vähendama andmeesitajate koormust. Viljapuuaedade ja viinamarjaistanduste mooduliandmed, mis kogutakse põllumajandusettevõtete integreeritud statistika määruse alusel, võimaldavad viljapuid ja viinamarju kasvatavaid ettevõtteid põhjalikult analüüsida. Seda tänu rohketele võimalustele, mis tulenevad mikroandmete esitamisest, mis võimaldab viljapuuaedade ja viinamarjaistanduste struktuuri seostada põllumajanduslike majapidamiste täielike struktuuriliste andmetega. See aitab tugevdada tõendibaasi, mida kasutatakse asjaomast sektorit mõjutavate otsuste vastuvõtmisel.</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00869"/>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709" w:hanging="709"/>
        <w:jc w:val="both"/>
        <w:rPr>
          <w:rFonts w:ascii="Times New Roman" w:eastAsia="Times New Roman" w:hAnsi="Times New Roman" w:cs="Times New Roman"/>
        </w:rPr>
      </w:pPr>
      <w:r>
        <w:rPr>
          <w:rStyle w:val="FootnoteReference"/>
        </w:rPr>
        <w:footnoteRef/>
      </w:r>
      <w:r>
        <w:tab/>
      </w:r>
      <w:r>
        <w:rPr>
          <w:rFonts w:ascii="Times New Roman" w:hAnsi="Times New Roman"/>
        </w:rPr>
        <w:t>Euroopa Parlamendi ja nõukogu 13. detsembri 2011. aasta määrus (EL) nr 1337/2011, mis käsitleb Euroopa püsikultuuride statistikat ning millega tunnistatakse kehtetuks nõukogu määrus (EMÜ) nr 357/79 ja Euroopa Parlamendi ja nõukogu direktiiv 2001/109/EÜ (EMPs kohaldatav tekst), ELT L 347, 30.12.2011, lk 7.</w:t>
      </w:r>
    </w:p>
  </w:footnote>
  <w:footnote w:id="2">
    <w:p>
      <w:pPr>
        <w:pStyle w:val="FootnoteText"/>
        <w:ind w:left="709" w:hanging="709"/>
        <w:jc w:val="both"/>
        <w:rPr>
          <w:rFonts w:ascii="Times New Roman" w:eastAsia="Times New Roman" w:hAnsi="Times New Roman" w:cs="Times New Roman"/>
        </w:rPr>
      </w:pPr>
      <w:r>
        <w:rPr>
          <w:rStyle w:val="FootnoteReference"/>
        </w:rPr>
        <w:footnoteRef/>
      </w:r>
      <w:r>
        <w:tab/>
      </w:r>
      <w:r>
        <w:rPr>
          <w:rFonts w:ascii="Times New Roman" w:hAnsi="Times New Roman"/>
        </w:rPr>
        <w:t>Nõukogu 5. veebruari 1979. aasta määrus (EMÜ) nr 357/79 viinamarjakasvatusalade statistiliste vaatluste kohta, EÜT L 54, 5.3.1979, lk 124.</w:t>
      </w:r>
    </w:p>
  </w:footnote>
  <w:footnote w:id="3">
    <w:p>
      <w:pPr>
        <w:pStyle w:val="FootnoteText"/>
        <w:ind w:left="709" w:hanging="709"/>
        <w:jc w:val="both"/>
      </w:pPr>
      <w:r>
        <w:rPr>
          <w:rStyle w:val="FootnoteReference"/>
        </w:rPr>
        <w:footnoteRef/>
      </w:r>
      <w:r>
        <w:tab/>
      </w:r>
      <w:r>
        <w:rPr>
          <w:rFonts w:ascii="Times New Roman" w:hAnsi="Times New Roman"/>
        </w:rPr>
        <w:t>Euroopa Parlamendi ja nõukogu 19. detsembri 2001. aasta direktiiv 2001/109/EÜ, mis käsitleb liikmesriikide statistilisi vaatlusi teatavate viljapuuliikide istandike tootmispotentsiaali kindlaksmääramiseks, EÜT L 13, 16.1.2002, lk 21</w:t>
      </w:r>
      <w:r>
        <w:t>.</w:t>
      </w:r>
    </w:p>
  </w:footnote>
  <w:footnote w:id="4">
    <w:p>
      <w:pPr>
        <w:pStyle w:val="FootnoteText"/>
        <w:ind w:left="709" w:hanging="709"/>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Põllukultuuride statistika töörühma kohtumised (2012–2017), alalise põllumajandusstatistika komitee kohtumised (kuni 2014. aastani), põllumajandusstatistika valdkonna direktorite rühma kohtumised (alates 2015. aastast).</w:t>
      </w:r>
    </w:p>
  </w:footnote>
  <w:footnote w:id="5">
    <w:p>
      <w:pPr>
        <w:pStyle w:val="FootnoteText"/>
        <w:ind w:left="851" w:hanging="851"/>
        <w:jc w:val="both"/>
      </w:pPr>
      <w:r>
        <w:rPr>
          <w:rStyle w:val="FootnoteReference"/>
        </w:rPr>
        <w:footnoteRef/>
      </w:r>
      <w:r>
        <w:t xml:space="preserve"> </w:t>
      </w:r>
      <w:r>
        <w:tab/>
      </w:r>
      <w:r>
        <w:rPr>
          <w:rFonts w:ascii="Times New Roman" w:hAnsi="Times New Roman"/>
        </w:rPr>
        <w:t xml:space="preserve">„European statistics code of practice for national statistical authorities and Eurostat (EU statistical authority)“, mille Euroopa statistikasüsteemi komitee kiitis heaks 16. novembril 2017: </w:t>
      </w:r>
      <w:hyperlink r:id="rId1">
        <w:r>
          <w:rPr>
            <w:rStyle w:val="Hyperlink"/>
            <w:rFonts w:ascii="Times New Roman" w:hAnsi="Times New Roman"/>
          </w:rPr>
          <w:t>http://ec.europa.eu/eurostat/documents/4031688/8971242/KS-02-18-142-EN-N.pdf/e7f85f07-91db-4312-8118-f729c75878c7</w:t>
        </w:r>
      </w:hyperlink>
      <w:r>
        <w:rPr>
          <w:rFonts w:ascii="Times New Roman" w:hAnsi="Times New Roman"/>
        </w:rPr>
        <w:t xml:space="preserve"> (kättesaadav ainult inglise keeles).</w:t>
      </w:r>
    </w:p>
  </w:footnote>
  <w:footnote w:id="6">
    <w:p>
      <w:pPr>
        <w:pStyle w:val="FootnoteText"/>
      </w:pPr>
      <w:r>
        <w:rPr>
          <w:rStyle w:val="FootnoteReference"/>
        </w:rPr>
        <w:footnoteRef/>
      </w:r>
      <w:r>
        <w:t xml:space="preserve"> </w:t>
      </w:r>
      <w:r>
        <w:tab/>
      </w:r>
      <w:r>
        <w:rPr>
          <w:rFonts w:ascii="Times New Roman" w:hAnsi="Times New Roman"/>
        </w:rPr>
        <w:t xml:space="preserve">      Ühine statistiliste territoriaalüksuste liigitus</w:t>
      </w:r>
    </w:p>
  </w:footnote>
  <w:footnote w:id="7">
    <w:p>
      <w:pPr>
        <w:pStyle w:val="FootnoteText"/>
        <w:ind w:left="993" w:hanging="993"/>
        <w:rPr>
          <w:rFonts w:ascii="Times New Roman" w:hAnsi="Times New Roman" w:cs="Times New Roman"/>
        </w:rPr>
      </w:pPr>
      <w:r>
        <w:rPr>
          <w:rStyle w:val="FootnoteReference"/>
        </w:rPr>
        <w:footnoteRef/>
      </w:r>
      <w:r>
        <w:t xml:space="preserve"> </w:t>
      </w:r>
      <w:r>
        <w:tab/>
      </w:r>
      <w:r>
        <w:rPr>
          <w:rFonts w:ascii="Times New Roman" w:hAnsi="Times New Roman"/>
        </w:rPr>
        <w:t>„Commission staff working document impact assessment accompanying the strategy for agricultural statistics 2020 and beyond and subsequent potential legislative scenarios“</w:t>
      </w:r>
    </w:p>
    <w:p>
      <w:pPr>
        <w:pStyle w:val="FootnoteText"/>
        <w:ind w:left="273" w:firstLine="720"/>
        <w:rPr>
          <w:rFonts w:ascii="Times New Roman" w:hAnsi="Times New Roman" w:cs="Times New Roman"/>
        </w:rPr>
      </w:pPr>
      <w:r>
        <w:rPr>
          <w:rFonts w:ascii="Times New Roman" w:hAnsi="Times New Roman"/>
        </w:rPr>
        <w:t>SWD/2016/0430 final – 2016/0389 (COD),</w:t>
      </w:r>
    </w:p>
    <w:p>
      <w:pPr>
        <w:pStyle w:val="FootnoteText"/>
        <w:ind w:left="993"/>
      </w:pPr>
      <w:hyperlink r:id="rId2">
        <w:r>
          <w:rPr>
            <w:rStyle w:val="Hyperlink"/>
            <w:rFonts w:ascii="Times New Roman" w:hAnsi="Times New Roman"/>
          </w:rPr>
          <w:t>https://eur-lex.europa.eu/legal-content/EN/TXT/?uri=CELEX:52016SC0430</w:t>
        </w:r>
      </w:hyperlink>
      <w:r>
        <w:rPr>
          <w:rFonts w:ascii="Times New Roman" w:hAnsi="Times New Roman"/>
        </w:rPr>
        <w:t xml:space="preserve"> (kättesaadav ainult inglise keeles).</w:t>
      </w:r>
    </w:p>
  </w:footnote>
  <w:footnote w:id="8">
    <w:p>
      <w:pPr>
        <w:pStyle w:val="FootnoteText"/>
        <w:ind w:left="709" w:hanging="709"/>
        <w:jc w:val="both"/>
      </w:pPr>
      <w:r>
        <w:rPr>
          <w:rStyle w:val="FootnoteReference"/>
        </w:rPr>
        <w:footnoteRef/>
      </w:r>
      <w:r>
        <w:t xml:space="preserve"> </w:t>
      </w:r>
      <w:r>
        <w:tab/>
      </w:r>
      <w:r>
        <w:rPr>
          <w:rFonts w:ascii="Times New Roman" w:hAnsi="Times New Roman"/>
        </w:rPr>
        <w:t>Euroopa Parlamendi ja nõukogu 19. novembri 2008. aasta määrus (EÜ) nr 1166/2008, mis käsitleb põllumajandusettevõtete struktuuriuuringuid ja põllumajanduslike tootmismeetodite uuringut ning millega tunnistatakse kehtetuks nõukogu määrus (EMÜ) nr 571/88, ELT L 321, 1.12.2008, lk 14.</w:t>
      </w:r>
    </w:p>
  </w:footnote>
  <w:footnote w:id="9">
    <w:p>
      <w:pPr>
        <w:spacing w:line="140" w:lineRule="atLeast"/>
        <w:ind w:left="709" w:hanging="709"/>
        <w:jc w:val="both"/>
        <w:rPr>
          <w:rFonts w:ascii="Times New Roman" w:hAnsi="Times New Roman" w:cs="Times New Roman"/>
          <w:sz w:val="20"/>
          <w:szCs w:val="20"/>
        </w:rPr>
      </w:pPr>
      <w:r>
        <w:rPr>
          <w:rStyle w:val="FootnoteReference"/>
        </w:rPr>
        <w:footnoteRef/>
      </w:r>
      <w:r>
        <w:t xml:space="preserve"> </w:t>
      </w:r>
      <w:r>
        <w:tab/>
      </w:r>
      <w:r>
        <w:rPr>
          <w:rFonts w:ascii="Times New Roman" w:hAnsi="Times New Roman"/>
          <w:sz w:val="20"/>
        </w:rPr>
        <w:t>Euroopa Parlamendi ja nõukogu 18. juuli 2018. aasta määrus (EL) 2018/1091, mis käsitleb integreeritud statistikat põllumajanduslike majapidamiste kohta ning millega tunnistatakse kehtetuks määrused (EÜ) nr 1166/2008 ja (EL) nr 1337/2011, ELT L 200, 7.8.2018, lk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0F6"/>
    <w:multiLevelType w:val="hybridMultilevel"/>
    <w:tmpl w:val="1ECA8E02"/>
    <w:lvl w:ilvl="0" w:tplc="ACFA7B2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D70EB6"/>
    <w:multiLevelType w:val="hybridMultilevel"/>
    <w:tmpl w:val="F88C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CB1D05"/>
    <w:multiLevelType w:val="hybridMultilevel"/>
    <w:tmpl w:val="5FD2945C"/>
    <w:lvl w:ilvl="0" w:tplc="A08EDD8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C35C6D"/>
    <w:multiLevelType w:val="hybridMultilevel"/>
    <w:tmpl w:val="F6F0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AF084C"/>
    <w:multiLevelType w:val="hybridMultilevel"/>
    <w:tmpl w:val="320671AC"/>
    <w:lvl w:ilvl="0" w:tplc="A08EDD8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664061"/>
    <w:multiLevelType w:val="hybridMultilevel"/>
    <w:tmpl w:val="0C74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75703C"/>
    <w:multiLevelType w:val="hybridMultilevel"/>
    <w:tmpl w:val="1FF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F350CD"/>
    <w:multiLevelType w:val="hybridMultilevel"/>
    <w:tmpl w:val="17C427D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47776C1-34EC-460C-B7C3-C8C3DF407227"/>
    <w:docVar w:name="LW_COVERPAGE_TYPE" w:val="1"/>
    <w:docVar w:name="LW_CROSSREFERENCE" w:val="&lt;UNUSED&gt;"/>
    <w:docVar w:name="LW_DocType" w:val="NORMAL"/>
    <w:docVar w:name="LW_EMISSION" w:val="5.2.2019"/>
    <w:docVar w:name="LW_EMISSION_ISODATE" w:val="2019-02-05"/>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uroopa Parlamendi ja nõukogu 13. detsembri 2011. aasta määruse (EL) nr 1337/2011 (mis käsitleb Euroopa püsikultuuride statistikat) toimimise kohta"/>
    <w:docVar w:name="LW_TYPE.DOC.CP" w:val="KOMISJONI ARUANNE EUROOPA PARLAMENDILE JA NÕUKOGULE"/>
    <w:docVar w:name="Stamp" w:val="\\dossiers.dgt.cec.eu.int\dossiers\ESTAT\ESTAT-2018-10216\ESTAT-2018-10216-00-00-EN-EDT-00.201811201241086322547.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Calibri" w:hAnsiTheme="majorHAnsi" w:cstheme="majorBidi"/>
      <w:b/>
      <w:bCs/>
      <w:noProof/>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Calibri" w:hAnsiTheme="majorHAnsi" w:cstheme="majorBidi"/>
      <w:b/>
      <w:bCs/>
      <w:noProof/>
      <w:color w:val="365F91" w:themeColor="accent1" w:themeShade="BF"/>
      <w:sz w:val="28"/>
      <w:szCs w:val="28"/>
    </w:rPr>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Calibri" w:hAnsiTheme="majorHAnsi" w:cstheme="majorBidi"/>
      <w:b/>
      <w:bCs/>
      <w:noProof/>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Calibri" w:hAnsiTheme="majorHAnsi" w:cstheme="majorBidi"/>
      <w:b/>
      <w:bCs/>
      <w:noProof/>
      <w:color w:val="365F91" w:themeColor="accent1" w:themeShade="BF"/>
      <w:sz w:val="28"/>
      <w:szCs w:val="28"/>
    </w:rPr>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52016SC0430" TargetMode="External"/><Relationship Id="rId1" Type="http://schemas.openxmlformats.org/officeDocument/2006/relationships/hyperlink" Target="http://ec.europa.eu/eurostat/documents/4031688/8971242/KS-02-18-142-EN-N.pdf/e7f85f07-91db-4312-8118-f729c75878c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B7C55-897A-455C-A026-FC41D9E6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1621</Words>
  <Characters>12879</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2018-12-03T07:22:00Z</cp:lastPrinted>
  <dcterms:created xsi:type="dcterms:W3CDTF">2019-01-07T14:35:00Z</dcterms:created>
  <dcterms:modified xsi:type="dcterms:W3CDTF">2019-01-29T13:29:00Z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