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F0EE085-D471-4081-A58D-76137374FED4"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b/>
          <w:noProof/>
        </w:rPr>
      </w:pPr>
      <w:r>
        <w:rPr>
          <w:noProof/>
        </w:rPr>
        <w:t>Cieľom návrhu je upraviť výšku dostupných zdrojov na hospodársku, sociálnu a územnú súdržnosť stanovenú v článku 91 ods. 1 nariadenia (EÚ) č. 1303/2013</w:t>
      </w:r>
      <w:r>
        <w:rPr>
          <w:rStyle w:val="FootnoteReference"/>
          <w:noProof/>
        </w:rPr>
        <w:footnoteReference w:id="1"/>
      </w:r>
      <w:r>
        <w:rPr>
          <w:noProof/>
        </w:rPr>
        <w:t xml:space="preserve">, výšku zdrojov na osobitné pridelené prostriedky na iniciatívu na podporu zamestnanosti mladých ľudí („YEI“) stanovenú v článku 92 ods. 5 uvedeného nariadenia a ročné rozdelenie viazaných rozpočtových prostriedkov uvedené v prílohe VI k uvedenému nariadeniu s cieľom zohľadniť zvýšenie zdrojov iniciatívy na iniciatívu na podporu zamestnanosti mladých ľudí, v súlade s rozpočtom prijatým na rok 2019. Konkrétnejšie by sa viazané rozpočtové prostriedky určené na osobitné pridelené prostriedky na iniciatívu na podporu zamestnanosti mladých ľudí mali zvýšiť o sumu vo výške 116,7 milióna EUR v bežných cenách, čím bude celková suma na rok 2019 dosahovať 350 miliónov EUR. </w:t>
      </w:r>
    </w:p>
    <w:p>
      <w:pPr>
        <w:rPr>
          <w:b/>
          <w:noProof/>
        </w:rPr>
      </w:pPr>
      <w:r>
        <w:rPr>
          <w:noProof/>
        </w:rPr>
        <w:t>Okrem toho so zreteľom na skúsenosti z minulosti v súvislosti so zvýšením zdrojov na osobitné pridelené prostriedky na iniciatívu na podporu zamestnanosti mladých ľudí, ktoré vyvolali rozsiahle zmeny programov potrebné na poskytnutie súm z Európskeho sociálneho fondu („ESF“), aby sa prispôsobili podpore z osobitných pridelených prostriedkov na iniciatívu na podporu zamestnanosti mladých ľudí, spoluzákonodarcovia EÚ požiadali Komisiu, aby navrhla podporné opatrenia na zabezpečenie rýchleho programovania dodatočných zdrojov na iniciatívu na podporu zamestnanosti mladých ľudí v roku 2019 s cieľom nebrániť celkovému pokroku pri vykonávaní operačných programov na roky 2014 – 2020. V návrhu sa preto zavádzajú príslušné ustanovenia na riešenie tejto požiadavky.</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pBdr>
          <w:top w:val="nil"/>
          <w:left w:val="nil"/>
          <w:bottom w:val="nil"/>
          <w:right w:val="nil"/>
          <w:between w:val="nil"/>
          <w:bar w:val="nil"/>
        </w:pBdr>
        <w:spacing w:before="0" w:after="240"/>
        <w:rPr>
          <w:noProof/>
        </w:rPr>
      </w:pPr>
      <w:r>
        <w:rPr>
          <w:noProof/>
        </w:rPr>
        <w:t xml:space="preserve">Tento návrh je výsledkom rozpočtu Únie na rok 2019. </w:t>
      </w:r>
    </w:p>
    <w:p>
      <w:pPr>
        <w:pStyle w:val="ManualHeading2"/>
        <w:rPr>
          <w:rFonts w:eastAsia="Arial Unicode MS"/>
          <w:noProof/>
        </w:rPr>
      </w:pPr>
      <w:r>
        <w:rPr>
          <w:noProof/>
          <w:color w:val="000000"/>
          <w:u w:color="000000"/>
          <w:bdr w:val="nil"/>
        </w:rPr>
        <w:t>•</w:t>
      </w:r>
      <w:r>
        <w:rPr>
          <w:noProof/>
        </w:rPr>
        <w:tab/>
        <w:t>Súlad s ostatnými politikami Únie</w:t>
      </w:r>
    </w:p>
    <w:p>
      <w:pPr>
        <w:pBdr>
          <w:top w:val="nil"/>
          <w:left w:val="nil"/>
          <w:bottom w:val="nil"/>
          <w:right w:val="nil"/>
          <w:between w:val="nil"/>
          <w:bar w:val="nil"/>
        </w:pBdr>
        <w:spacing w:before="0" w:after="240"/>
        <w:rPr>
          <w:rFonts w:eastAsia="Arial Unicode MS"/>
          <w:noProof/>
        </w:rPr>
      </w:pPr>
      <w:r>
        <w:rPr>
          <w:noProof/>
        </w:rPr>
        <w:t xml:space="preserve">Návrh je konzistentný s ostatnými návrhmi a iniciatívami, ktoré prijala Európska komisia. </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noProof/>
        </w:rPr>
      </w:pPr>
      <w:r>
        <w:rPr>
          <w:noProof/>
        </w:rPr>
        <w:t xml:space="preserve">Revízia odráža zvýšenie zdrojov na osobitné pridelené prostriedky na iniciatívu na podporu zamestnanosti mladých ľudí v rozpočte EÚ na rok 2019. </w:t>
      </w:r>
    </w:p>
    <w:p>
      <w:pPr>
        <w:pStyle w:val="ManualHeading2"/>
        <w:rPr>
          <w:rFonts w:eastAsia="Arial Unicode MS"/>
          <w:noProof/>
          <w:u w:color="000000"/>
          <w:bdr w:val="nil"/>
        </w:rPr>
      </w:pPr>
      <w:r>
        <w:rPr>
          <w:noProof/>
        </w:rPr>
        <w:t>•</w:t>
      </w:r>
      <w:r>
        <w:rPr>
          <w:noProof/>
        </w:rPr>
        <w:tab/>
        <w:t xml:space="preserve">Subsidiarita (v prípade inej ako výlučnej právomoci) </w:t>
      </w:r>
    </w:p>
    <w:p>
      <w:pPr>
        <w:pBdr>
          <w:top w:val="nil"/>
          <w:left w:val="nil"/>
          <w:bottom w:val="nil"/>
          <w:right w:val="nil"/>
          <w:between w:val="nil"/>
          <w:bar w:val="nil"/>
        </w:pBdr>
        <w:spacing w:before="0" w:after="240"/>
        <w:rPr>
          <w:noProof/>
        </w:rPr>
      </w:pPr>
      <w:r>
        <w:rPr>
          <w:noProof/>
        </w:rPr>
        <w:t xml:space="preserve">Návrh je v súlade so zásadou subsidiarity. </w:t>
      </w:r>
    </w:p>
    <w:p>
      <w:pPr>
        <w:pStyle w:val="ManualHeading2"/>
        <w:rPr>
          <w:rFonts w:eastAsia="Arial Unicode MS"/>
          <w:noProof/>
          <w:u w:color="000000"/>
          <w:bdr w:val="nil"/>
        </w:rPr>
      </w:pPr>
      <w:r>
        <w:rPr>
          <w:noProof/>
        </w:rPr>
        <w:lastRenderedPageBreak/>
        <w:t>•</w:t>
      </w:r>
      <w:r>
        <w:rPr>
          <w:noProof/>
        </w:rPr>
        <w:tab/>
        <w:t>Proporcionalita</w:t>
      </w:r>
    </w:p>
    <w:p>
      <w:pPr>
        <w:rPr>
          <w:noProof/>
        </w:rPr>
      </w:pPr>
      <w:r>
        <w:rPr>
          <w:noProof/>
        </w:rPr>
        <w:t>Návrh je primeraný. Zahŕňa potrebné technické úpravy po prijatí rozpočtu na rok 2019, ktorým sa zvyšujú zdroje na osobitné pridelené prostriedky na iniciatívu na podporu zamestnanosti mladých ľudí. Okrem toho sa v ňom na žiadosť rozpočtového orgánu s cieľom uľahčiť programovanie a zabezpečiť bezproblémové vykonávanie zvýšených zdrojov zavádza pre členské štáty možnosť presunúť časť dodatočných zdrojov tak, aby predstavovali zodpovedajúcu podporu z ESF.</w:t>
      </w:r>
    </w:p>
    <w:p>
      <w:pPr>
        <w:pStyle w:val="ManualHeading2"/>
        <w:rPr>
          <w:rFonts w:eastAsia="Arial Unicode MS"/>
          <w:noProof/>
          <w:u w:color="000000"/>
          <w:bdr w:val="nil"/>
        </w:rPr>
      </w:pPr>
      <w:r>
        <w:rPr>
          <w:noProof/>
        </w:rPr>
        <w:t>•</w:t>
      </w:r>
      <w:r>
        <w:rPr>
          <w:noProof/>
        </w:rPr>
        <w:tab/>
        <w:t>Výber nástroja</w:t>
      </w:r>
    </w:p>
    <w:p>
      <w:pPr>
        <w:pBdr>
          <w:top w:val="nil"/>
          <w:left w:val="nil"/>
          <w:bottom w:val="nil"/>
          <w:right w:val="nil"/>
          <w:between w:val="nil"/>
          <w:bar w:val="nil"/>
        </w:pBdr>
        <w:spacing w:before="0" w:after="240"/>
        <w:rPr>
          <w:noProof/>
        </w:rPr>
      </w:pPr>
      <w:r>
        <w:rPr>
          <w:noProof/>
        </w:rPr>
        <w:t>Navrhovaný nástroj: zmena platného nariadenia.</w:t>
      </w:r>
    </w:p>
    <w:p>
      <w:pPr>
        <w:pBdr>
          <w:top w:val="nil"/>
          <w:left w:val="nil"/>
          <w:bottom w:val="nil"/>
          <w:right w:val="nil"/>
          <w:between w:val="nil"/>
          <w:bar w:val="nil"/>
        </w:pBdr>
        <w:spacing w:before="0" w:after="240"/>
        <w:rPr>
          <w:rFonts w:eastAsia="Arial Unicode MS"/>
          <w:noProof/>
        </w:rPr>
      </w:pPr>
      <w:r>
        <w:rPr>
          <w:noProof/>
        </w:rPr>
        <w:t>Komisia preskúmala priestor na manévrovanie poskytnutý právnym rámcom a považuje za potrebné navrhnúť zmeny nariadenia (EÚ) č. 1303/2013.</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rPr>
        <w:t>•</w:t>
      </w:r>
      <w:r>
        <w:rPr>
          <w:noProof/>
        </w:rPr>
        <w:tab/>
        <w:t xml:space="preserve">Hodnotenia </w:t>
      </w:r>
      <w:r>
        <w:rPr>
          <w:i/>
          <w:noProof/>
        </w:rPr>
        <w:t>ex post</w:t>
      </w:r>
      <w:r>
        <w:rPr>
          <w:noProof/>
        </w:rPr>
        <w:t>/kontroly vhodnosti existujúcich právnych predpisov</w:t>
      </w:r>
    </w:p>
    <w:p>
      <w:pPr>
        <w:pBdr>
          <w:top w:val="nil"/>
          <w:left w:val="nil"/>
          <w:bottom w:val="nil"/>
          <w:right w:val="nil"/>
          <w:between w:val="nil"/>
          <w:bar w:val="nil"/>
        </w:pBdr>
        <w:spacing w:before="0" w:after="240"/>
        <w:rPr>
          <w:rFonts w:eastAsia="Arial Unicode MS"/>
          <w:noProof/>
        </w:rPr>
      </w:pPr>
      <w:r>
        <w:rPr>
          <w:noProof/>
        </w:rPr>
        <w:t xml:space="preserve">Vzhľadom na osobitné okolnosti sprevádzajúce tento návrh sa neuskutočnili žiadne hodnotenia </w:t>
      </w:r>
      <w:r>
        <w:rPr>
          <w:i/>
          <w:noProof/>
        </w:rPr>
        <w:t>ex post</w:t>
      </w:r>
      <w:r>
        <w:rPr>
          <w:noProof/>
        </w:rPr>
        <w:t>/alebo kontroly vhodnosti existujúcich právnych predpisov.</w:t>
      </w:r>
    </w:p>
    <w:p>
      <w:pPr>
        <w:pStyle w:val="ManualHeading2"/>
        <w:rPr>
          <w:rFonts w:eastAsia="Arial Unicode MS"/>
          <w:noProof/>
          <w:u w:color="000000"/>
          <w:bdr w:val="nil"/>
        </w:rPr>
      </w:pPr>
      <w:r>
        <w:rPr>
          <w:noProof/>
        </w:rPr>
        <w:t>•</w:t>
      </w:r>
      <w:r>
        <w:rPr>
          <w:noProof/>
        </w:rPr>
        <w:tab/>
        <w:t>Konzultácie so zainteresovanými stranami</w:t>
      </w:r>
    </w:p>
    <w:p>
      <w:pPr>
        <w:pBdr>
          <w:top w:val="nil"/>
          <w:left w:val="nil"/>
          <w:bottom w:val="nil"/>
          <w:right w:val="nil"/>
          <w:between w:val="nil"/>
          <w:bar w:val="nil"/>
        </w:pBdr>
        <w:spacing w:before="0" w:after="240"/>
        <w:rPr>
          <w:rFonts w:eastAsia="Arial Unicode MS"/>
          <w:noProof/>
        </w:rPr>
      </w:pPr>
      <w:r>
        <w:rPr>
          <w:noProof/>
        </w:rPr>
        <w:t>Vzhľadom na osobitné okolnosti sprevádzajúce tento návrh sa neuskutočnili žiadne konzultácie s externými zainteresovanými stranami.</w:t>
      </w:r>
    </w:p>
    <w:p>
      <w:pPr>
        <w:pStyle w:val="ManualHeading2"/>
        <w:rPr>
          <w:rFonts w:eastAsia="Arial Unicode MS"/>
          <w:noProof/>
          <w:u w:color="000000"/>
          <w:bdr w:val="nil"/>
        </w:rPr>
      </w:pPr>
      <w:r>
        <w:rPr>
          <w:noProof/>
        </w:rPr>
        <w:t>•</w:t>
      </w:r>
      <w:r>
        <w:rPr>
          <w:noProof/>
        </w:rPr>
        <w:tab/>
        <w:t>Získavanie a využívanie expertízy</w:t>
      </w:r>
    </w:p>
    <w:p>
      <w:pPr>
        <w:pBdr>
          <w:top w:val="nil"/>
          <w:left w:val="nil"/>
          <w:bottom w:val="nil"/>
          <w:right w:val="nil"/>
          <w:between w:val="nil"/>
          <w:bar w:val="nil"/>
        </w:pBdr>
        <w:spacing w:before="0" w:after="240"/>
        <w:rPr>
          <w:rFonts w:eastAsia="Arial Unicode MS"/>
          <w:noProof/>
        </w:rPr>
      </w:pPr>
      <w:r>
        <w:rPr>
          <w:noProof/>
        </w:rPr>
        <w:t>Využitie externej expertízy nebolo potrebné.</w:t>
      </w:r>
    </w:p>
    <w:p>
      <w:pPr>
        <w:pStyle w:val="ManualHeading2"/>
        <w:rPr>
          <w:rFonts w:eastAsia="Arial Unicode MS"/>
          <w:noProof/>
          <w:u w:color="000000"/>
          <w:bdr w:val="nil"/>
        </w:rPr>
      </w:pPr>
      <w:r>
        <w:rPr>
          <w:noProof/>
        </w:rPr>
        <w:t>•</w:t>
      </w:r>
      <w:r>
        <w:rPr>
          <w:noProof/>
        </w:rPr>
        <w:tab/>
        <w:t>Posúdenie vplyvu</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rPr>
          <w:rFonts w:eastAsia="Arial Unicode MS"/>
          <w:noProof/>
          <w:u w:color="000000"/>
          <w:bdr w:val="nil"/>
        </w:rPr>
      </w:pPr>
      <w:r>
        <w:rPr>
          <w:noProof/>
        </w:rPr>
        <w:t>•</w:t>
      </w:r>
      <w:r>
        <w:rPr>
          <w:noProof/>
        </w:rPr>
        <w:tab/>
        <w:t>Vhodnosť právnych predpisov a ich zjednodušenie</w:t>
      </w:r>
    </w:p>
    <w:p>
      <w:pPr>
        <w:pBdr>
          <w:top w:val="nil"/>
          <w:left w:val="nil"/>
          <w:bottom w:val="nil"/>
          <w:right w:val="nil"/>
          <w:between w:val="nil"/>
          <w:bar w:val="nil"/>
        </w:pBdr>
        <w:spacing w:before="0" w:after="240"/>
        <w:rPr>
          <w:noProof/>
        </w:rPr>
      </w:pPr>
      <w:r>
        <w:rPr>
          <w:noProof/>
        </w:rPr>
        <w:t>Nejde o iniciatívu v rámci Programu regulačnej vhodnosti a efektívnosti (REFIT)</w:t>
      </w:r>
    </w:p>
    <w:p>
      <w:pPr>
        <w:pStyle w:val="ManualHeading2"/>
        <w:rPr>
          <w:rFonts w:eastAsia="Arial Unicode MS"/>
          <w:noProof/>
          <w:u w:color="000000"/>
          <w:bdr w:val="nil"/>
        </w:rPr>
      </w:pPr>
      <w:r>
        <w:rPr>
          <w:noProof/>
        </w:rPr>
        <w:t>•</w:t>
      </w:r>
      <w:r>
        <w:rPr>
          <w:noProof/>
        </w:rPr>
        <w:tab/>
        <w:t>Základné práva</w:t>
      </w:r>
    </w:p>
    <w:p>
      <w:pPr>
        <w:pBdr>
          <w:top w:val="nil"/>
          <w:left w:val="nil"/>
          <w:bottom w:val="nil"/>
          <w:right w:val="nil"/>
          <w:between w:val="nil"/>
          <w:bar w:val="nil"/>
        </w:pBdr>
        <w:spacing w:before="0" w:after="240"/>
        <w:rPr>
          <w:rFonts w:eastAsia="Arial Unicode MS"/>
          <w:noProof/>
        </w:rPr>
      </w:pPr>
      <w:r>
        <w:rPr>
          <w:noProof/>
        </w:rPr>
        <w:t>Návrh nemá žiadne dôsledky na ochranu základných práv.</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noProof/>
        </w:rPr>
      </w:pPr>
      <w:r>
        <w:rPr>
          <w:noProof/>
        </w:rPr>
        <w:t xml:space="preserve">Viazané rozpočtové prostriedky na rok 2019 z osobitných pridelených prostriedkov na iniciatívu na podporu zamestnanosti mladých ľudí by sa mali zvýšiť o 116,7 milióna EUR na sumu 350 miliónov EUR v bežných cenách. </w:t>
      </w:r>
    </w:p>
    <w:p>
      <w:pPr>
        <w:pBdr>
          <w:top w:val="nil"/>
          <w:left w:val="nil"/>
          <w:bottom w:val="nil"/>
          <w:right w:val="nil"/>
          <w:between w:val="nil"/>
          <w:bar w:val="nil"/>
        </w:pBdr>
        <w:spacing w:before="0" w:after="240"/>
        <w:rPr>
          <w:noProof/>
        </w:rPr>
      </w:pPr>
      <w:r>
        <w:rPr>
          <w:noProof/>
        </w:rPr>
        <w:t xml:space="preserve">Navrhovaná zmena by nemala viesť k potrebe dodatočných platobných rozpočtových prostriedkov v roku 2019. V roku 2020 by mal byť vplyv na rozpočet obmedzený len na dodatočné platobné rozpočtové prostriedky na pokrytie ročného predbežného financovania vzhľadom na zvýšené zdroje na iniciatívu na podporu zamestnanosti mladých ľudí. </w:t>
      </w:r>
    </w:p>
    <w:p>
      <w:pPr>
        <w:pStyle w:val="ManualHeading1"/>
        <w:rPr>
          <w:noProof/>
        </w:rPr>
      </w:pPr>
      <w:r>
        <w:rPr>
          <w:noProof/>
        </w:rPr>
        <w:lastRenderedPageBreak/>
        <w:t>5.</w:t>
      </w:r>
      <w:r>
        <w:rPr>
          <w:noProof/>
        </w:rPr>
        <w:tab/>
        <w:t>INÉ PRVKY</w:t>
      </w:r>
    </w:p>
    <w:p>
      <w:pPr>
        <w:pStyle w:val="ManualHeading2"/>
        <w:rPr>
          <w:rFonts w:eastAsia="Arial Unicode MS"/>
          <w:noProof/>
          <w:u w:color="000000"/>
          <w:bdr w:val="nil"/>
        </w:rPr>
      </w:pPr>
      <w:r>
        <w:rPr>
          <w:noProof/>
        </w:rPr>
        <w:t>•</w:t>
      </w:r>
      <w:r>
        <w:rPr>
          <w:noProof/>
        </w:rPr>
        <w:tab/>
        <w:t>Plány vykonávania, spôsob monitorovania, hodnotenia a predkladania správ</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rPr>
          <w:rFonts w:eastAsia="Arial Unicode MS"/>
          <w:noProof/>
          <w:u w:color="000000"/>
          <w:bdr w:val="nil"/>
        </w:rPr>
      </w:pPr>
      <w:r>
        <w:rPr>
          <w:noProof/>
        </w:rPr>
        <w:t>•</w:t>
      </w:r>
      <w:r>
        <w:rPr>
          <w:noProof/>
        </w:rPr>
        <w:tab/>
        <w:t>Vysvetľujúce dokumenty (v prípade smerníc)</w:t>
      </w:r>
    </w:p>
    <w:p>
      <w:pPr>
        <w:pBdr>
          <w:top w:val="nil"/>
          <w:left w:val="nil"/>
          <w:bottom w:val="nil"/>
          <w:right w:val="nil"/>
          <w:between w:val="nil"/>
          <w:bar w:val="nil"/>
        </w:pBdr>
        <w:spacing w:before="0" w:after="240"/>
        <w:rPr>
          <w:noProof/>
        </w:rPr>
      </w:pPr>
      <w:r>
        <w:rPr>
          <w:noProof/>
        </w:rPr>
        <w:t>Neuplatňuje sa.</w:t>
      </w:r>
    </w:p>
    <w:p>
      <w:pPr>
        <w:pStyle w:val="ManualHeading2"/>
        <w:rPr>
          <w:rFonts w:eastAsia="Arial Unicode MS"/>
          <w:noProof/>
          <w:u w:color="000000"/>
          <w:bdr w:val="nil"/>
        </w:rPr>
      </w:pPr>
      <w:r>
        <w:rPr>
          <w:noProof/>
        </w:rPr>
        <w:t>•</w:t>
      </w:r>
      <w:r>
        <w:rPr>
          <w:noProof/>
        </w:rPr>
        <w:tab/>
        <w:t>Podrobné vysvetlenie konkrétnych ustanovení návrhu</w:t>
      </w:r>
    </w:p>
    <w:p>
      <w:pPr>
        <w:pBdr>
          <w:top w:val="nil"/>
          <w:left w:val="nil"/>
          <w:bottom w:val="nil"/>
          <w:right w:val="nil"/>
          <w:between w:val="nil"/>
          <w:bar w:val="nil"/>
        </w:pBdr>
        <w:spacing w:before="0" w:after="240"/>
        <w:rPr>
          <w:noProof/>
        </w:rPr>
      </w:pPr>
      <w:r>
        <w:rPr>
          <w:noProof/>
        </w:rPr>
        <w:t xml:space="preserve">Cieľom návrhu je upraviť výšku dostupných zdrojov na hospodársku, sociálnu a územnú súdržnosť a na iniciatívu na podporu zamestnanosti mladých ľudí, ako sa stanovuje v článku 91 ods. 1 a článku 92 ods. 5 nariadenia (EÚ) č. 1303/2013, a ročné rozdelenie viazaných rozpočtových prostriedkov uvedené v prílohe VI s cieľom zohľadniť zvýšenie zdrojov na osobitné pridelené prostriedky na iniciatívu na podporu zamestnanosti mladých ľudí. Konkrétnejšie, v súlade s rozpočtom prijatým na rok 2019 by sa viazané rozpočtové prostriedky určené na osobitné pridelené prostriedky na iniciatívu na podporu zamestnanosti mladých ľudí mali zvýšiť o sumu vo výške 116,7 milióna EUR v bežných cenách, čím bude celková suma na rok 2019 dosahovať 350 miliónov EUR v bežných cenách. </w:t>
      </w:r>
    </w:p>
    <w:p>
      <w:pPr>
        <w:pBdr>
          <w:top w:val="nil"/>
          <w:left w:val="nil"/>
          <w:bottom w:val="nil"/>
          <w:right w:val="nil"/>
          <w:between w:val="nil"/>
          <w:bar w:val="nil"/>
        </w:pBdr>
        <w:spacing w:before="0" w:after="240"/>
        <w:rPr>
          <w:noProof/>
        </w:rPr>
      </w:pPr>
      <w:r>
        <w:rPr>
          <w:noProof/>
        </w:rPr>
        <w:t>V návrhu sa zavádzajú aj ustanovenia na uľahčenie programovania dodatočných zdrojov členskými štátmi. Vzhľadom na pokročilé štádium vykonávania operačných programov na roky 2014 – 2020 a na zákonnú požiadavku, že podpora z ESF je taká vysoká ako osobitné pridelené prostriedky na iniciatívu na podporu zamestnanosti mladých ľudí, treba zabrániť možnému zníženiu podpory z ESF na iné oblasti politiky a na opatrenia mimo iniciatívy na podporu zamestnanosti mladých ľudí. Návrhom sa preto v článku 92 ods. 5 zavádza druhý pododsek, ktorý členským štátom umožňuje presunúť až 50 % dodatočných zdrojov na osobitné pridelené prostriedky na iniciatívu na podporu zamestnanosti mladých ľudí do ESF, ktoré tak môžu predstavovať zodpovedajúce cielené investície z ESF, ako sa vyžaduje v článku 22 nariadenia (EÚ) č. 1304/2013</w:t>
      </w:r>
      <w:r>
        <w:rPr>
          <w:rStyle w:val="FootnoteReference"/>
          <w:noProof/>
        </w:rPr>
        <w:footnoteReference w:id="2"/>
      </w:r>
      <w:r>
        <w:rPr>
          <w:noProof/>
        </w:rPr>
        <w:t xml:space="preserve">. </w:t>
      </w:r>
    </w:p>
    <w:p>
      <w:pPr>
        <w:pBdr>
          <w:top w:val="nil"/>
          <w:left w:val="nil"/>
          <w:bottom w:val="nil"/>
          <w:right w:val="nil"/>
          <w:between w:val="nil"/>
          <w:bar w:val="nil"/>
        </w:pBdr>
        <w:spacing w:before="0" w:after="240"/>
        <w:rPr>
          <w:rFonts w:eastAsia="Arial Unicode MS"/>
          <w:noProof/>
        </w:rPr>
        <w:sectPr>
          <w:footerReference w:type="default" r:id="rId16"/>
          <w:footerReference w:type="first" r:id="rId17"/>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2019/0027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ktorým sa mení nariadenie (EÚ) č. 1303/2013, pokiaľ ide o zdroje na osobitné pridelené prostriedky na iniciatívu na podporu zamestnanosti mladých ľudí</w:t>
      </w:r>
    </w:p>
    <w:p>
      <w:pPr>
        <w:pStyle w:val="Institutionquiagit"/>
        <w:rPr>
          <w:noProof/>
          <w:szCs w:val="24"/>
        </w:rPr>
      </w:pPr>
      <w:r>
        <w:rPr>
          <w:noProof/>
        </w:rPr>
        <w:t>EURÓPSKY PARLAMENT A RADA EURÓPSKEJ ÚNIE,</w:t>
      </w:r>
    </w:p>
    <w:p>
      <w:pPr>
        <w:rPr>
          <w:noProof/>
          <w:szCs w:val="24"/>
        </w:rPr>
      </w:pPr>
      <w:r>
        <w:rPr>
          <w:noProof/>
        </w:rPr>
        <w:t xml:space="preserve">so zreteľom na Zmluvu o fungovaní Európskej únie, a najmä na jej článok 177, </w:t>
      </w:r>
    </w:p>
    <w:p>
      <w:pPr>
        <w:rPr>
          <w:noProof/>
          <w:szCs w:val="24"/>
        </w:rPr>
      </w:pPr>
      <w:r>
        <w:rPr>
          <w:noProof/>
        </w:rPr>
        <w:t>so zreteľom na návrh Európskej komisie,</w:t>
      </w:r>
    </w:p>
    <w:p>
      <w:pPr>
        <w:rPr>
          <w:noProof/>
          <w:szCs w:val="24"/>
        </w:rPr>
      </w:pPr>
      <w:r>
        <w:rPr>
          <w:noProof/>
        </w:rPr>
        <w:t>po postúpení návrhu legislatívneho aktu národným parlamentom,</w:t>
      </w:r>
    </w:p>
    <w:p>
      <w:pPr>
        <w:rPr>
          <w:noProof/>
          <w:szCs w:val="24"/>
        </w:rPr>
      </w:pPr>
      <w:r>
        <w:rPr>
          <w:noProof/>
        </w:rPr>
        <w:t>so zreteľom na stanovisko Európskeho hospodárskeho a sociálneho výboru</w:t>
      </w:r>
      <w:r>
        <w:rPr>
          <w:rStyle w:val="FootnoteReference"/>
          <w:noProof/>
        </w:rPr>
        <w:footnoteReference w:id="3"/>
      </w:r>
      <w:r>
        <w:rPr>
          <w:noProof/>
        </w:rPr>
        <w:t>,</w:t>
      </w:r>
    </w:p>
    <w:p>
      <w:pPr>
        <w:rPr>
          <w:noProof/>
          <w:szCs w:val="24"/>
        </w:rPr>
      </w:pPr>
      <w:r>
        <w:rPr>
          <w:noProof/>
        </w:rPr>
        <w:t>so zreteľom na stanovisko Výboru regiónov</w:t>
      </w:r>
      <w:r>
        <w:rPr>
          <w:rStyle w:val="FootnoteReference"/>
          <w:noProof/>
        </w:rPr>
        <w:footnoteReference w:id="4"/>
      </w:r>
      <w:r>
        <w:rPr>
          <w:noProof/>
        </w:rPr>
        <w:t xml:space="preserve">, </w:t>
      </w:r>
    </w:p>
    <w:p>
      <w:pPr>
        <w:rPr>
          <w:noProof/>
          <w:szCs w:val="24"/>
        </w:rPr>
      </w:pPr>
      <w:r>
        <w:rPr>
          <w:noProof/>
        </w:rPr>
        <w:t>konajúc v súlade s riadnym legislatívnym postupom,</w:t>
      </w:r>
    </w:p>
    <w:p>
      <w:pPr>
        <w:rPr>
          <w:noProof/>
          <w:szCs w:val="24"/>
        </w:rPr>
      </w:pPr>
      <w:r>
        <w:rPr>
          <w:noProof/>
        </w:rPr>
        <w:t>keďže:</w:t>
      </w:r>
    </w:p>
    <w:p>
      <w:pPr>
        <w:pStyle w:val="ManualConsidrant"/>
        <w:rPr>
          <w:noProof/>
          <w:szCs w:val="24"/>
        </w:rPr>
      </w:pPr>
      <w:r>
        <w:t>(1)</w:t>
      </w:r>
      <w:r>
        <w:tab/>
      </w:r>
      <w:r>
        <w:rPr>
          <w:noProof/>
        </w:rPr>
        <w:t>V nariadení Európskeho parlamentu a Rady (EÚ) č. 1303/2013</w:t>
      </w:r>
      <w:r>
        <w:rPr>
          <w:rStyle w:val="FootnoteReference"/>
          <w:noProof/>
        </w:rPr>
        <w:footnoteReference w:id="5"/>
      </w:r>
      <w:r>
        <w:rPr>
          <w:noProof/>
        </w:rPr>
        <w:t xml:space="preserve"> sa stanovujú spoločné a všeobecné pravidlá uplatniteľné na európske štrukturálne a investičné fondy. </w:t>
      </w:r>
    </w:p>
    <w:p>
      <w:pPr>
        <w:pStyle w:val="ManualConsidrant"/>
        <w:rPr>
          <w:noProof/>
          <w:szCs w:val="24"/>
        </w:rPr>
      </w:pPr>
      <w:r>
        <w:t>(2)</w:t>
      </w:r>
      <w:r>
        <w:tab/>
      </w:r>
      <w:r>
        <w:rPr>
          <w:noProof/>
        </w:rPr>
        <w:t>V rámci všeobecného rozpočtu Únie na rozpočtový rok 2019</w:t>
      </w:r>
      <w:r>
        <w:rPr>
          <w:rStyle w:val="FootnoteReference"/>
          <w:noProof/>
        </w:rPr>
        <w:footnoteReference w:id="6"/>
      </w:r>
      <w:r>
        <w:rPr>
          <w:noProof/>
        </w:rPr>
        <w:t xml:space="preserve"> sa zmenila celková výška zdrojov na iniciatívu na podporu zamestnanosti mladých ľudí („YEI“), a to zvýšením viazaných rozpočtových prostriedkov na osobitné pridelené prostriedky na iniciatívu na podporu zamestnanosti mladých ľudí v roku 2019 o 116,7 milióna EUR v bežných cenách, a teda zvýšením celkovej sumy viazaných rozpočtových prostriedkov na osobitné pridelené prostriedky na iniciatívu na podporu zamestnanosti mladých ľudí na celé programové obdobie na 4 527 882 072 EUR v bežných cenách. </w:t>
      </w:r>
    </w:p>
    <w:p>
      <w:pPr>
        <w:pStyle w:val="ManualConsidrant"/>
        <w:rPr>
          <w:noProof/>
          <w:szCs w:val="24"/>
        </w:rPr>
      </w:pPr>
      <w:r>
        <w:t>(3)</w:t>
      </w:r>
      <w:r>
        <w:tab/>
      </w:r>
      <w:r>
        <w:rPr>
          <w:noProof/>
        </w:rPr>
        <w:t>V roku 2019 sú dodatočné zdroje vo výške 99 573 877 EUR v cenách z roku 2011 financované z celkovej rezervy na záväzky v rámci rezervy viacročného finančného rámca na roky 2014 – 2020.</w:t>
      </w:r>
    </w:p>
    <w:p>
      <w:pPr>
        <w:pStyle w:val="ManualConsidrant"/>
        <w:rPr>
          <w:noProof/>
          <w:szCs w:val="24"/>
        </w:rPr>
      </w:pPr>
      <w:r>
        <w:t>(4)</w:t>
      </w:r>
      <w:r>
        <w:tab/>
      </w:r>
      <w:r>
        <w:rPr>
          <w:noProof/>
        </w:rPr>
        <w:t>Je vhodné stanoviť osobitné opatrenia na uľahčenie vykonávania iniciatívy na podporu zamestnanosti mladých ľudí, a to vzhľadom na pokročilé štádium vykonávania operačných programov na programové obdobie 2014 – 2020.</w:t>
      </w:r>
    </w:p>
    <w:p>
      <w:pPr>
        <w:pStyle w:val="ManualConsidrant"/>
        <w:rPr>
          <w:noProof/>
        </w:rPr>
      </w:pPr>
      <w:r>
        <w:t>(5)</w:t>
      </w:r>
      <w:r>
        <w:tab/>
      </w:r>
      <w:r>
        <w:rPr>
          <w:noProof/>
        </w:rPr>
        <w:t xml:space="preserve">Keďže je naliehavo potrebné zmeniť programy, ktoré podporujú iniciatívu na podporu zamestnanosti mladých ľudí, s cieľom zohľadniť dodatočné zdroje na osobitné </w:t>
      </w:r>
      <w:r>
        <w:rPr>
          <w:noProof/>
        </w:rPr>
        <w:lastRenderedPageBreak/>
        <w:t xml:space="preserve">pridelené prostriedky na iniciatívu na podporu zamestnanosti mladých ľudí do konca roka 2019, toto nariadenie by malo nadobudnúť účinnosť dňom nasledujúcim po jeho uverejnení v </w:t>
      </w:r>
      <w:r>
        <w:rPr>
          <w:i/>
          <w:noProof/>
        </w:rPr>
        <w:t>Úradnom vestníku Európskej únie</w:t>
      </w:r>
      <w:r>
        <w:rPr>
          <w:noProof/>
        </w:rPr>
        <w:t>.</w:t>
      </w:r>
    </w:p>
    <w:p>
      <w:pPr>
        <w:pStyle w:val="ManualConsidrant"/>
        <w:rPr>
          <w:noProof/>
        </w:rPr>
      </w:pPr>
      <w:r>
        <w:t>(6)</w:t>
      </w:r>
      <w:r>
        <w:tab/>
      </w:r>
      <w:r>
        <w:rPr>
          <w:noProof/>
        </w:rPr>
        <w:t>Nariadenie (EÚ) č. 1303/2013 by sa preto malo zodpovedajúcim spôsobom zmeniť,</w:t>
      </w:r>
    </w:p>
    <w:p>
      <w:pPr>
        <w:pStyle w:val="Formuledadoption"/>
        <w:rPr>
          <w:noProof/>
        </w:rPr>
      </w:pPr>
      <w:r>
        <w:rPr>
          <w:noProof/>
        </w:rPr>
        <w:t>PRIJALI TOTO NARIADENIE:</w:t>
      </w:r>
    </w:p>
    <w:p>
      <w:pPr>
        <w:pStyle w:val="Titrearticle"/>
        <w:rPr>
          <w:noProof/>
        </w:rPr>
      </w:pPr>
      <w:r>
        <w:rPr>
          <w:noProof/>
        </w:rPr>
        <w:t>Článok 1</w:t>
      </w:r>
    </w:p>
    <w:p>
      <w:pPr>
        <w:rPr>
          <w:noProof/>
        </w:rPr>
      </w:pPr>
      <w:r>
        <w:rPr>
          <w:noProof/>
        </w:rPr>
        <w:t>Nariadenie (EÚ) č. 1303/2013 sa mení takto:</w:t>
      </w:r>
    </w:p>
    <w:p>
      <w:pPr>
        <w:pStyle w:val="Point0"/>
        <w:rPr>
          <w:noProof/>
        </w:rPr>
      </w:pPr>
      <w:r>
        <w:rPr>
          <w:noProof/>
        </w:rPr>
        <w:t>1.</w:t>
      </w:r>
      <w:r>
        <w:rPr>
          <w:noProof/>
        </w:rPr>
        <w:tab/>
        <w:t>V článku 91 sa odsek 1 nahrádza takto:</w:t>
      </w:r>
    </w:p>
    <w:p>
      <w:pPr>
        <w:pStyle w:val="Text1"/>
        <w:rPr>
          <w:noProof/>
        </w:rPr>
      </w:pPr>
      <w:r>
        <w:rPr>
          <w:noProof/>
        </w:rPr>
        <w:t>„1. Zdroje na hospodársku, sociálnu a územnú súdržnosť, ktoré sú k dispozícii pre rozpočtový záväzok na obdobie rokov 2014 – 2020, predstavujú 330 081 919 243 EUR v cenách z roku 2011 v súlade s ročným rozdelením stanoveným v prílohe VI, z čoho 325 938 694 233 EUR prestavuje celkové zdroje pridelené EFRR, ESF a Kohéznemu fondu a 4 143 225 010 EUR predstavuje osobitné pridelené prostriedky na iniciatívu na podporu zamestnanosti mladých ľudí. Na účely programovania a následného zahrnutia do rozpočtu Únie sa výška zdrojov na hospodársku, sociálnu a územnú súdržnosť zaznamenáva s 2 % ročnou sadzbou.“</w:t>
      </w:r>
    </w:p>
    <w:p>
      <w:pPr>
        <w:pStyle w:val="Point0"/>
        <w:rPr>
          <w:noProof/>
        </w:rPr>
      </w:pPr>
      <w:r>
        <w:rPr>
          <w:noProof/>
        </w:rPr>
        <w:t>2.</w:t>
      </w:r>
      <w:r>
        <w:rPr>
          <w:noProof/>
        </w:rPr>
        <w:tab/>
        <w:t>V článku 92 sa odsek 5 nahrádza takto:</w:t>
      </w:r>
    </w:p>
    <w:p>
      <w:pPr>
        <w:pStyle w:val="Text1"/>
        <w:rPr>
          <w:noProof/>
        </w:rPr>
      </w:pPr>
      <w:r>
        <w:rPr>
          <w:noProof/>
        </w:rPr>
        <w:t xml:space="preserve">„5. Zdroje na iniciatívu na podporu zamestnanosti mladých ľudí tvoria 4 143 225 010 EUR z osobitných pridelených prostriedkov na iniciatívu na podporu zamestnanosti mladých ľudí, z ktorých 99 573 877 EUR predstavuje dodatočné zdroje na rok 2019. Dopĺňajú ich cielené investície z ESF v súlade s článkom 22 nariadenia (EÚ) č. 1304/2013. </w:t>
      </w:r>
    </w:p>
    <w:p>
      <w:pPr>
        <w:pStyle w:val="Text1"/>
        <w:rPr>
          <w:noProof/>
        </w:rPr>
      </w:pPr>
      <w:r>
        <w:rPr>
          <w:noProof/>
        </w:rPr>
        <w:t>Členské štáty, ktoré využívajú dodatočné zdroje na osobitné pridelené prostriedky na iniciatívu na podporu zamestnanosti mladých ľudí na rok 2019, ako sa uvádza v prvom pododseku, môžu požiadať o presun až 50 % dodatočných zdrojov na osobitné pridelené prostriedky na iniciatívu na podporu zamestnanosti mladých ľudí do ESF, aby tak predstavovali zodpovedajúce cielené investície z ESF, ako sa vyžaduje v článku 22 nariadenia (EÚ) č. 1304/2013. Takýto presun sa vykoná do príslušných kategórií regiónov zodpovedajúcich kategorizácii regiónov oprávnených na zvýšenie osobitných pridelených prostriedkov na iniciatívu na podporu zamestnanosti mladých ľudí. Členské štáty požiadajú o presun v rámci žiadosti o zmenu programu v súlade s článkom 30 ods. 1 tohto nariadenia. Zdroje pridelené na minulé roky sa nesmú presunúť.</w:t>
      </w:r>
    </w:p>
    <w:p>
      <w:pPr>
        <w:pStyle w:val="Text1"/>
        <w:rPr>
          <w:noProof/>
        </w:rPr>
      </w:pPr>
      <w:r>
        <w:rPr>
          <w:noProof/>
        </w:rPr>
        <w:t>Druhý pododsek sa vzťahuje na akékoľvek dodatočné zdroje na osobitné pridelené prostriedky na iniciatívu na podporu zamestnanosti mladých ľudí, ktorými sa zdroje zvyšujú na sumu prevyšujúcu 4 043 651 133 EUR.“</w:t>
      </w:r>
    </w:p>
    <w:p>
      <w:pPr>
        <w:pStyle w:val="Point0"/>
        <w:rPr>
          <w:noProof/>
        </w:rPr>
      </w:pPr>
      <w:r>
        <w:rPr>
          <w:noProof/>
        </w:rPr>
        <w:t>3.</w:t>
      </w:r>
      <w:r>
        <w:rPr>
          <w:noProof/>
        </w:rPr>
        <w:tab/>
        <w:t>Príloha VI sa nahrádza textom uvedeným v prílohe k tomuto nariadeniu.</w:t>
      </w:r>
    </w:p>
    <w:p>
      <w:pPr>
        <w:pStyle w:val="Titrearticle"/>
        <w:rPr>
          <w:noProof/>
        </w:rPr>
      </w:pPr>
      <w:r>
        <w:rPr>
          <w:noProof/>
        </w:rPr>
        <w:t>Článok 2</w:t>
      </w:r>
    </w:p>
    <w:p>
      <w:pPr>
        <w:rPr>
          <w:noProof/>
        </w:rPr>
      </w:pPr>
      <w:r>
        <w:rPr>
          <w:noProof/>
        </w:rPr>
        <w:t xml:space="preserve">Toto nariadenie nadobúda účinnosť dňom nasledujúcim po jeho uverejnení v </w:t>
      </w:r>
      <w:r>
        <w:rPr>
          <w:i/>
          <w:noProof/>
        </w:rPr>
        <w:t>Úradnom vestníku Európskej únie</w:t>
      </w:r>
      <w:r>
        <w:rPr>
          <w:noProof/>
        </w:rPr>
        <w:t>.</w:t>
      </w:r>
    </w:p>
    <w:p>
      <w:pPr>
        <w:pStyle w:val="Applicationdirecte"/>
        <w:rPr>
          <w:noProof/>
        </w:rPr>
      </w:pPr>
      <w:r>
        <w:rPr>
          <w:noProof/>
        </w:rPr>
        <w:lastRenderedPageBreak/>
        <w:t>Toto nariadenie je záväzné v celom rozsahu a priamo uplatniteľné vo všetkých členských štátoch.</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p>
      <w:pPr>
        <w:pStyle w:val="Fichefinanciretitre"/>
        <w:rPr>
          <w:noProof/>
        </w:rPr>
      </w:pPr>
      <w:r>
        <w:rPr>
          <w:noProof/>
        </w:rPr>
        <w:br w:type="page"/>
      </w:r>
      <w:r>
        <w:rPr>
          <w:noProof/>
        </w:rPr>
        <w:lastRenderedPageBreak/>
        <w:t xml:space="preserve">LEGISLATÍVNY FINANČNÝ VÝKAZ </w:t>
      </w:r>
    </w:p>
    <w:p>
      <w:pPr>
        <w:pStyle w:val="ManualHeading1"/>
        <w:rPr>
          <w:noProof/>
        </w:rPr>
      </w:pPr>
      <w:r>
        <w:rPr>
          <w:noProof/>
        </w:rPr>
        <w:t>1.</w:t>
      </w:r>
      <w:r>
        <w:rPr>
          <w:noProof/>
        </w:rPr>
        <w:tab/>
        <w:t xml:space="preserve">RÁMEC NÁVRHU/INICIATÍVY </w:t>
      </w:r>
    </w:p>
    <w:p>
      <w:pPr>
        <w:pStyle w:val="ManualHeading2"/>
        <w:rPr>
          <w:b w:val="0"/>
          <w:noProof/>
        </w:rPr>
      </w:pPr>
      <w:r>
        <w:rPr>
          <w:noProof/>
        </w:rPr>
        <w:tab/>
      </w:r>
      <w:r>
        <w:rPr>
          <w:b w:val="0"/>
          <w:noProof/>
        </w:rPr>
        <w:t>1.1.</w:t>
      </w:r>
      <w:r>
        <w:rPr>
          <w:noProof/>
        </w:rPr>
        <w:tab/>
      </w:r>
      <w:r>
        <w:rPr>
          <w:b w:val="0"/>
          <w:noProof/>
        </w:rPr>
        <w:t xml:space="preserve">Názov návrhu/iniciatívy </w:t>
      </w:r>
    </w:p>
    <w:p>
      <w:pPr>
        <w:pStyle w:val="ManualHeading2"/>
        <w:rPr>
          <w:b w:val="0"/>
          <w:noProof/>
        </w:rPr>
      </w:pPr>
      <w:r>
        <w:rPr>
          <w:noProof/>
        </w:rPr>
        <w:tab/>
      </w:r>
      <w:r>
        <w:rPr>
          <w:b w:val="0"/>
          <w:noProof/>
        </w:rPr>
        <w:t>1.2.</w:t>
      </w:r>
      <w:r>
        <w:rPr>
          <w:noProof/>
        </w:rPr>
        <w:tab/>
      </w:r>
      <w:r>
        <w:rPr>
          <w:b w:val="0"/>
          <w:noProof/>
        </w:rPr>
        <w:t>Príslušné oblasti politiky v rámci ABM/ABB</w:t>
      </w:r>
    </w:p>
    <w:p>
      <w:pPr>
        <w:pStyle w:val="ManualHeading2"/>
        <w:rPr>
          <w:b w:val="0"/>
          <w:noProof/>
        </w:rPr>
      </w:pPr>
      <w:r>
        <w:rPr>
          <w:noProof/>
        </w:rPr>
        <w:tab/>
      </w:r>
      <w:r>
        <w:rPr>
          <w:b w:val="0"/>
          <w:noProof/>
        </w:rPr>
        <w:t>1.3.</w:t>
      </w:r>
      <w:r>
        <w:rPr>
          <w:noProof/>
        </w:rPr>
        <w:tab/>
      </w:r>
      <w:r>
        <w:rPr>
          <w:b w:val="0"/>
          <w:noProof/>
        </w:rPr>
        <w:t xml:space="preserve">Druh návrhu/iniciatívy </w:t>
      </w:r>
    </w:p>
    <w:p>
      <w:pPr>
        <w:pStyle w:val="ManualHeading2"/>
        <w:rPr>
          <w:b w:val="0"/>
          <w:noProof/>
        </w:rPr>
      </w:pPr>
      <w:r>
        <w:rPr>
          <w:noProof/>
        </w:rPr>
        <w:tab/>
      </w:r>
      <w:r>
        <w:rPr>
          <w:b w:val="0"/>
          <w:noProof/>
        </w:rPr>
        <w:t>1.4.</w:t>
      </w:r>
      <w:r>
        <w:rPr>
          <w:noProof/>
        </w:rPr>
        <w:tab/>
      </w:r>
      <w:r>
        <w:rPr>
          <w:b w:val="0"/>
          <w:noProof/>
        </w:rPr>
        <w:t xml:space="preserve">Ciele </w:t>
      </w:r>
    </w:p>
    <w:p>
      <w:pPr>
        <w:pStyle w:val="ManualHeading2"/>
        <w:rPr>
          <w:b w:val="0"/>
          <w:noProof/>
        </w:rPr>
      </w:pPr>
      <w:r>
        <w:rPr>
          <w:noProof/>
        </w:rPr>
        <w:tab/>
      </w:r>
      <w:r>
        <w:rPr>
          <w:b w:val="0"/>
          <w:noProof/>
        </w:rPr>
        <w:t>1.5.</w:t>
      </w:r>
      <w:r>
        <w:rPr>
          <w:noProof/>
        </w:rPr>
        <w:tab/>
      </w:r>
      <w:r>
        <w:rPr>
          <w:b w:val="0"/>
          <w:noProof/>
        </w:rPr>
        <w:t xml:space="preserve">Dôvody návrhu/iniciatívy </w:t>
      </w:r>
    </w:p>
    <w:p>
      <w:pPr>
        <w:pStyle w:val="ManualHeading2"/>
        <w:rPr>
          <w:b w:val="0"/>
          <w:noProof/>
        </w:rPr>
      </w:pPr>
      <w:r>
        <w:rPr>
          <w:noProof/>
        </w:rPr>
        <w:tab/>
      </w:r>
      <w:r>
        <w:rPr>
          <w:b w:val="0"/>
          <w:noProof/>
        </w:rPr>
        <w:t>1.6.</w:t>
      </w:r>
      <w:r>
        <w:rPr>
          <w:noProof/>
        </w:rPr>
        <w:tab/>
      </w:r>
      <w:r>
        <w:rPr>
          <w:b w:val="0"/>
          <w:noProof/>
        </w:rPr>
        <w:t xml:space="preserve">Trvanie a finančný vplyv </w:t>
      </w:r>
    </w:p>
    <w:p>
      <w:pPr>
        <w:pStyle w:val="ManualHeading2"/>
        <w:rPr>
          <w:b w:val="0"/>
          <w:noProof/>
        </w:rPr>
      </w:pPr>
      <w:r>
        <w:rPr>
          <w:noProof/>
        </w:rPr>
        <w:tab/>
      </w:r>
      <w:r>
        <w:rPr>
          <w:b w:val="0"/>
          <w:noProof/>
        </w:rPr>
        <w:t>1.7.</w:t>
      </w:r>
      <w:r>
        <w:rPr>
          <w:noProof/>
        </w:rPr>
        <w:tab/>
      </w:r>
      <w:r>
        <w:rPr>
          <w:b w:val="0"/>
          <w:noProof/>
        </w:rPr>
        <w:t xml:space="preserve">Plánovaný spôsob riadenia </w:t>
      </w:r>
    </w:p>
    <w:p>
      <w:pPr>
        <w:pStyle w:val="ManualHeading1"/>
        <w:rPr>
          <w:noProof/>
        </w:rPr>
      </w:pPr>
      <w:r>
        <w:rPr>
          <w:noProof/>
        </w:rPr>
        <w:t>2.</w:t>
      </w:r>
      <w:r>
        <w:rPr>
          <w:noProof/>
        </w:rPr>
        <w:tab/>
        <w:t xml:space="preserve">OPATRENIA V OBLASTI RIADENIA </w:t>
      </w:r>
    </w:p>
    <w:p>
      <w:pPr>
        <w:pStyle w:val="ManualHeading2"/>
        <w:rPr>
          <w:b w:val="0"/>
          <w:noProof/>
        </w:rPr>
      </w:pPr>
      <w:r>
        <w:rPr>
          <w:noProof/>
        </w:rPr>
        <w:tab/>
      </w:r>
      <w:r>
        <w:rPr>
          <w:b w:val="0"/>
          <w:noProof/>
        </w:rPr>
        <w:t>2.1.</w:t>
      </w:r>
      <w:r>
        <w:rPr>
          <w:noProof/>
        </w:rPr>
        <w:tab/>
      </w:r>
      <w:r>
        <w:rPr>
          <w:b w:val="0"/>
          <w:noProof/>
        </w:rPr>
        <w:t xml:space="preserve">Opatrenia týkajúce sa monitorovania a predkladania správ </w:t>
      </w:r>
    </w:p>
    <w:p>
      <w:pPr>
        <w:pStyle w:val="ManualHeading2"/>
        <w:rPr>
          <w:b w:val="0"/>
          <w:noProof/>
        </w:rPr>
      </w:pPr>
      <w:r>
        <w:rPr>
          <w:noProof/>
        </w:rPr>
        <w:tab/>
      </w:r>
      <w:r>
        <w:rPr>
          <w:b w:val="0"/>
          <w:noProof/>
        </w:rPr>
        <w:t>2.2.</w:t>
      </w:r>
      <w:r>
        <w:rPr>
          <w:noProof/>
        </w:rPr>
        <w:tab/>
      </w:r>
      <w:r>
        <w:rPr>
          <w:b w:val="0"/>
          <w:noProof/>
        </w:rPr>
        <w:t xml:space="preserve">Systémy riadenia a kontroly </w:t>
      </w:r>
    </w:p>
    <w:p>
      <w:pPr>
        <w:pStyle w:val="ManualHeading2"/>
        <w:rPr>
          <w:b w:val="0"/>
          <w:noProof/>
        </w:rPr>
      </w:pPr>
      <w:r>
        <w:rPr>
          <w:noProof/>
        </w:rPr>
        <w:tab/>
      </w:r>
      <w:r>
        <w:rPr>
          <w:b w:val="0"/>
          <w:noProof/>
        </w:rPr>
        <w:t>2.3.</w:t>
      </w:r>
      <w:r>
        <w:rPr>
          <w:noProof/>
        </w:rPr>
        <w:tab/>
      </w:r>
      <w:r>
        <w:rPr>
          <w:b w:val="0"/>
          <w:noProof/>
        </w:rPr>
        <w:t xml:space="preserve">Opatrenia na predchádzanie podvodom a nezrovnalostiam </w:t>
      </w:r>
    </w:p>
    <w:p>
      <w:pPr>
        <w:pStyle w:val="ManualHeading1"/>
        <w:rPr>
          <w:noProof/>
        </w:rPr>
      </w:pPr>
      <w:r>
        <w:rPr>
          <w:noProof/>
        </w:rPr>
        <w:t>3.</w:t>
      </w:r>
      <w:r>
        <w:rPr>
          <w:noProof/>
        </w:rPr>
        <w:tab/>
        <w:t xml:space="preserve">ODHADOVANÝ FINANČNÝ VPLYV NÁVRHU/INICIATÍVY </w:t>
      </w:r>
    </w:p>
    <w:p>
      <w:pPr>
        <w:pStyle w:val="ManualHeading2"/>
        <w:rPr>
          <w:b w:val="0"/>
          <w:noProof/>
        </w:rPr>
      </w:pPr>
      <w:r>
        <w:rPr>
          <w:noProof/>
        </w:rPr>
        <w:tab/>
      </w:r>
      <w:r>
        <w:rPr>
          <w:b w:val="0"/>
          <w:noProof/>
        </w:rPr>
        <w:t>3.1.</w:t>
      </w:r>
      <w:r>
        <w:rPr>
          <w:noProof/>
        </w:rPr>
        <w:tab/>
      </w:r>
      <w:r>
        <w:rPr>
          <w:b w:val="0"/>
          <w:noProof/>
        </w:rPr>
        <w:t xml:space="preserve">Príslušné okruhy viacročného finančného rámca a rozpočtové riadky výdavkov </w:t>
      </w:r>
    </w:p>
    <w:p>
      <w:pPr>
        <w:pStyle w:val="ManualHeading2"/>
        <w:rPr>
          <w:noProof/>
        </w:rPr>
      </w:pPr>
      <w:r>
        <w:rPr>
          <w:noProof/>
        </w:rPr>
        <w:tab/>
      </w:r>
      <w:r>
        <w:rPr>
          <w:b w:val="0"/>
          <w:noProof/>
        </w:rPr>
        <w:t>3.2.</w:t>
      </w:r>
      <w:r>
        <w:rPr>
          <w:noProof/>
        </w:rPr>
        <w:tab/>
      </w:r>
      <w:r>
        <w:rPr>
          <w:b w:val="0"/>
          <w:noProof/>
        </w:rPr>
        <w:t>Odhadovaný vplyv na výdavky</w:t>
      </w:r>
      <w:r>
        <w:rPr>
          <w:noProof/>
        </w:rPr>
        <w:t xml:space="preserve"> </w:t>
      </w:r>
    </w:p>
    <w:p>
      <w:pPr>
        <w:pStyle w:val="ManualHeading3"/>
        <w:rPr>
          <w:noProof/>
        </w:rPr>
      </w:pPr>
      <w:r>
        <w:rPr>
          <w:noProof/>
        </w:rPr>
        <w:tab/>
        <w:t>3.2.1.</w:t>
      </w:r>
      <w:r>
        <w:rPr>
          <w:noProof/>
        </w:rPr>
        <w:tab/>
        <w:t xml:space="preserve">Zhrnutie odhadovaného vplyvu na výdavky </w:t>
      </w:r>
    </w:p>
    <w:p>
      <w:pPr>
        <w:pStyle w:val="ManualHeading3"/>
        <w:rPr>
          <w:noProof/>
        </w:rPr>
      </w:pPr>
      <w:r>
        <w:rPr>
          <w:noProof/>
        </w:rPr>
        <w:tab/>
        <w:t>3.2.2.</w:t>
      </w:r>
      <w:r>
        <w:rPr>
          <w:noProof/>
        </w:rPr>
        <w:tab/>
        <w:t xml:space="preserve">Odhadovaný vplyv na operačné rozpočtové prostriedky </w:t>
      </w:r>
    </w:p>
    <w:p>
      <w:pPr>
        <w:pStyle w:val="ManualHeading3"/>
        <w:rPr>
          <w:noProof/>
        </w:rPr>
      </w:pPr>
      <w:r>
        <w:rPr>
          <w:noProof/>
        </w:rPr>
        <w:tab/>
        <w:t>3.2.3.</w:t>
      </w:r>
      <w:r>
        <w:rPr>
          <w:noProof/>
        </w:rPr>
        <w:tab/>
        <w:t>Odhadovaný vplyv na administratívne rozpočtové prostriedky</w:t>
      </w:r>
    </w:p>
    <w:p>
      <w:pPr>
        <w:pStyle w:val="ManualHeading3"/>
        <w:rPr>
          <w:noProof/>
        </w:rPr>
      </w:pPr>
      <w:r>
        <w:rPr>
          <w:noProof/>
        </w:rPr>
        <w:tab/>
        <w:t>3.2.4.</w:t>
      </w:r>
      <w:r>
        <w:rPr>
          <w:noProof/>
        </w:rPr>
        <w:tab/>
        <w:t>Súlad s platným viacročným finančným rámcom</w:t>
      </w:r>
    </w:p>
    <w:p>
      <w:pPr>
        <w:pStyle w:val="ManualHeading3"/>
        <w:rPr>
          <w:noProof/>
        </w:rPr>
      </w:pPr>
      <w:r>
        <w:rPr>
          <w:noProof/>
        </w:rPr>
        <w:tab/>
        <w:t>3.2.5.</w:t>
      </w:r>
      <w:r>
        <w:rPr>
          <w:noProof/>
        </w:rPr>
        <w:tab/>
        <w:t xml:space="preserve">Príspevky od tretích strán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vplyv na príjmy</w:t>
      </w:r>
    </w:p>
    <w:p>
      <w:pPr>
        <w:jc w:val="center"/>
        <w:rPr>
          <w:b/>
          <w:noProof/>
          <w:u w:val="single"/>
        </w:rPr>
      </w:pPr>
      <w:r>
        <w:rPr>
          <w:b/>
          <w:noProof/>
          <w:u w:val="single"/>
        </w:rPr>
        <w:t>LEGISLATÍVNY FINANČNÝ VÝKAZ</w:t>
      </w:r>
    </w:p>
    <w:p>
      <w:pPr>
        <w:pStyle w:val="ManualHeading1"/>
        <w:rPr>
          <w:noProof/>
        </w:rPr>
      </w:pPr>
      <w:r>
        <w:rPr>
          <w:noProof/>
        </w:rPr>
        <w:t>1.</w:t>
      </w:r>
      <w:r>
        <w:rPr>
          <w:noProof/>
        </w:rPr>
        <w:tab/>
        <w:t xml:space="preserve">RÁMEC NÁVRHU/INICIATÍVY </w:t>
      </w:r>
    </w:p>
    <w:p>
      <w:pPr>
        <w:pStyle w:val="ManualHeading2"/>
        <w:rPr>
          <w:noProof/>
        </w:rPr>
      </w:pPr>
      <w:r>
        <w:rPr>
          <w:noProof/>
        </w:rPr>
        <w:t>1.1.</w:t>
      </w:r>
      <w:r>
        <w:rPr>
          <w:noProof/>
        </w:rPr>
        <w:tab/>
        <w:t xml:space="preserve">Názov návrhu/iniciatívy </w:t>
      </w:r>
    </w:p>
    <w:p>
      <w:pPr>
        <w:pStyle w:val="Text1"/>
        <w:pBdr>
          <w:top w:val="single" w:sz="4" w:space="1" w:color="auto"/>
          <w:left w:val="single" w:sz="4" w:space="4" w:color="auto"/>
          <w:bottom w:val="single" w:sz="4" w:space="1" w:color="auto"/>
          <w:right w:val="single" w:sz="4" w:space="4" w:color="auto"/>
        </w:pBdr>
        <w:rPr>
          <w:noProof/>
        </w:rPr>
      </w:pPr>
      <w:r>
        <w:rPr>
          <w:noProof/>
        </w:rPr>
        <w:t>Návrh nariadenia Európskeho parlamentu a Rady, ktorým sa mení nariadenie (EÚ) č. 1303/2013, pokiaľ ide o zdroje na osobitné pridelené prostriedky na iniciatívu na podporu zamestnanosti mladých ľudí</w:t>
      </w:r>
    </w:p>
    <w:p>
      <w:pPr>
        <w:pStyle w:val="ManualHeading2"/>
        <w:rPr>
          <w:noProof/>
          <w:szCs w:val="24"/>
        </w:rPr>
      </w:pPr>
      <w:r>
        <w:rPr>
          <w:noProof/>
        </w:rPr>
        <w:t>1.2.</w:t>
      </w:r>
      <w:r>
        <w:rPr>
          <w:noProof/>
        </w:rPr>
        <w:tab/>
        <w:t>Príslušné oblasti politiky v rámci ABM/ABB</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sz w:val="22"/>
        </w:rPr>
      </w:pPr>
      <w:r>
        <w:rPr>
          <w:noProof/>
          <w:sz w:val="22"/>
        </w:rPr>
        <w:t>4 Zamestnanosť, sociálne záležitosti a začlenenie</w:t>
      </w:r>
    </w:p>
    <w:p>
      <w:pPr>
        <w:pStyle w:val="Text1"/>
        <w:pBdr>
          <w:top w:val="single" w:sz="4" w:space="1" w:color="auto"/>
          <w:left w:val="single" w:sz="4" w:space="4" w:color="auto"/>
          <w:bottom w:val="single" w:sz="4" w:space="1" w:color="auto"/>
          <w:right w:val="single" w:sz="4" w:space="4" w:color="auto"/>
        </w:pBdr>
        <w:rPr>
          <w:noProof/>
          <w:sz w:val="22"/>
        </w:rPr>
      </w:pPr>
      <w:r>
        <w:rPr>
          <w:noProof/>
          <w:sz w:val="22"/>
        </w:rPr>
        <w:t>04 02 64 – Iniciatíva na podporu zamestnanosti mladých ľudí (YEI)</w:t>
      </w:r>
    </w:p>
    <w:p>
      <w:pPr>
        <w:pStyle w:val="ManualHeading2"/>
        <w:rPr>
          <w:bCs/>
          <w:noProof/>
          <w:szCs w:val="24"/>
        </w:rPr>
      </w:pPr>
      <w:r>
        <w:rPr>
          <w:noProof/>
        </w:rPr>
        <w:t>1.3.</w:t>
      </w:r>
      <w:r>
        <w:rPr>
          <w:noProof/>
        </w:rPr>
        <w:tab/>
        <w:t xml:space="preserve">Druh návrhu/iniciatívy </w:t>
      </w:r>
    </w:p>
    <w:p>
      <w:pPr>
        <w:pStyle w:val="Text1"/>
        <w:rPr>
          <w:b/>
          <w:noProof/>
          <w:sz w:val="22"/>
        </w:rPr>
      </w:pPr>
      <w:r>
        <w:rPr>
          <w:noProof/>
          <w:sz w:val="22"/>
        </w:rPr>
        <w:sym w:font="Wingdings" w:char="F0A8"/>
      </w:r>
      <w:r>
        <w:rPr>
          <w:b/>
          <w:i/>
          <w:noProof/>
          <w:sz w:val="22"/>
        </w:rPr>
        <w:t xml:space="preserve"> </w:t>
      </w:r>
      <w:r>
        <w:rPr>
          <w:noProof/>
        </w:rPr>
        <w:t xml:space="preserve">Návrh/iniciatíva sa týka </w:t>
      </w:r>
      <w:r>
        <w:rPr>
          <w:b/>
          <w:noProof/>
        </w:rPr>
        <w:t>novej akcie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novej akcie, ktorá nadväzuje na pilotný projekt/prípravnú akciu</w:t>
      </w:r>
      <w:r>
        <w:rPr>
          <w:rStyle w:val="FootnoteReference"/>
          <w:b/>
          <w:noProof/>
        </w:rPr>
        <w:footnoteReference w:id="8"/>
      </w:r>
      <w:r>
        <w:rPr>
          <w:noProof/>
          <w:sz w:val="22"/>
        </w:rPr>
        <w:t xml:space="preserve"> </w:t>
      </w:r>
    </w:p>
    <w:p>
      <w:pPr>
        <w:pStyle w:val="Text1"/>
        <w:rPr>
          <w:noProof/>
          <w:sz w:val="22"/>
        </w:rPr>
      </w:pPr>
      <w:r>
        <w:rPr>
          <w:noProof/>
          <w:sz w:val="22"/>
        </w:rPr>
        <w:sym w:font="Wingdings" w:char="F078"/>
      </w:r>
      <w:r>
        <w:rPr>
          <w:i/>
          <w:noProof/>
          <w:sz w:val="22"/>
        </w:rPr>
        <w:t xml:space="preserve"> </w:t>
      </w:r>
      <w:r>
        <w:rPr>
          <w:noProof/>
        </w:rPr>
        <w:t xml:space="preserve">Návrh/iniciatíva sa týka </w:t>
      </w:r>
      <w:r>
        <w:rPr>
          <w:b/>
          <w:noProof/>
        </w:rPr>
        <w:t>predĺženia trvania existujúcej akcie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Návrh/iniciatíva sa týka </w:t>
      </w:r>
      <w:r>
        <w:rPr>
          <w:b/>
          <w:noProof/>
        </w:rPr>
        <w:t>akcie presmerovanej na novú akciu</w:t>
      </w:r>
      <w:r>
        <w:rPr>
          <w:noProof/>
        </w:rPr>
        <w:t xml:space="preserve"> </w:t>
      </w:r>
    </w:p>
    <w:p>
      <w:pPr>
        <w:pStyle w:val="ManualHeading2"/>
        <w:rPr>
          <w:bCs/>
          <w:noProof/>
          <w:szCs w:val="24"/>
        </w:rPr>
      </w:pPr>
      <w:r>
        <w:rPr>
          <w:noProof/>
        </w:rPr>
        <w:t>1.4.</w:t>
      </w:r>
      <w:r>
        <w:rPr>
          <w:noProof/>
        </w:rPr>
        <w:tab/>
        <w:t>Ciele</w:t>
      </w:r>
    </w:p>
    <w:p>
      <w:pPr>
        <w:pStyle w:val="ManualHeading3"/>
        <w:rPr>
          <w:noProof/>
        </w:rPr>
      </w:pPr>
      <w:r>
        <w:rPr>
          <w:noProof/>
        </w:rPr>
        <w:t>1.4.1.</w:t>
      </w:r>
      <w:r>
        <w:rPr>
          <w:noProof/>
        </w:rPr>
        <w:tab/>
        <w:t xml:space="preserve">Viacročné strategické ciele Komisie, ktoré sú predmetom návrhu/iniciatívy </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bCs/>
          <w:noProof/>
          <w:szCs w:val="24"/>
        </w:rPr>
      </w:pPr>
      <w:r>
        <w:rPr>
          <w:noProof/>
        </w:rPr>
        <w:t>1.4.2.</w:t>
      </w:r>
      <w:r>
        <w:rPr>
          <w:noProof/>
        </w:rPr>
        <w:tab/>
        <w:t xml:space="preserve">Špecifické ciele a príslušné činnosti v rámci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Špecifický cieľ č.</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Príslušné činnosti v rámci ABM/ABB</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bCs/>
          <w:noProof/>
          <w:szCs w:val="24"/>
        </w:rPr>
      </w:pPr>
      <w:r>
        <w:rPr>
          <w:noProof/>
        </w:rPr>
        <w:t>1.4.3.</w:t>
      </w:r>
      <w:r>
        <w:rPr>
          <w:noProof/>
        </w:rPr>
        <w:tab/>
        <w:t>Očakávané výsledky a vplyv</w:t>
      </w:r>
    </w:p>
    <w:p>
      <w:pPr>
        <w:pStyle w:val="Text1"/>
        <w:rPr>
          <w:i/>
          <w:noProof/>
          <w:sz w:val="20"/>
        </w:rPr>
      </w:pPr>
      <w:r>
        <w:rPr>
          <w:i/>
          <w:noProof/>
          <w:sz w:val="20"/>
        </w:rPr>
        <w:t>Uveďte, aký vplyv by mal mať návrh/iniciatíva na prijímateľov/cieľové skupiny.</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bCs/>
          <w:noProof/>
          <w:szCs w:val="24"/>
        </w:rPr>
      </w:pPr>
      <w:r>
        <w:rPr>
          <w:noProof/>
        </w:rPr>
        <w:t>1.4.4.</w:t>
      </w:r>
      <w:r>
        <w:rPr>
          <w:noProof/>
        </w:rPr>
        <w:tab/>
        <w:t xml:space="preserve">Ukazovatele výsledkov a vplyvu </w:t>
      </w:r>
    </w:p>
    <w:p>
      <w:pPr>
        <w:pStyle w:val="Text1"/>
        <w:rPr>
          <w:i/>
          <w:noProof/>
          <w:sz w:val="20"/>
        </w:rPr>
      </w:pPr>
      <w:r>
        <w:rPr>
          <w:i/>
          <w:noProof/>
          <w:sz w:val="20"/>
        </w:rPr>
        <w:t>Uveďte ukazovatele, pomocou ktorých je možné sledovať uskutočňovanie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2"/>
        <w:rPr>
          <w:bCs/>
          <w:noProof/>
          <w:szCs w:val="24"/>
        </w:rPr>
      </w:pPr>
      <w:r>
        <w:rPr>
          <w:noProof/>
        </w:rPr>
        <w:t>1.5.</w:t>
      </w:r>
      <w:r>
        <w:rPr>
          <w:noProof/>
        </w:rPr>
        <w:tab/>
        <w:t xml:space="preserve">Dôvody návrhu/iniciatívy </w:t>
      </w:r>
    </w:p>
    <w:p>
      <w:pPr>
        <w:pStyle w:val="ManualHeading3"/>
        <w:rPr>
          <w:noProof/>
        </w:rPr>
      </w:pPr>
      <w:r>
        <w:rPr>
          <w:noProof/>
        </w:rPr>
        <w:t>1.5.1.</w:t>
      </w:r>
      <w:r>
        <w:rPr>
          <w:noProof/>
        </w:rPr>
        <w:tab/>
        <w:t xml:space="preserve">Potreby, ktoré sa majú uspokojiť v krátkodobom alebo dlhodobom horizonte </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bCs/>
          <w:noProof/>
          <w:szCs w:val="24"/>
        </w:rPr>
      </w:pPr>
      <w:r>
        <w:rPr>
          <w:noProof/>
        </w:rPr>
        <w:t>1.5.2.</w:t>
      </w:r>
      <w:r>
        <w:rPr>
          <w:noProof/>
        </w:rPr>
        <w:tab/>
        <w:t>Prínos zapojenia Európskej únie</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bCs/>
          <w:noProof/>
          <w:szCs w:val="24"/>
        </w:rPr>
      </w:pPr>
      <w:r>
        <w:rPr>
          <w:noProof/>
        </w:rPr>
        <w:t>1.5.3.</w:t>
      </w:r>
      <w:r>
        <w:rPr>
          <w:noProof/>
        </w:rPr>
        <w:tab/>
        <w:t>Poznatky získané z podobných skúseností v minulosti</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bCs/>
          <w:noProof/>
          <w:szCs w:val="24"/>
        </w:rPr>
      </w:pPr>
      <w:r>
        <w:rPr>
          <w:noProof/>
        </w:rPr>
        <w:t>1.5.4.</w:t>
      </w:r>
      <w:r>
        <w:rPr>
          <w:noProof/>
        </w:rPr>
        <w:tab/>
        <w:t>Zlučiteľnosť a možná synergia s inými vhodnými nástrojmi</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2"/>
        <w:rPr>
          <w:bCs/>
          <w:noProof/>
          <w:szCs w:val="24"/>
        </w:rPr>
      </w:pPr>
      <w:r>
        <w:rPr>
          <w:noProof/>
        </w:rPr>
        <w:t>1.6.</w:t>
      </w:r>
      <w:r>
        <w:rPr>
          <w:noProof/>
        </w:rPr>
        <w:tab/>
        <w:t xml:space="preserve">Trvanie a finančný vplyv </w:t>
      </w:r>
    </w:p>
    <w:p>
      <w:pPr>
        <w:pStyle w:val="Text1"/>
        <w:rPr>
          <w:noProof/>
        </w:rPr>
      </w:pPr>
      <w:r>
        <w:rPr>
          <w:noProof/>
        </w:rPr>
        <w:sym w:font="Wingdings" w:char="F0A8"/>
      </w:r>
      <w:r>
        <w:rPr>
          <w:b/>
          <w:i/>
          <w:noProof/>
        </w:rPr>
        <w:t xml:space="preserve"> </w:t>
      </w:r>
      <w:r>
        <w:rPr>
          <w:noProof/>
        </w:rPr>
        <w:t xml:space="preserve">Návrh/iniciatíva s </w:t>
      </w:r>
      <w:r>
        <w:rPr>
          <w:b/>
          <w:noProof/>
        </w:rPr>
        <w:t xml:space="preserve">obmedzeným trvaním </w:t>
      </w:r>
    </w:p>
    <w:p>
      <w:pPr>
        <w:pStyle w:val="ListDash2"/>
        <w:rPr>
          <w:noProof/>
        </w:rPr>
      </w:pPr>
      <w:r>
        <w:rPr>
          <w:noProof/>
        </w:rPr>
        <w:sym w:font="Wingdings" w:char="F078"/>
      </w:r>
      <w:r>
        <w:rPr>
          <w:noProof/>
        </w:rPr>
        <w:tab/>
        <w:t>Návrh/iniciatíva je v platnosti od 1. januára 2017 do 31. decembra 2023.</w:t>
      </w:r>
    </w:p>
    <w:p>
      <w:pPr>
        <w:pStyle w:val="ListDash2"/>
        <w:rPr>
          <w:noProof/>
        </w:rPr>
      </w:pPr>
      <w:r>
        <w:rPr>
          <w:noProof/>
        </w:rPr>
        <w:sym w:font="Wingdings" w:char="F078"/>
      </w:r>
      <w:r>
        <w:rPr>
          <w:noProof/>
        </w:rPr>
        <w:tab/>
        <w:t>Finančný vplyv trvá od roku 2017 do roku 2020.</w:t>
      </w:r>
    </w:p>
    <w:p>
      <w:pPr>
        <w:pStyle w:val="Text1"/>
        <w:rPr>
          <w:noProof/>
        </w:rPr>
      </w:pPr>
      <w:r>
        <w:rPr>
          <w:noProof/>
        </w:rPr>
        <w:sym w:font="Wingdings" w:char="F0A8"/>
      </w:r>
      <w:r>
        <w:rPr>
          <w:b/>
          <w:i/>
          <w:noProof/>
        </w:rPr>
        <w:t xml:space="preserve"> </w:t>
      </w:r>
      <w:r>
        <w:rPr>
          <w:noProof/>
        </w:rPr>
        <w:t>Návrh/iniciatíva s</w:t>
      </w:r>
      <w:r>
        <w:rPr>
          <w:b/>
          <w:noProof/>
        </w:rPr>
        <w:t xml:space="preserve"> neobmedzeným trvaním</w:t>
      </w:r>
    </w:p>
    <w:p>
      <w:pPr>
        <w:pStyle w:val="ListDash1"/>
        <w:rPr>
          <w:noProof/>
        </w:rPr>
      </w:pPr>
      <w:r>
        <w:rPr>
          <w:noProof/>
        </w:rPr>
        <w:t>Počiatočná fáza implementácie bude trvať od RRRR do RRRR,</w:t>
      </w:r>
    </w:p>
    <w:p>
      <w:pPr>
        <w:pStyle w:val="ListDash1"/>
        <w:rPr>
          <w:noProof/>
        </w:rPr>
      </w:pPr>
      <w:r>
        <w:rPr>
          <w:noProof/>
        </w:rPr>
        <w:t>a potom bude implementácia pokračovať v plnom rozsahu.</w:t>
      </w:r>
    </w:p>
    <w:p>
      <w:pPr>
        <w:pStyle w:val="ManualHeading2"/>
        <w:rPr>
          <w:bCs/>
          <w:noProof/>
          <w:szCs w:val="24"/>
        </w:rPr>
      </w:pPr>
      <w:r>
        <w:rPr>
          <w:noProof/>
        </w:rPr>
        <w:t>1.7.</w:t>
      </w:r>
      <w:r>
        <w:rPr>
          <w:noProof/>
        </w:rPr>
        <w:tab/>
        <w:t>Plánovaný spôsob riadenia</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i/>
          <w:noProof/>
        </w:rPr>
        <w:t xml:space="preserve"> </w:t>
      </w:r>
      <w:r>
        <w:rPr>
          <w:b/>
          <w:noProof/>
        </w:rPr>
        <w:t>Priame riadenie</w:t>
      </w:r>
      <w:r>
        <w:rPr>
          <w:noProof/>
        </w:rPr>
        <w:t xml:space="preserve"> na úrovni Komisie</w:t>
      </w:r>
    </w:p>
    <w:p>
      <w:pPr>
        <w:pStyle w:val="ListDash2"/>
        <w:rPr>
          <w:rFonts w:cs="EUAlbertina"/>
          <w:noProof/>
        </w:rPr>
      </w:pPr>
      <w:r>
        <w:rPr>
          <w:noProof/>
        </w:rPr>
        <w:sym w:font="Wingdings" w:char="F0A8"/>
      </w:r>
      <w:r>
        <w:rPr>
          <w:noProof/>
        </w:rPr>
        <w:t xml:space="preserve"> prostredníctvom jej útvarov vrátane zamestnancov v delegáciách Únie </w:t>
      </w:r>
    </w:p>
    <w:p>
      <w:pPr>
        <w:pStyle w:val="ListDash2"/>
        <w:rPr>
          <w:noProof/>
        </w:rPr>
      </w:pPr>
      <w:r>
        <w:rPr>
          <w:noProof/>
        </w:rPr>
        <w:sym w:font="Wingdings" w:char="F0A8"/>
      </w:r>
      <w:r>
        <w:rPr>
          <w:noProof/>
        </w:rPr>
        <w:tab/>
        <w:t xml:space="preserve">prostredníctvom výkonných agentúr </w:t>
      </w:r>
    </w:p>
    <w:p>
      <w:pPr>
        <w:pStyle w:val="Text1"/>
        <w:rPr>
          <w:noProof/>
        </w:rPr>
      </w:pPr>
      <w:r>
        <w:rPr>
          <w:noProof/>
        </w:rPr>
        <w:sym w:font="Wingdings" w:char="F078"/>
      </w:r>
      <w:r>
        <w:rPr>
          <w:b/>
          <w:i/>
          <w:noProof/>
        </w:rPr>
        <w:t xml:space="preserve"> </w:t>
      </w:r>
      <w:r>
        <w:rPr>
          <w:b/>
          <w:noProof/>
        </w:rPr>
        <w:t>Zdieľané riadenie</w:t>
      </w:r>
      <w:r>
        <w:rPr>
          <w:noProof/>
        </w:rPr>
        <w:t xml:space="preserve"> s členskými štátmi </w:t>
      </w:r>
    </w:p>
    <w:p>
      <w:pPr>
        <w:pStyle w:val="Text1"/>
        <w:rPr>
          <w:noProof/>
        </w:rPr>
      </w:pPr>
      <w:r>
        <w:rPr>
          <w:noProof/>
        </w:rPr>
        <w:sym w:font="Wingdings" w:char="F0A8"/>
      </w:r>
      <w:r>
        <w:rPr>
          <w:i/>
          <w:noProof/>
        </w:rPr>
        <w:t xml:space="preserve"> </w:t>
      </w:r>
      <w:r>
        <w:rPr>
          <w:b/>
          <w:noProof/>
        </w:rPr>
        <w:t>Nepriame riadenie</w:t>
      </w:r>
      <w:r>
        <w:rPr>
          <w:noProof/>
        </w:rPr>
        <w:t xml:space="preserve"> s delegovaním úloh súvisiacich s plnením rozpočtu na:</w:t>
      </w:r>
    </w:p>
    <w:p>
      <w:pPr>
        <w:pStyle w:val="ListDash2"/>
        <w:rPr>
          <w:noProof/>
        </w:rPr>
      </w:pPr>
      <w:r>
        <w:rPr>
          <w:noProof/>
        </w:rPr>
        <w:sym w:font="Wingdings" w:char="F0A8"/>
      </w:r>
      <w:r>
        <w:rPr>
          <w:noProof/>
        </w:rPr>
        <w:t xml:space="preserve"> tretie krajiny alebo subjekty, ktoré tieto krajiny určili,</w:t>
      </w:r>
    </w:p>
    <w:p>
      <w:pPr>
        <w:pStyle w:val="ListDash2"/>
        <w:rPr>
          <w:noProof/>
        </w:rPr>
      </w:pPr>
      <w:r>
        <w:rPr>
          <w:noProof/>
        </w:rPr>
        <w:sym w:font="Wingdings" w:char="F0A8"/>
      </w:r>
      <w:r>
        <w:rPr>
          <w:noProof/>
        </w:rPr>
        <w:t xml:space="preserve"> medzinárodné organizácie a ich agentúry (uveďte),</w:t>
      </w:r>
    </w:p>
    <w:p>
      <w:pPr>
        <w:pStyle w:val="ListDash2"/>
        <w:rPr>
          <w:noProof/>
        </w:rPr>
      </w:pPr>
      <w:r>
        <w:rPr>
          <w:noProof/>
        </w:rPr>
        <w:sym w:font="Wingdings" w:char="F0A8"/>
      </w:r>
      <w:r>
        <w:rPr>
          <w:noProof/>
        </w:rPr>
        <w:t>Európsku investičnú banku (EIB) a Európsky investičný fond,</w:t>
      </w:r>
    </w:p>
    <w:p>
      <w:pPr>
        <w:pStyle w:val="ListDash2"/>
        <w:rPr>
          <w:noProof/>
        </w:rPr>
      </w:pPr>
      <w:r>
        <w:rPr>
          <w:noProof/>
        </w:rPr>
        <w:sym w:font="Wingdings" w:char="F0A8"/>
      </w:r>
      <w:r>
        <w:rPr>
          <w:noProof/>
        </w:rPr>
        <w:t xml:space="preserve"> subjekty uvedené v článkoch 208 a 209 nariadenia o rozpočtových pravidlách,</w:t>
      </w:r>
    </w:p>
    <w:p>
      <w:pPr>
        <w:pStyle w:val="ListDash2"/>
        <w:rPr>
          <w:noProof/>
        </w:rPr>
      </w:pPr>
      <w:r>
        <w:rPr>
          <w:noProof/>
        </w:rPr>
        <w:sym w:font="Wingdings" w:char="F0A8"/>
      </w:r>
      <w:r>
        <w:rPr>
          <w:noProof/>
        </w:rPr>
        <w:t xml:space="preserve"> verejnoprávne subjekty,</w:t>
      </w:r>
    </w:p>
    <w:p>
      <w:pPr>
        <w:pStyle w:val="ListDash2"/>
        <w:rPr>
          <w:noProof/>
        </w:rPr>
      </w:pPr>
      <w:r>
        <w:rPr>
          <w:noProof/>
        </w:rPr>
        <w:sym w:font="Wingdings" w:char="F0A8"/>
      </w:r>
      <w:r>
        <w:rPr>
          <w:noProof/>
        </w:rPr>
        <w:t xml:space="preserve"> súkromnoprávne subjekty poverené vykonávaním verejnej služby, pokiaľ tieto subjekty poskytujú dostatočné finančné záruky,</w:t>
      </w:r>
    </w:p>
    <w:p>
      <w:pPr>
        <w:pStyle w:val="ListDash2"/>
        <w:rPr>
          <w:noProof/>
        </w:rPr>
      </w:pPr>
      <w:r>
        <w:rPr>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pStyle w:val="ListDash2"/>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pPr>
        <w:pStyle w:val="ListDash2"/>
        <w:rPr>
          <w:i/>
          <w:noProof/>
          <w:sz w:val="18"/>
          <w:u w:val="single"/>
        </w:rPr>
      </w:pPr>
      <w:r>
        <w:rPr>
          <w:i/>
          <w:noProof/>
          <w:sz w:val="18"/>
        </w:rPr>
        <w:t>V prípade viacerých spôsobov riadenia uveďte v oddiele „Poznámky“ presnejšie vysvetlenie.</w:t>
      </w:r>
    </w:p>
    <w:p>
      <w:pPr>
        <w:rPr>
          <w:noProof/>
        </w:rPr>
      </w:pPr>
      <w:r>
        <w:rPr>
          <w:noProof/>
        </w:rPr>
        <w:t xml:space="preserve">Poznámky </w:t>
      </w:r>
    </w:p>
    <w:p>
      <w:pPr>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1"/>
        <w:rPr>
          <w:bCs/>
          <w:noProof/>
          <w:szCs w:val="24"/>
        </w:rPr>
      </w:pPr>
      <w:r>
        <w:rPr>
          <w:noProof/>
        </w:rPr>
        <w:t>2.</w:t>
      </w:r>
      <w:r>
        <w:rPr>
          <w:noProof/>
        </w:rPr>
        <w:tab/>
        <w:t xml:space="preserve">OPATRENIA V OBLASTI RIADENIA </w:t>
      </w:r>
    </w:p>
    <w:p>
      <w:pPr>
        <w:pStyle w:val="ManualHeading2"/>
        <w:rPr>
          <w:noProof/>
        </w:rPr>
      </w:pPr>
      <w:r>
        <w:rPr>
          <w:noProof/>
        </w:rPr>
        <w:t>2.1.</w:t>
      </w:r>
      <w:r>
        <w:rPr>
          <w:noProof/>
        </w:rPr>
        <w:tab/>
        <w:t xml:space="preserve">Opatrenia týkajúce sa monitorovania a predkladania správ </w:t>
      </w:r>
    </w:p>
    <w:p>
      <w:pPr>
        <w:pStyle w:val="Text1"/>
        <w:rPr>
          <w:i/>
          <w:noProof/>
          <w:sz w:val="20"/>
          <w:u w:val="single"/>
        </w:rPr>
      </w:pPr>
      <w:r>
        <w:rPr>
          <w:i/>
          <w:noProof/>
          <w:sz w:val="20"/>
        </w:rPr>
        <w:t>Uveďte časový interval a podmienky.</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2"/>
        <w:rPr>
          <w:bCs/>
          <w:noProof/>
          <w:szCs w:val="24"/>
        </w:rPr>
      </w:pPr>
      <w:r>
        <w:rPr>
          <w:noProof/>
        </w:rPr>
        <w:t>2.2.</w:t>
      </w:r>
      <w:r>
        <w:rPr>
          <w:noProof/>
        </w:rPr>
        <w:tab/>
        <w:t xml:space="preserve">Systémy riadenia a kontroly </w:t>
      </w:r>
    </w:p>
    <w:p>
      <w:pPr>
        <w:pStyle w:val="ManualHeading3"/>
        <w:rPr>
          <w:noProof/>
        </w:rPr>
      </w:pPr>
      <w:r>
        <w:rPr>
          <w:noProof/>
        </w:rPr>
        <w:t>2.2.1.</w:t>
      </w:r>
      <w:r>
        <w:rPr>
          <w:noProof/>
        </w:rPr>
        <w:tab/>
        <w:t xml:space="preserve">Zistené riziká </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bCs/>
          <w:noProof/>
          <w:szCs w:val="24"/>
        </w:rPr>
      </w:pPr>
      <w:r>
        <w:rPr>
          <w:noProof/>
        </w:rPr>
        <w:t>2.2.2.</w:t>
      </w:r>
      <w:r>
        <w:rPr>
          <w:noProof/>
        </w:rPr>
        <w:tab/>
        <w:t>Údaje o zavedenom systéme vnútornej kontroly.</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noProof/>
        </w:rPr>
      </w:pPr>
      <w:r>
        <w:rPr>
          <w:noProof/>
        </w:rPr>
        <w:t>2.2.3.</w:t>
      </w:r>
      <w:r>
        <w:rPr>
          <w:noProof/>
        </w:rPr>
        <w:tab/>
        <w:t xml:space="preserve">Odhad nákladov a prínosov kontrol a posúdenie očakávanej úrovne rizika chyby </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2"/>
        <w:rPr>
          <w:bCs/>
          <w:noProof/>
          <w:szCs w:val="24"/>
        </w:rPr>
      </w:pPr>
      <w:r>
        <w:rPr>
          <w:noProof/>
        </w:rPr>
        <w:t>2.3.</w:t>
      </w:r>
      <w:r>
        <w:rPr>
          <w:noProof/>
        </w:rPr>
        <w:tab/>
        <w:t xml:space="preserve">Opatrenia na predchádzanie podvodom a nezrovnalostiam </w:t>
      </w:r>
    </w:p>
    <w:p>
      <w:pPr>
        <w:pStyle w:val="Text1"/>
        <w:rPr>
          <w:i/>
          <w:noProof/>
          <w:sz w:val="20"/>
        </w:rPr>
      </w:pPr>
      <w:r>
        <w:rPr>
          <w:i/>
          <w:noProof/>
          <w:sz w:val="20"/>
        </w:rPr>
        <w:t>Uveďte existujúce a plánované preventívne a ochranné opatrenia.</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ODHADOVANÝ FINANČNÝ VPLYV NÁVRHU/INICIATÍVY </w:t>
      </w:r>
    </w:p>
    <w:p>
      <w:pPr>
        <w:pStyle w:val="ManualHeading2"/>
        <w:rPr>
          <w:noProof/>
        </w:rPr>
      </w:pPr>
      <w:r>
        <w:rPr>
          <w:noProof/>
        </w:rPr>
        <w:t>3.1.</w:t>
      </w:r>
      <w:r>
        <w:rPr>
          <w:noProof/>
        </w:rPr>
        <w:tab/>
        <w:t xml:space="preserve">Príslušné okruhy viacročného finančného rámca a rozpočtové riadky výdavkov </w:t>
      </w:r>
    </w:p>
    <w:p>
      <w:pPr>
        <w:pStyle w:val="ListBullet1"/>
        <w:rPr>
          <w:noProof/>
        </w:rPr>
      </w:pPr>
      <w:r>
        <w:rPr>
          <w:noProof/>
        </w:rPr>
        <w:t xml:space="preserve">Existujúce rozpočtové riadky </w:t>
      </w:r>
    </w:p>
    <w:p>
      <w:pPr>
        <w:pStyle w:val="Text1"/>
        <w:rPr>
          <w:noProof/>
        </w:rPr>
      </w:pPr>
      <w:r>
        <w:rPr>
          <w:noProof/>
          <w:u w:val="single"/>
        </w:rPr>
        <w:t>V poradí</w:t>
      </w:r>
      <w:r>
        <w:rPr>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58"/>
        <w:gridCol w:w="1082"/>
        <w:gridCol w:w="956"/>
        <w:gridCol w:w="1080"/>
        <w:gridCol w:w="956"/>
        <w:gridCol w:w="1448"/>
      </w:tblGrid>
      <w:tr>
        <w:tc>
          <w:tcPr>
            <w:tcW w:w="1080" w:type="dxa"/>
            <w:vMerge w:val="restart"/>
            <w:vAlign w:val="center"/>
          </w:tcPr>
          <w:p>
            <w:pPr>
              <w:spacing w:before="60" w:after="60"/>
              <w:jc w:val="center"/>
              <w:rPr>
                <w:noProof/>
              </w:rPr>
            </w:pPr>
            <w:r>
              <w:rPr>
                <w:noProof/>
                <w:sz w:val="18"/>
              </w:rPr>
              <w:t>Okruh viacročného finančného rámca</w:t>
            </w:r>
          </w:p>
        </w:tc>
        <w:tc>
          <w:tcPr>
            <w:tcW w:w="3958" w:type="dxa"/>
            <w:vAlign w:val="center"/>
          </w:tcPr>
          <w:p>
            <w:pPr>
              <w:spacing w:before="60" w:after="60"/>
              <w:jc w:val="center"/>
              <w:rPr>
                <w:noProof/>
              </w:rPr>
            </w:pPr>
            <w:r>
              <w:rPr>
                <w:noProof/>
                <w:sz w:val="20"/>
              </w:rPr>
              <w:t>Rozpočtový riadok</w:t>
            </w:r>
          </w:p>
        </w:tc>
        <w:tc>
          <w:tcPr>
            <w:tcW w:w="1082" w:type="dxa"/>
            <w:vAlign w:val="center"/>
          </w:tcPr>
          <w:p>
            <w:pPr>
              <w:spacing w:before="60" w:after="60"/>
              <w:jc w:val="center"/>
              <w:rPr>
                <w:noProof/>
              </w:rPr>
            </w:pPr>
            <w:r>
              <w:rPr>
                <w:noProof/>
                <w:sz w:val="18"/>
              </w:rPr>
              <w:t xml:space="preserve">Druh </w:t>
            </w:r>
            <w:r>
              <w:rPr>
                <w:noProof/>
              </w:rPr>
              <w:br/>
            </w:r>
            <w:r>
              <w:rPr>
                <w:noProof/>
                <w:sz w:val="18"/>
              </w:rPr>
              <w:t>výdavkov</w:t>
            </w:r>
          </w:p>
        </w:tc>
        <w:tc>
          <w:tcPr>
            <w:tcW w:w="4440" w:type="dxa"/>
            <w:gridSpan w:val="4"/>
            <w:vAlign w:val="center"/>
          </w:tcPr>
          <w:p>
            <w:pPr>
              <w:spacing w:before="60" w:after="60"/>
              <w:jc w:val="center"/>
              <w:rPr>
                <w:noProof/>
              </w:rPr>
            </w:pPr>
            <w:r>
              <w:rPr>
                <w:noProof/>
                <w:sz w:val="20"/>
              </w:rPr>
              <w:t xml:space="preserve">Príspevky </w:t>
            </w:r>
          </w:p>
        </w:tc>
      </w:tr>
      <w:tr>
        <w:tc>
          <w:tcPr>
            <w:tcW w:w="1080" w:type="dxa"/>
            <w:vMerge/>
            <w:vAlign w:val="center"/>
          </w:tcPr>
          <w:p>
            <w:pPr>
              <w:jc w:val="center"/>
              <w:rPr>
                <w:noProof/>
              </w:rPr>
            </w:pPr>
          </w:p>
        </w:tc>
        <w:tc>
          <w:tcPr>
            <w:tcW w:w="3958" w:type="dxa"/>
            <w:vAlign w:val="center"/>
          </w:tcPr>
          <w:p>
            <w:pPr>
              <w:rPr>
                <w:noProof/>
              </w:rPr>
            </w:pPr>
            <w:r>
              <w:rPr>
                <w:noProof/>
                <w:sz w:val="20"/>
              </w:rPr>
              <w:t xml:space="preserve">Číslo </w:t>
            </w:r>
            <w:r>
              <w:rPr>
                <w:noProof/>
              </w:rPr>
              <w:br/>
            </w:r>
            <w:r>
              <w:rPr>
                <w:noProof/>
                <w:sz w:val="20"/>
              </w:rPr>
              <w:t>[Okruh………………………...…………]</w:t>
            </w:r>
          </w:p>
        </w:tc>
        <w:tc>
          <w:tcPr>
            <w:tcW w:w="1082" w:type="dxa"/>
            <w:vAlign w:val="center"/>
          </w:tcPr>
          <w:p>
            <w:pPr>
              <w:jc w:val="center"/>
              <w:rPr>
                <w:noProof/>
              </w:rPr>
            </w:pPr>
            <w:r>
              <w:rPr>
                <w:noProof/>
                <w:sz w:val="18"/>
              </w:rPr>
              <w:t>DRP/NRP</w:t>
            </w:r>
            <w:r>
              <w:rPr>
                <w:rStyle w:val="FootnoteReference"/>
                <w:noProof/>
                <w:sz w:val="18"/>
              </w:rPr>
              <w:footnoteReference w:id="10"/>
            </w:r>
            <w:r>
              <w:rPr>
                <w:noProof/>
              </w:rPr>
              <w:t>.</w:t>
            </w:r>
          </w:p>
        </w:tc>
        <w:tc>
          <w:tcPr>
            <w:tcW w:w="956" w:type="dxa"/>
            <w:vAlign w:val="center"/>
          </w:tcPr>
          <w:p>
            <w:pPr>
              <w:jc w:val="center"/>
              <w:rPr>
                <w:noProof/>
              </w:rPr>
            </w:pPr>
            <w:r>
              <w:rPr>
                <w:noProof/>
                <w:sz w:val="18"/>
              </w:rPr>
              <w:t>krajín EZVO</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kandidátskych krajín</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rPr>
            </w:pPr>
            <w:r>
              <w:rPr>
                <w:noProof/>
                <w:sz w:val="16"/>
              </w:rPr>
              <w:t xml:space="preserve">v zmysle článku 21 ods. 2 písm. b) nariadenia o rozpočtových pravidlách </w:t>
            </w:r>
          </w:p>
        </w:tc>
      </w:tr>
      <w:tr>
        <w:tc>
          <w:tcPr>
            <w:tcW w:w="1080" w:type="dxa"/>
            <w:shd w:val="clear" w:color="auto" w:fill="auto"/>
            <w:vAlign w:val="center"/>
          </w:tcPr>
          <w:p>
            <w:pPr>
              <w:jc w:val="center"/>
              <w:rPr>
                <w:noProof/>
                <w:color w:val="0000FF"/>
                <w:sz w:val="22"/>
              </w:rPr>
            </w:pPr>
            <w:r>
              <w:rPr>
                <w:noProof/>
                <w:sz w:val="22"/>
              </w:rPr>
              <w:t>1 Inteligentný a inkluzívny rast</w:t>
            </w:r>
          </w:p>
        </w:tc>
        <w:tc>
          <w:tcPr>
            <w:tcW w:w="3958" w:type="dxa"/>
            <w:vAlign w:val="center"/>
          </w:tcPr>
          <w:p>
            <w:pPr>
              <w:spacing w:after="60"/>
              <w:rPr>
                <w:noProof/>
                <w:sz w:val="22"/>
              </w:rPr>
            </w:pPr>
            <w:r>
              <w:rPr>
                <w:noProof/>
                <w:sz w:val="22"/>
              </w:rPr>
              <w:t>04 02 60 – Európsky sociálny fond – Menej rozvinuté regióny – Cieľ Investovanie do rastu a zamestnanosti</w:t>
            </w:r>
          </w:p>
          <w:p>
            <w:pPr>
              <w:spacing w:after="60"/>
              <w:rPr>
                <w:noProof/>
                <w:sz w:val="22"/>
              </w:rPr>
            </w:pPr>
            <w:r>
              <w:rPr>
                <w:noProof/>
                <w:sz w:val="22"/>
              </w:rPr>
              <w:t>04 02 61 – Európsky sociálny fond – Prechodné regióny – Cieľ Investovanie do rastu a zamestnanosti</w:t>
            </w:r>
          </w:p>
          <w:p>
            <w:pPr>
              <w:spacing w:after="60"/>
              <w:rPr>
                <w:noProof/>
                <w:sz w:val="22"/>
              </w:rPr>
            </w:pPr>
            <w:r>
              <w:rPr>
                <w:noProof/>
                <w:sz w:val="22"/>
              </w:rPr>
              <w:t>04 02 62 – Európsky sociálny fond – Rozvinutejšie regióny – Cieľ Investovanie do rastu a zamestnanosti</w:t>
            </w:r>
          </w:p>
          <w:p>
            <w:pPr>
              <w:spacing w:after="60"/>
              <w:rPr>
                <w:noProof/>
              </w:rPr>
            </w:pPr>
            <w:r>
              <w:rPr>
                <w:noProof/>
                <w:sz w:val="22"/>
              </w:rPr>
              <w:t>04 02 64 – Iniciatíva na podporu zamestnanosti mladých ľudí (YEI)</w:t>
            </w:r>
          </w:p>
        </w:tc>
        <w:tc>
          <w:tcPr>
            <w:tcW w:w="1082" w:type="dxa"/>
            <w:vAlign w:val="center"/>
          </w:tcPr>
          <w:p>
            <w:pPr>
              <w:jc w:val="center"/>
              <w:rPr>
                <w:noProof/>
                <w:color w:val="0000FF"/>
                <w:sz w:val="22"/>
              </w:rPr>
            </w:pPr>
            <w:r>
              <w:rPr>
                <w:noProof/>
                <w:sz w:val="22"/>
              </w:rPr>
              <w:t>DRP</w:t>
            </w:r>
          </w:p>
        </w:tc>
        <w:tc>
          <w:tcPr>
            <w:tcW w:w="956" w:type="dxa"/>
            <w:vAlign w:val="center"/>
          </w:tcPr>
          <w:p>
            <w:pPr>
              <w:jc w:val="center"/>
              <w:rPr>
                <w:noProof/>
                <w:sz w:val="22"/>
              </w:rPr>
            </w:pPr>
            <w:r>
              <w:rPr>
                <w:noProof/>
                <w:sz w:val="22"/>
              </w:rPr>
              <w:t>NIE</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bl>
    <w:p>
      <w:pPr>
        <w:rPr>
          <w:noProof/>
        </w:rPr>
      </w:pPr>
    </w:p>
    <w:p>
      <w:pPr>
        <w:pStyle w:val="ListBullet1"/>
        <w:rPr>
          <w:noProof/>
        </w:rPr>
      </w:pPr>
      <w:r>
        <w:rPr>
          <w:noProof/>
        </w:rPr>
        <w:t xml:space="preserve">Požadované nové rozpočtové riadky </w:t>
      </w:r>
    </w:p>
    <w:p>
      <w:pPr>
        <w:pStyle w:val="Text1"/>
        <w:rPr>
          <w:i/>
          <w:noProof/>
          <w:sz w:val="20"/>
        </w:rPr>
      </w:pPr>
      <w:r>
        <w:rPr>
          <w:i/>
          <w:noProof/>
          <w:u w:val="single"/>
        </w:rPr>
        <w:t>V poradí</w:t>
      </w:r>
      <w:r>
        <w:rPr>
          <w:i/>
          <w:noProof/>
        </w:rPr>
        <w:t>,</w:t>
      </w:r>
      <w:r>
        <w:rPr>
          <w:noProof/>
        </w:rPr>
        <w:t xml:space="preserve"> </w:t>
      </w:r>
      <w:r>
        <w:rPr>
          <w:i/>
          <w:noProof/>
        </w:rPr>
        <w:t>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Okruh viacročného finančného rámca</w:t>
            </w:r>
          </w:p>
        </w:tc>
        <w:tc>
          <w:tcPr>
            <w:tcW w:w="3960"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sz w:val="18"/>
              </w:rPr>
              <w:t>Druh</w:t>
            </w:r>
            <w:r>
              <w:rPr>
                <w:noProof/>
              </w:rPr>
              <w:br/>
            </w:r>
            <w:r>
              <w:rPr>
                <w:noProof/>
                <w:sz w:val="18"/>
              </w:rPr>
              <w:t>výdavkov</w:t>
            </w:r>
          </w:p>
        </w:tc>
        <w:tc>
          <w:tcPr>
            <w:tcW w:w="4440" w:type="dxa"/>
            <w:gridSpan w:val="4"/>
            <w:vAlign w:val="center"/>
          </w:tcPr>
          <w:p>
            <w:pPr>
              <w:spacing w:before="60" w:after="60"/>
              <w:jc w:val="center"/>
              <w:rPr>
                <w:noProof/>
              </w:rPr>
            </w:pPr>
            <w:r>
              <w:rPr>
                <w:noProof/>
                <w:sz w:val="20"/>
              </w:rPr>
              <w:t xml:space="preserve">Príspevky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Číslo </w:t>
            </w:r>
            <w:r>
              <w:rPr>
                <w:noProof/>
              </w:rPr>
              <w:br/>
            </w:r>
            <w:r>
              <w:rPr>
                <w:noProof/>
                <w:sz w:val="20"/>
              </w:rPr>
              <w:t>[Okruh……………………………………]</w:t>
            </w:r>
          </w:p>
        </w:tc>
        <w:tc>
          <w:tcPr>
            <w:tcW w:w="1080" w:type="dxa"/>
            <w:vAlign w:val="center"/>
          </w:tcPr>
          <w:p>
            <w:pPr>
              <w:jc w:val="center"/>
              <w:rPr>
                <w:noProof/>
              </w:rPr>
            </w:pPr>
            <w:r>
              <w:rPr>
                <w:noProof/>
                <w:sz w:val="18"/>
              </w:rPr>
              <w:t>DRP/NRP</w:t>
            </w:r>
          </w:p>
        </w:tc>
        <w:tc>
          <w:tcPr>
            <w:tcW w:w="956" w:type="dxa"/>
            <w:vAlign w:val="center"/>
          </w:tcPr>
          <w:p>
            <w:pPr>
              <w:jc w:val="center"/>
              <w:rPr>
                <w:noProof/>
                <w:sz w:val="18"/>
              </w:rPr>
            </w:pPr>
            <w:r>
              <w:rPr>
                <w:noProof/>
                <w:sz w:val="18"/>
              </w:rPr>
              <w:t>krajín EZVO</w:t>
            </w:r>
          </w:p>
        </w:tc>
        <w:tc>
          <w:tcPr>
            <w:tcW w:w="1080" w:type="dxa"/>
            <w:vAlign w:val="center"/>
          </w:tcPr>
          <w:p>
            <w:pPr>
              <w:jc w:val="center"/>
              <w:rPr>
                <w:noProof/>
                <w:sz w:val="18"/>
              </w:rPr>
            </w:pPr>
            <w:r>
              <w:rPr>
                <w:noProof/>
                <w:sz w:val="18"/>
              </w:rPr>
              <w:t>kandidátskych krajín</w:t>
            </w: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rPr>
            </w:pPr>
            <w:r>
              <w:rPr>
                <w:noProof/>
                <w:sz w:val="16"/>
              </w:rPr>
              <w:t xml:space="preserve">v zmysle článku 21 ods. 2 písm. b) nariadenia o rozpočtových pravidlách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rPr>
              <w:t>ÁNO/NIE</w:t>
            </w:r>
          </w:p>
        </w:tc>
        <w:tc>
          <w:tcPr>
            <w:tcW w:w="1080" w:type="dxa"/>
            <w:vAlign w:val="center"/>
          </w:tcPr>
          <w:p>
            <w:pPr>
              <w:jc w:val="center"/>
              <w:rPr>
                <w:noProof/>
                <w:color w:val="0000FF"/>
                <w:sz w:val="18"/>
              </w:rPr>
            </w:pPr>
            <w:r>
              <w:rPr>
                <w:noProof/>
              </w:rPr>
              <w:t>ÁNO/NIE</w:t>
            </w:r>
          </w:p>
        </w:tc>
        <w:tc>
          <w:tcPr>
            <w:tcW w:w="956" w:type="dxa"/>
            <w:vAlign w:val="center"/>
          </w:tcPr>
          <w:p>
            <w:pPr>
              <w:jc w:val="center"/>
              <w:rPr>
                <w:noProof/>
                <w:color w:val="0000FF"/>
                <w:sz w:val="18"/>
              </w:rPr>
            </w:pPr>
            <w:r>
              <w:rPr>
                <w:noProof/>
              </w:rPr>
              <w:t>ÁNO/NIE</w:t>
            </w:r>
          </w:p>
        </w:tc>
        <w:tc>
          <w:tcPr>
            <w:tcW w:w="1448" w:type="dxa"/>
            <w:vAlign w:val="center"/>
          </w:tcPr>
          <w:p>
            <w:pPr>
              <w:jc w:val="center"/>
              <w:rPr>
                <w:noProof/>
              </w:rPr>
            </w:pPr>
            <w:r>
              <w:rPr>
                <w:noProof/>
              </w:rPr>
              <w:t>ÁNO/NIE</w:t>
            </w:r>
          </w:p>
        </w:tc>
      </w:tr>
    </w:tbl>
    <w:p>
      <w:pPr>
        <w:pStyle w:val="Institutionquisigne"/>
        <w:rPr>
          <w:noProof/>
        </w:rPr>
        <w:sectPr>
          <w:pgSz w:w="11907" w:h="16839"/>
          <w:pgMar w:top="1134" w:right="1417" w:bottom="1134" w:left="1417" w:header="709" w:footer="709" w:gutter="0"/>
          <w:cols w:space="708"/>
          <w:docGrid w:linePitch="360"/>
        </w:sectPr>
      </w:pPr>
    </w:p>
    <w:p>
      <w:pPr>
        <w:pStyle w:val="ManualHeading2"/>
        <w:rPr>
          <w:bCs/>
          <w:noProof/>
          <w:szCs w:val="24"/>
        </w:rPr>
      </w:pPr>
      <w:r>
        <w:rPr>
          <w:noProof/>
        </w:rPr>
        <w:t>3.2.</w:t>
      </w:r>
      <w:r>
        <w:rPr>
          <w:noProof/>
        </w:rPr>
        <w:tab/>
        <w:t xml:space="preserve">Odhadovaný vplyv na výdavky </w:t>
      </w:r>
    </w:p>
    <w:p>
      <w:pPr>
        <w:pBdr>
          <w:top w:val="nil"/>
          <w:left w:val="nil"/>
          <w:bottom w:val="nil"/>
          <w:right w:val="nil"/>
          <w:between w:val="nil"/>
          <w:bar w:val="nil"/>
        </w:pBdr>
        <w:spacing w:before="0" w:after="240"/>
        <w:rPr>
          <w:noProof/>
        </w:rPr>
      </w:pPr>
      <w:r>
        <w:rPr>
          <w:noProof/>
        </w:rPr>
        <w:t>Viazané rozpočtové prostriedky na osobitné pridelené prostriedky na iniciatívu na podporu zamestnanosti mladých ľudí na rok 2019 by sa mali zvýšiť o 116,7 milióna EUR</w:t>
      </w:r>
      <w:r>
        <w:rPr>
          <w:rStyle w:val="FootnoteReference"/>
          <w:noProof/>
        </w:rPr>
        <w:footnoteReference w:id="13"/>
      </w:r>
      <w:r>
        <w:rPr>
          <w:noProof/>
        </w:rPr>
        <w:t xml:space="preserve"> v bežných cenách. Platobné rozpočtové prostriedky sa preto zodpovedajúcim spôsobom upravili. </w:t>
      </w:r>
    </w:p>
    <w:p>
      <w:pPr>
        <w:pStyle w:val="ManualHeading3"/>
        <w:rPr>
          <w:noProof/>
        </w:rPr>
      </w:pPr>
    </w:p>
    <w:p>
      <w:pPr>
        <w:pStyle w:val="ManualHeading3"/>
        <w:rPr>
          <w:noProof/>
        </w:rPr>
      </w:pPr>
    </w:p>
    <w:p>
      <w:pPr>
        <w:pStyle w:val="ManualHeading3"/>
        <w:rPr>
          <w:noProof/>
          <w:u w:val="single"/>
        </w:rPr>
      </w:pPr>
      <w:r>
        <w:rPr>
          <w:noProof/>
        </w:rPr>
        <w:t>3.2.1.</w:t>
      </w:r>
      <w:r>
        <w:rPr>
          <w:noProof/>
        </w:rPr>
        <w:tab/>
        <w:t xml:space="preserve">Zhrnutie odhadovaného vplyvu na výdavky </w:t>
      </w:r>
    </w:p>
    <w:p>
      <w:pPr>
        <w:spacing w:before="0" w:after="200" w:line="276" w:lineRule="auto"/>
        <w:jc w:val="left"/>
        <w:rPr>
          <w:noProof/>
          <w:sz w:val="20"/>
        </w:rPr>
      </w:pPr>
      <w:r>
        <w:rPr>
          <w:noProof/>
        </w:rPr>
        <w:br w:type="page"/>
      </w:r>
    </w:p>
    <w:p>
      <w:pPr>
        <w:jc w:val="right"/>
        <w:rPr>
          <w:noProof/>
          <w:sz w:val="20"/>
        </w:rPr>
      </w:pPr>
      <w:r>
        <w:rPr>
          <w:noProof/>
          <w:sz w:val="20"/>
        </w:rPr>
        <w:t>v mil. EUR v bežných cenách (zaokrúhlené na tri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1080"/>
        <w:gridCol w:w="7817"/>
      </w:tblGrid>
      <w:tr>
        <w:trPr>
          <w:jc w:val="center"/>
        </w:trPr>
        <w:tc>
          <w:tcPr>
            <w:tcW w:w="5351" w:type="dxa"/>
            <w:shd w:val="thinDiagStripe" w:color="C0C0C0" w:fill="auto"/>
            <w:vAlign w:val="center"/>
          </w:tcPr>
          <w:p>
            <w:pPr>
              <w:spacing w:before="60" w:after="60"/>
              <w:jc w:val="center"/>
              <w:rPr>
                <w:b/>
                <w:noProof/>
              </w:rPr>
            </w:pPr>
            <w:r>
              <w:rPr>
                <w:b/>
                <w:noProof/>
              </w:rPr>
              <w:t xml:space="preserve">Okruh viacročného finančného </w:t>
            </w:r>
            <w:r>
              <w:rPr>
                <w:noProof/>
              </w:rPr>
              <w:br/>
            </w:r>
            <w:r>
              <w:rPr>
                <w:b/>
                <w:noProof/>
              </w:rPr>
              <w:t xml:space="preserve">rámca </w:t>
            </w:r>
          </w:p>
        </w:tc>
        <w:tc>
          <w:tcPr>
            <w:tcW w:w="1080" w:type="dxa"/>
            <w:vAlign w:val="center"/>
          </w:tcPr>
          <w:p>
            <w:pPr>
              <w:spacing w:before="60" w:after="60"/>
              <w:jc w:val="center"/>
              <w:rPr>
                <w:noProof/>
              </w:rPr>
            </w:pPr>
            <w:r>
              <w:rPr>
                <w:noProof/>
                <w:sz w:val="22"/>
              </w:rPr>
              <w:t>Číslo</w:t>
            </w:r>
          </w:p>
          <w:p>
            <w:pPr>
              <w:spacing w:before="60" w:after="60"/>
              <w:jc w:val="center"/>
              <w:rPr>
                <w:noProof/>
              </w:rPr>
            </w:pPr>
            <w:r>
              <w:rPr>
                <w:noProof/>
                <w:sz w:val="22"/>
              </w:rPr>
              <w:t>1b</w:t>
            </w:r>
          </w:p>
        </w:tc>
        <w:tc>
          <w:tcPr>
            <w:tcW w:w="7817" w:type="dxa"/>
            <w:vAlign w:val="center"/>
          </w:tcPr>
          <w:p>
            <w:pPr>
              <w:spacing w:before="60" w:after="60"/>
              <w:rPr>
                <w:noProof/>
              </w:rPr>
            </w:pPr>
            <w:r>
              <w:rPr>
                <w:noProof/>
              </w:rPr>
              <w:t>Inteligentný a inkluzívny rast</w:t>
            </w:r>
          </w:p>
        </w:tc>
      </w:tr>
    </w:tbl>
    <w:p>
      <w:pPr>
        <w:rPr>
          <w:noProof/>
          <w:sz w:val="16"/>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425"/>
        <w:gridCol w:w="709"/>
        <w:gridCol w:w="708"/>
        <w:gridCol w:w="709"/>
        <w:gridCol w:w="1276"/>
        <w:gridCol w:w="1276"/>
        <w:gridCol w:w="1275"/>
        <w:gridCol w:w="1276"/>
        <w:gridCol w:w="1518"/>
      </w:tblGrid>
      <w:tr>
        <w:tc>
          <w:tcPr>
            <w:tcW w:w="2203" w:type="dxa"/>
            <w:vAlign w:val="center"/>
          </w:tcPr>
          <w:p>
            <w:pPr>
              <w:jc w:val="center"/>
              <w:rPr>
                <w:noProof/>
              </w:rPr>
            </w:pPr>
            <w:r>
              <w:rPr>
                <w:noProof/>
                <w:sz w:val="22"/>
              </w:rPr>
              <w:t xml:space="preserve">GR: </w:t>
            </w:r>
            <w:r>
              <w:rPr>
                <w:noProof/>
              </w:rPr>
              <w:t xml:space="preserve">EMPL, REGIO </w:t>
            </w:r>
          </w:p>
        </w:tc>
        <w:tc>
          <w:tcPr>
            <w:tcW w:w="3119" w:type="dxa"/>
          </w:tcPr>
          <w:p>
            <w:pPr>
              <w:rPr>
                <w:noProof/>
                <w:sz w:val="20"/>
              </w:rPr>
            </w:pPr>
          </w:p>
        </w:tc>
        <w:tc>
          <w:tcPr>
            <w:tcW w:w="425" w:type="dxa"/>
          </w:tcPr>
          <w:p>
            <w:pPr>
              <w:jc w:val="center"/>
              <w:rPr>
                <w:noProof/>
                <w:sz w:val="20"/>
              </w:rPr>
            </w:pPr>
          </w:p>
        </w:tc>
        <w:tc>
          <w:tcPr>
            <w:tcW w:w="709" w:type="dxa"/>
          </w:tcPr>
          <w:p>
            <w:pPr>
              <w:rPr>
                <w:noProof/>
              </w:rPr>
            </w:pPr>
            <w:r>
              <w:rPr>
                <w:noProof/>
              </w:rPr>
              <w:t>2014</w:t>
            </w:r>
          </w:p>
        </w:tc>
        <w:tc>
          <w:tcPr>
            <w:tcW w:w="708" w:type="dxa"/>
          </w:tcPr>
          <w:p>
            <w:pPr>
              <w:rPr>
                <w:noProof/>
              </w:rPr>
            </w:pPr>
            <w:r>
              <w:rPr>
                <w:noProof/>
              </w:rPr>
              <w:t>2015</w:t>
            </w:r>
          </w:p>
        </w:tc>
        <w:tc>
          <w:tcPr>
            <w:tcW w:w="709" w:type="dxa"/>
          </w:tcPr>
          <w:p>
            <w:pPr>
              <w:rPr>
                <w:noProof/>
              </w:rPr>
            </w:pPr>
            <w:r>
              <w:rPr>
                <w:noProof/>
              </w:rPr>
              <w:t>2016</w:t>
            </w:r>
          </w:p>
        </w:tc>
        <w:tc>
          <w:tcPr>
            <w:tcW w:w="1276" w:type="dxa"/>
          </w:tcPr>
          <w:p>
            <w:pPr>
              <w:rPr>
                <w:noProof/>
              </w:rPr>
            </w:pPr>
            <w:r>
              <w:rPr>
                <w:noProof/>
              </w:rPr>
              <w:t>2017</w:t>
            </w:r>
          </w:p>
        </w:tc>
        <w:tc>
          <w:tcPr>
            <w:tcW w:w="1276" w:type="dxa"/>
          </w:tcPr>
          <w:p>
            <w:pPr>
              <w:rPr>
                <w:noProof/>
              </w:rPr>
            </w:pPr>
            <w:r>
              <w:rPr>
                <w:noProof/>
              </w:rPr>
              <w:t>2018</w:t>
            </w:r>
          </w:p>
        </w:tc>
        <w:tc>
          <w:tcPr>
            <w:tcW w:w="1275" w:type="dxa"/>
          </w:tcPr>
          <w:p>
            <w:pPr>
              <w:rPr>
                <w:noProof/>
              </w:rPr>
            </w:pPr>
            <w:r>
              <w:rPr>
                <w:noProof/>
              </w:rPr>
              <w:t>2019</w:t>
            </w:r>
          </w:p>
        </w:tc>
        <w:tc>
          <w:tcPr>
            <w:tcW w:w="1276" w:type="dxa"/>
          </w:tcPr>
          <w:p>
            <w:pPr>
              <w:rPr>
                <w:noProof/>
              </w:rPr>
            </w:pPr>
            <w:r>
              <w:rPr>
                <w:noProof/>
              </w:rPr>
              <w:t>2020</w:t>
            </w:r>
          </w:p>
        </w:tc>
        <w:tc>
          <w:tcPr>
            <w:tcW w:w="1518" w:type="dxa"/>
            <w:vAlign w:val="center"/>
          </w:tcPr>
          <w:p>
            <w:pPr>
              <w:jc w:val="center"/>
              <w:rPr>
                <w:b/>
                <w:noProof/>
                <w:sz w:val="20"/>
              </w:rPr>
            </w:pPr>
            <w:r>
              <w:rPr>
                <w:b/>
                <w:noProof/>
                <w:sz w:val="20"/>
              </w:rPr>
              <w:t>SPOLU</w:t>
            </w:r>
          </w:p>
        </w:tc>
      </w:tr>
      <w:tr>
        <w:trPr>
          <w:trHeight w:val="213"/>
        </w:trPr>
        <w:tc>
          <w:tcPr>
            <w:tcW w:w="5747" w:type="dxa"/>
            <w:gridSpan w:val="3"/>
            <w:vAlign w:val="center"/>
          </w:tcPr>
          <w:p>
            <w:pPr>
              <w:spacing w:before="20" w:after="20"/>
              <w:rPr>
                <w:noProof/>
                <w:sz w:val="21"/>
              </w:rPr>
            </w:pPr>
            <w:r>
              <w:rPr>
                <w:noProof/>
                <w:sz w:val="21"/>
              </w:rPr>
              <w:sym w:font="Wingdings" w:char="F09F"/>
            </w:r>
            <w:r>
              <w:rPr>
                <w:noProof/>
                <w:sz w:val="21"/>
              </w:rPr>
              <w:t xml:space="preserve"> Operačné rozpočtové prostriedky</w:t>
            </w:r>
          </w:p>
        </w:tc>
        <w:tc>
          <w:tcPr>
            <w:tcW w:w="709" w:type="dxa"/>
            <w:vAlign w:val="center"/>
          </w:tcPr>
          <w:p>
            <w:pPr>
              <w:rPr>
                <w:noProof/>
                <w:sz w:val="20"/>
              </w:rPr>
            </w:pPr>
          </w:p>
        </w:tc>
        <w:tc>
          <w:tcPr>
            <w:tcW w:w="708" w:type="dxa"/>
            <w:vAlign w:val="center"/>
          </w:tcPr>
          <w:p>
            <w:pPr>
              <w:rPr>
                <w:noProof/>
                <w:sz w:val="20"/>
              </w:rPr>
            </w:pPr>
          </w:p>
        </w:tc>
        <w:tc>
          <w:tcPr>
            <w:tcW w:w="709" w:type="dxa"/>
            <w:vAlign w:val="center"/>
          </w:tcPr>
          <w:p>
            <w:pPr>
              <w:rPr>
                <w:noProof/>
                <w:sz w:val="20"/>
              </w:rPr>
            </w:pPr>
          </w:p>
        </w:tc>
        <w:tc>
          <w:tcPr>
            <w:tcW w:w="1276" w:type="dxa"/>
            <w:vAlign w:val="center"/>
          </w:tcPr>
          <w:p>
            <w:pPr>
              <w:rPr>
                <w:noProof/>
                <w:sz w:val="20"/>
              </w:rPr>
            </w:pPr>
          </w:p>
        </w:tc>
        <w:tc>
          <w:tcPr>
            <w:tcW w:w="1276" w:type="dxa"/>
            <w:vAlign w:val="center"/>
          </w:tcPr>
          <w:p>
            <w:pPr>
              <w:rPr>
                <w:noProof/>
                <w:sz w:val="20"/>
              </w:rPr>
            </w:pPr>
          </w:p>
        </w:tc>
        <w:tc>
          <w:tcPr>
            <w:tcW w:w="1275" w:type="dxa"/>
            <w:vAlign w:val="center"/>
          </w:tcPr>
          <w:p>
            <w:pPr>
              <w:rPr>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277"/>
        </w:trPr>
        <w:tc>
          <w:tcPr>
            <w:tcW w:w="2203" w:type="dxa"/>
            <w:vAlign w:val="center"/>
          </w:tcPr>
          <w:p>
            <w:pPr>
              <w:spacing w:before="60"/>
              <w:rPr>
                <w:noProof/>
                <w:sz w:val="21"/>
              </w:rPr>
            </w:pPr>
            <w:r>
              <w:rPr>
                <w:noProof/>
                <w:sz w:val="21"/>
              </w:rPr>
              <w:t>1b: Hospodárska, sociálna a územná súdržnosť</w:t>
            </w:r>
          </w:p>
          <w:p>
            <w:pPr>
              <w:spacing w:before="60"/>
              <w:rPr>
                <w:noProof/>
              </w:rPr>
            </w:pPr>
            <w:r>
              <w:rPr>
                <w:noProof/>
                <w:sz w:val="21"/>
              </w:rPr>
              <w:t>Európsky fond regionálneho rozvoja, Európsky sociálny fond, Kohézny fond</w:t>
            </w:r>
          </w:p>
        </w:tc>
        <w:tc>
          <w:tcPr>
            <w:tcW w:w="3119" w:type="dxa"/>
            <w:vAlign w:val="center"/>
          </w:tcPr>
          <w:p>
            <w:pPr>
              <w:spacing w:before="20" w:after="20"/>
              <w:rPr>
                <w:noProof/>
                <w:sz w:val="18"/>
              </w:rPr>
            </w:pPr>
            <w:r>
              <w:rPr>
                <w:noProof/>
                <w:sz w:val="18"/>
              </w:rPr>
              <w:t xml:space="preserve">Záväzky </w:t>
            </w:r>
          </w:p>
          <w:p>
            <w:pPr>
              <w:spacing w:before="20" w:after="20"/>
              <w:rPr>
                <w:noProof/>
                <w:sz w:val="18"/>
              </w:rPr>
            </w:pPr>
          </w:p>
          <w:p>
            <w:pPr>
              <w:spacing w:before="20" w:after="20"/>
              <w:rPr>
                <w:noProof/>
                <w:sz w:val="18"/>
              </w:rPr>
            </w:pPr>
          </w:p>
          <w:p>
            <w:pPr>
              <w:spacing w:after="60"/>
              <w:rPr>
                <w:noProof/>
                <w:sz w:val="22"/>
              </w:rPr>
            </w:pPr>
            <w:r>
              <w:rPr>
                <w:noProof/>
                <w:sz w:val="22"/>
              </w:rPr>
              <w:t>04 02 64 – Iniciatíva na podporu zamestnanosti mladých ľudí (YEI)</w:t>
            </w:r>
          </w:p>
          <w:p>
            <w:pPr>
              <w:spacing w:before="20" w:after="20"/>
              <w:rPr>
                <w:noProof/>
                <w:sz w:val="18"/>
              </w:rPr>
            </w:pPr>
          </w:p>
          <w:p>
            <w:pPr>
              <w:spacing w:before="20" w:after="20"/>
              <w:rPr>
                <w:noProof/>
                <w:sz w:val="18"/>
              </w:rPr>
            </w:pPr>
          </w:p>
          <w:p>
            <w:pPr>
              <w:spacing w:before="20" w:after="20"/>
              <w:rPr>
                <w:noProof/>
                <w:sz w:val="18"/>
              </w:rPr>
            </w:pPr>
          </w:p>
          <w:p>
            <w:pPr>
              <w:spacing w:before="20" w:after="20"/>
              <w:rPr>
                <w:noProof/>
                <w:sz w:val="18"/>
              </w:rPr>
            </w:pPr>
          </w:p>
        </w:tc>
        <w:tc>
          <w:tcPr>
            <w:tcW w:w="425" w:type="dxa"/>
            <w:vAlign w:val="center"/>
          </w:tcPr>
          <w:p>
            <w:pPr>
              <w:spacing w:before="20" w:after="20"/>
              <w:jc w:val="center"/>
              <w:rPr>
                <w:noProof/>
                <w:sz w:val="14"/>
              </w:rPr>
            </w:pPr>
            <w:r>
              <w:rPr>
                <w:noProof/>
                <w:sz w:val="14"/>
              </w:rPr>
              <w:t>(1)</w:t>
            </w:r>
          </w:p>
        </w:tc>
        <w:tc>
          <w:tcPr>
            <w:tcW w:w="709" w:type="dxa"/>
            <w:vAlign w:val="center"/>
          </w:tcPr>
          <w:p>
            <w:pPr>
              <w:spacing w:before="20" w:after="20"/>
              <w:jc w:val="right"/>
              <w:rPr>
                <w:noProof/>
                <w:sz w:val="20"/>
              </w:rPr>
            </w:pPr>
          </w:p>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rPr>
                <w:noProof/>
                <w:sz w:val="20"/>
              </w:rPr>
            </w:pPr>
            <w:r>
              <w:rPr>
                <w:noProof/>
                <w:sz w:val="20"/>
              </w:rPr>
              <w:t xml:space="preserve">116,667 </w:t>
            </w:r>
          </w:p>
        </w:tc>
        <w:tc>
          <w:tcPr>
            <w:tcW w:w="1276" w:type="dxa"/>
            <w:vAlign w:val="center"/>
          </w:tcPr>
          <w:p>
            <w:pPr>
              <w:spacing w:before="20" w:after="20"/>
              <w:rPr>
                <w:noProof/>
                <w:sz w:val="20"/>
              </w:rPr>
            </w:pPr>
            <w:r>
              <w:rPr>
                <w:noProof/>
                <w:sz w:val="20"/>
              </w:rPr>
              <w:t>0,000</w:t>
            </w:r>
          </w:p>
        </w:tc>
        <w:tc>
          <w:tcPr>
            <w:tcW w:w="1518" w:type="dxa"/>
            <w:vAlign w:val="center"/>
          </w:tcPr>
          <w:p>
            <w:pPr>
              <w:spacing w:before="20" w:after="20"/>
              <w:rPr>
                <w:b/>
                <w:noProof/>
                <w:sz w:val="20"/>
              </w:rPr>
            </w:pPr>
            <w:r>
              <w:rPr>
                <w:noProof/>
                <w:sz w:val="20"/>
              </w:rPr>
              <w:t>116,667</w:t>
            </w:r>
          </w:p>
        </w:tc>
      </w:tr>
    </w:tbl>
    <w:p>
      <w:pPr>
        <w:rPr>
          <w:noProof/>
        </w:rPr>
      </w:pPr>
      <w:r>
        <w:rPr>
          <w:noProof/>
        </w:rPr>
        <w:br w:type="page"/>
      </w:r>
    </w:p>
    <w:p>
      <w:pPr>
        <w:rPr>
          <w:noProof/>
        </w:rPr>
      </w:pPr>
    </w:p>
    <w:p>
      <w:pPr>
        <w:rPr>
          <w:noProof/>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78"/>
        <w:gridCol w:w="347"/>
        <w:gridCol w:w="709"/>
        <w:gridCol w:w="708"/>
        <w:gridCol w:w="709"/>
        <w:gridCol w:w="1276"/>
        <w:gridCol w:w="1276"/>
        <w:gridCol w:w="1275"/>
        <w:gridCol w:w="1276"/>
        <w:gridCol w:w="1518"/>
      </w:tblGrid>
      <w:tr>
        <w:trPr>
          <w:trHeight w:val="85"/>
        </w:trPr>
        <w:tc>
          <w:tcPr>
            <w:tcW w:w="2203" w:type="dxa"/>
          </w:tcPr>
          <w:p>
            <w:pPr>
              <w:jc w:val="center"/>
              <w:rPr>
                <w:noProof/>
                <w:sz w:val="20"/>
              </w:rPr>
            </w:pPr>
            <w:r>
              <w:rPr>
                <w:noProof/>
              </w:rPr>
              <w:br w:type="page"/>
            </w:r>
          </w:p>
        </w:tc>
        <w:tc>
          <w:tcPr>
            <w:tcW w:w="3119" w:type="dxa"/>
            <w:vAlign w:val="center"/>
          </w:tcPr>
          <w:p>
            <w:pPr>
              <w:spacing w:before="20" w:after="20"/>
              <w:rPr>
                <w:noProof/>
                <w:sz w:val="18"/>
              </w:rPr>
            </w:pPr>
            <w:r>
              <w:rPr>
                <w:noProof/>
                <w:sz w:val="18"/>
              </w:rPr>
              <w:t xml:space="preserve">Platby </w:t>
            </w:r>
          </w:p>
          <w:p>
            <w:pPr>
              <w:spacing w:after="60"/>
              <w:rPr>
                <w:noProof/>
              </w:rPr>
            </w:pPr>
          </w:p>
          <w:p>
            <w:pPr>
              <w:spacing w:after="60"/>
              <w:rPr>
                <w:noProof/>
              </w:rPr>
            </w:pPr>
          </w:p>
          <w:p>
            <w:pPr>
              <w:spacing w:after="60"/>
              <w:rPr>
                <w:noProof/>
                <w:sz w:val="22"/>
              </w:rPr>
            </w:pPr>
            <w:r>
              <w:rPr>
                <w:noProof/>
                <w:sz w:val="22"/>
              </w:rPr>
              <w:t>04 02 64 – Iniciatíva na podporu zamestnanosti mladých ľudí (YEI)</w:t>
            </w:r>
          </w:p>
          <w:p>
            <w:pPr>
              <w:spacing w:after="60"/>
              <w:rPr>
                <w:noProof/>
                <w:sz w:val="22"/>
              </w:rPr>
            </w:pPr>
          </w:p>
          <w:p>
            <w:pPr>
              <w:spacing w:after="60"/>
              <w:rPr>
                <w:noProof/>
                <w:sz w:val="18"/>
              </w:rPr>
            </w:pPr>
            <w:r>
              <w:rPr>
                <w:noProof/>
              </w:rPr>
              <w:t xml:space="preserve"> </w:t>
            </w:r>
          </w:p>
        </w:tc>
        <w:tc>
          <w:tcPr>
            <w:tcW w:w="425" w:type="dxa"/>
            <w:gridSpan w:val="2"/>
            <w:vAlign w:val="center"/>
          </w:tcPr>
          <w:p>
            <w:pPr>
              <w:spacing w:before="20" w:after="20"/>
              <w:jc w:val="center"/>
              <w:rPr>
                <w:noProof/>
                <w:sz w:val="14"/>
              </w:rPr>
            </w:pPr>
            <w:r>
              <w:rPr>
                <w:noProof/>
                <w:sz w:val="14"/>
              </w:rPr>
              <w:t>(2)</w:t>
            </w:r>
          </w:p>
        </w:tc>
        <w:tc>
          <w:tcPr>
            <w:tcW w:w="709" w:type="dxa"/>
            <w:vAlign w:val="center"/>
          </w:tcPr>
          <w:p>
            <w:pPr>
              <w:spacing w:before="20" w:after="20"/>
              <w:rPr>
                <w:noProof/>
                <w:sz w:val="20"/>
              </w:rPr>
            </w:pPr>
          </w:p>
        </w:tc>
        <w:tc>
          <w:tcPr>
            <w:tcW w:w="708" w:type="dxa"/>
            <w:vAlign w:val="center"/>
          </w:tcPr>
          <w:p>
            <w:pPr>
              <w:spacing w:before="20" w:after="20"/>
              <w:rPr>
                <w:noProof/>
                <w:sz w:val="20"/>
              </w:rPr>
            </w:pPr>
          </w:p>
        </w:tc>
        <w:tc>
          <w:tcPr>
            <w:tcW w:w="709" w:type="dxa"/>
            <w:vAlign w:val="center"/>
          </w:tcPr>
          <w:p>
            <w:pPr>
              <w:spacing w:before="20" w:after="20"/>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rPr>
                <w:noProof/>
                <w:sz w:val="20"/>
              </w:rPr>
            </w:pPr>
          </w:p>
        </w:tc>
        <w:tc>
          <w:tcPr>
            <w:tcW w:w="1275" w:type="dxa"/>
            <w:vAlign w:val="center"/>
          </w:tcPr>
          <w:p>
            <w:pPr>
              <w:spacing w:before="20" w:after="20"/>
              <w:jc w:val="right"/>
              <w:rPr>
                <w:noProof/>
                <w:sz w:val="20"/>
              </w:rPr>
            </w:pPr>
            <w:r>
              <w:rPr>
                <w:noProof/>
                <w:sz w:val="20"/>
              </w:rPr>
              <w:t>0,000</w:t>
            </w:r>
          </w:p>
        </w:tc>
        <w:tc>
          <w:tcPr>
            <w:tcW w:w="1276" w:type="dxa"/>
            <w:vAlign w:val="center"/>
          </w:tcPr>
          <w:p>
            <w:pPr>
              <w:spacing w:before="20" w:after="20"/>
              <w:rPr>
                <w:noProof/>
                <w:sz w:val="20"/>
              </w:rPr>
            </w:pPr>
            <w:r>
              <w:rPr>
                <w:noProof/>
                <w:sz w:val="20"/>
              </w:rPr>
              <w:t>3,500</w:t>
            </w:r>
          </w:p>
        </w:tc>
        <w:tc>
          <w:tcPr>
            <w:tcW w:w="1518" w:type="dxa"/>
            <w:vAlign w:val="center"/>
          </w:tcPr>
          <w:p>
            <w:pPr>
              <w:spacing w:before="20" w:after="20"/>
              <w:rPr>
                <w:b/>
                <w:noProof/>
                <w:sz w:val="20"/>
              </w:rPr>
            </w:pPr>
            <w:r>
              <w:rPr>
                <w:b/>
                <w:noProof/>
                <w:sz w:val="20"/>
              </w:rPr>
              <w:t>3,500</w:t>
            </w:r>
          </w:p>
        </w:tc>
      </w:tr>
      <w:tr>
        <w:trPr>
          <w:trHeight w:val="231"/>
        </w:trPr>
        <w:tc>
          <w:tcPr>
            <w:tcW w:w="5747" w:type="dxa"/>
            <w:gridSpan w:val="4"/>
            <w:vAlign w:val="center"/>
          </w:tcPr>
          <w:p>
            <w:pPr>
              <w:spacing w:before="20" w:after="20"/>
              <w:rPr>
                <w:noProof/>
              </w:rPr>
            </w:pPr>
            <w:r>
              <w:rPr>
                <w:noProof/>
                <w:sz w:val="21"/>
              </w:rPr>
              <w:t>Administratívne rozpočtové prostriedky financované z balíka prostriedkov určených na implementáciu osobitných programov</w:t>
            </w:r>
            <w:r>
              <w:rPr>
                <w:rStyle w:val="FootnoteReference"/>
                <w:noProof/>
                <w:sz w:val="21"/>
              </w:rPr>
              <w:footnoteReference w:id="14"/>
            </w:r>
            <w:r>
              <w:rPr>
                <w:noProof/>
                <w:sz w:val="21"/>
              </w:rPr>
              <w:t xml:space="preserve"> </w:t>
            </w:r>
          </w:p>
          <w:p>
            <w:pPr>
              <w:spacing w:before="0" w:after="0"/>
              <w:rPr>
                <w:noProof/>
              </w:rPr>
            </w:pPr>
          </w:p>
        </w:tc>
        <w:tc>
          <w:tcPr>
            <w:tcW w:w="709" w:type="dxa"/>
            <w:vAlign w:val="center"/>
          </w:tcPr>
          <w:p>
            <w:pPr>
              <w:rPr>
                <w:b/>
                <w:noProof/>
                <w:sz w:val="20"/>
              </w:rPr>
            </w:pPr>
          </w:p>
        </w:tc>
        <w:tc>
          <w:tcPr>
            <w:tcW w:w="708" w:type="dxa"/>
            <w:vAlign w:val="center"/>
          </w:tcPr>
          <w:p>
            <w:pPr>
              <w:rPr>
                <w:b/>
                <w:noProof/>
                <w:sz w:val="20"/>
              </w:rPr>
            </w:pPr>
          </w:p>
        </w:tc>
        <w:tc>
          <w:tcPr>
            <w:tcW w:w="709" w:type="dxa"/>
            <w:vAlign w:val="center"/>
          </w:tcPr>
          <w:p>
            <w:pPr>
              <w:rPr>
                <w:b/>
                <w:noProof/>
                <w:sz w:val="20"/>
              </w:rPr>
            </w:pPr>
          </w:p>
        </w:tc>
        <w:tc>
          <w:tcPr>
            <w:tcW w:w="1276" w:type="dxa"/>
            <w:vAlign w:val="center"/>
          </w:tcPr>
          <w:p>
            <w:pPr>
              <w:rPr>
                <w:b/>
                <w:noProof/>
                <w:sz w:val="20"/>
              </w:rPr>
            </w:pPr>
          </w:p>
        </w:tc>
        <w:tc>
          <w:tcPr>
            <w:tcW w:w="1276" w:type="dxa"/>
            <w:vAlign w:val="center"/>
          </w:tcPr>
          <w:p>
            <w:pPr>
              <w:rPr>
                <w:b/>
                <w:noProof/>
                <w:sz w:val="20"/>
              </w:rPr>
            </w:pPr>
          </w:p>
        </w:tc>
        <w:tc>
          <w:tcPr>
            <w:tcW w:w="1275" w:type="dxa"/>
            <w:vAlign w:val="center"/>
          </w:tcPr>
          <w:p>
            <w:pPr>
              <w:rPr>
                <w:b/>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319"/>
        </w:trPr>
        <w:tc>
          <w:tcPr>
            <w:tcW w:w="2203" w:type="dxa"/>
            <w:vAlign w:val="center"/>
          </w:tcPr>
          <w:p>
            <w:pPr>
              <w:spacing w:before="60" w:after="60"/>
              <w:rPr>
                <w:noProof/>
              </w:rPr>
            </w:pPr>
            <w:r>
              <w:rPr>
                <w:noProof/>
                <w:sz w:val="20"/>
              </w:rPr>
              <w:t>Neuplatňuje sa</w:t>
            </w:r>
          </w:p>
        </w:tc>
        <w:tc>
          <w:tcPr>
            <w:tcW w:w="3197" w:type="dxa"/>
            <w:gridSpan w:val="2"/>
            <w:vAlign w:val="center"/>
          </w:tcPr>
          <w:p>
            <w:pPr>
              <w:spacing w:before="40" w:after="40"/>
              <w:jc w:val="right"/>
              <w:rPr>
                <w:noProof/>
                <w:sz w:val="18"/>
              </w:rPr>
            </w:pPr>
          </w:p>
        </w:tc>
        <w:tc>
          <w:tcPr>
            <w:tcW w:w="347" w:type="dxa"/>
            <w:vAlign w:val="center"/>
          </w:tcPr>
          <w:p>
            <w:pPr>
              <w:spacing w:before="40" w:after="40"/>
              <w:jc w:val="center"/>
              <w:rPr>
                <w:noProof/>
                <w:sz w:val="14"/>
              </w:rPr>
            </w:pPr>
            <w:r>
              <w:rPr>
                <w:noProof/>
                <w:sz w:val="14"/>
              </w:rPr>
              <w:t>(3)</w:t>
            </w:r>
          </w:p>
        </w:tc>
        <w:tc>
          <w:tcPr>
            <w:tcW w:w="709" w:type="dxa"/>
            <w:vAlign w:val="center"/>
          </w:tcPr>
          <w:p>
            <w:pPr>
              <w:spacing w:before="40" w:after="40"/>
              <w:jc w:val="right"/>
              <w:rPr>
                <w:b/>
                <w:noProof/>
                <w:sz w:val="20"/>
              </w:rPr>
            </w:pPr>
          </w:p>
        </w:tc>
        <w:tc>
          <w:tcPr>
            <w:tcW w:w="708" w:type="dxa"/>
            <w:vAlign w:val="center"/>
          </w:tcPr>
          <w:p>
            <w:pPr>
              <w:spacing w:before="40" w:after="40"/>
              <w:jc w:val="right"/>
              <w:rPr>
                <w:b/>
                <w:noProof/>
                <w:sz w:val="20"/>
              </w:rPr>
            </w:pPr>
          </w:p>
        </w:tc>
        <w:tc>
          <w:tcPr>
            <w:tcW w:w="709"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5"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518" w:type="dxa"/>
            <w:vAlign w:val="center"/>
          </w:tcPr>
          <w:p>
            <w:pPr>
              <w:spacing w:before="40" w:after="40"/>
              <w:jc w:val="right"/>
              <w:rPr>
                <w:b/>
                <w:noProof/>
                <w:sz w:val="20"/>
              </w:rPr>
            </w:pPr>
          </w:p>
        </w:tc>
      </w:tr>
      <w:tr>
        <w:tc>
          <w:tcPr>
            <w:tcW w:w="2203" w:type="dxa"/>
            <w:vMerge w:val="restart"/>
            <w:vAlign w:val="center"/>
          </w:tcPr>
          <w:p>
            <w:pPr>
              <w:jc w:val="center"/>
              <w:rPr>
                <w:b/>
                <w:noProof/>
                <w:sz w:val="22"/>
              </w:rPr>
            </w:pPr>
            <w:r>
              <w:rPr>
                <w:b/>
                <w:noProof/>
                <w:sz w:val="22"/>
              </w:rPr>
              <w:t>Rozpočtové prostriedky</w:t>
            </w:r>
            <w:r>
              <w:rPr>
                <w:noProof/>
                <w:sz w:val="22"/>
              </w:rPr>
              <w:br/>
            </w:r>
            <w:r>
              <w:rPr>
                <w:b/>
                <w:noProof/>
                <w:sz w:val="22"/>
              </w:rPr>
              <w:t xml:space="preserve">pre GR </w:t>
            </w:r>
            <w:r>
              <w:rPr>
                <w:noProof/>
                <w:sz w:val="22"/>
              </w:rPr>
              <w:t xml:space="preserve">EMPL, REGIO </w:t>
            </w:r>
            <w:r>
              <w:rPr>
                <w:b/>
                <w:noProof/>
                <w:sz w:val="22"/>
              </w:rPr>
              <w:t>SPOLU</w:t>
            </w:r>
            <w:r>
              <w:rPr>
                <w:noProof/>
                <w:sz w:val="22"/>
              </w:rPr>
              <w:t xml:space="preserve"> </w:t>
            </w:r>
          </w:p>
        </w:tc>
        <w:tc>
          <w:tcPr>
            <w:tcW w:w="3197" w:type="dxa"/>
            <w:gridSpan w:val="2"/>
            <w:vAlign w:val="center"/>
          </w:tcPr>
          <w:p>
            <w:pPr>
              <w:rPr>
                <w:noProof/>
                <w:sz w:val="18"/>
              </w:rPr>
            </w:pPr>
            <w:r>
              <w:rPr>
                <w:noProof/>
                <w:sz w:val="18"/>
              </w:rPr>
              <w:t>Záväzky</w:t>
            </w:r>
          </w:p>
        </w:tc>
        <w:tc>
          <w:tcPr>
            <w:tcW w:w="347" w:type="dxa"/>
            <w:vAlign w:val="center"/>
          </w:tcPr>
          <w:p>
            <w:pPr>
              <w:jc w:val="center"/>
              <w:rPr>
                <w:noProof/>
                <w:sz w:val="14"/>
              </w:rPr>
            </w:pPr>
            <w:r>
              <w:rPr>
                <w:noProof/>
                <w:sz w:val="14"/>
              </w:rPr>
              <w:t>= 1 + 1a + 3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rPr>
              <w:t xml:space="preserve">116,667 </w:t>
            </w:r>
          </w:p>
        </w:tc>
        <w:tc>
          <w:tcPr>
            <w:tcW w:w="1276" w:type="dxa"/>
          </w:tcPr>
          <w:p>
            <w:pPr>
              <w:spacing w:before="20" w:after="20"/>
              <w:jc w:val="right"/>
              <w:rPr>
                <w:noProof/>
                <w:sz w:val="20"/>
                <w:szCs w:val="20"/>
              </w:rPr>
            </w:pPr>
          </w:p>
          <w:p>
            <w:pPr>
              <w:spacing w:before="20" w:after="20"/>
              <w:jc w:val="right"/>
              <w:rPr>
                <w:noProof/>
                <w:sz w:val="20"/>
                <w:szCs w:val="20"/>
              </w:rPr>
            </w:pPr>
          </w:p>
          <w:p>
            <w:pPr>
              <w:spacing w:before="20" w:after="20"/>
              <w:jc w:val="right"/>
              <w:rPr>
                <w:b/>
                <w:noProof/>
                <w:sz w:val="20"/>
              </w:rPr>
            </w:pPr>
            <w:r>
              <w:rPr>
                <w:noProof/>
                <w:sz w:val="20"/>
              </w:rPr>
              <w:t>0,000</w:t>
            </w:r>
          </w:p>
        </w:tc>
        <w:tc>
          <w:tcPr>
            <w:tcW w:w="1518" w:type="dxa"/>
          </w:tcPr>
          <w:p>
            <w:pPr>
              <w:spacing w:before="20" w:after="20"/>
              <w:jc w:val="right"/>
              <w:rPr>
                <w:noProof/>
                <w:sz w:val="20"/>
                <w:szCs w:val="20"/>
              </w:rPr>
            </w:pPr>
          </w:p>
          <w:p>
            <w:pPr>
              <w:spacing w:before="20" w:after="20"/>
              <w:jc w:val="right"/>
              <w:rPr>
                <w:b/>
                <w:noProof/>
                <w:sz w:val="20"/>
                <w:szCs w:val="20"/>
              </w:rPr>
            </w:pPr>
          </w:p>
          <w:p>
            <w:pPr>
              <w:spacing w:before="20" w:after="20"/>
              <w:jc w:val="right"/>
              <w:rPr>
                <w:b/>
                <w:noProof/>
                <w:sz w:val="20"/>
              </w:rPr>
            </w:pPr>
            <w:r>
              <w:rPr>
                <w:b/>
                <w:noProof/>
                <w:sz w:val="20"/>
              </w:rPr>
              <w:t>116,667</w:t>
            </w:r>
          </w:p>
        </w:tc>
      </w:tr>
      <w:tr>
        <w:tc>
          <w:tcPr>
            <w:tcW w:w="2203" w:type="dxa"/>
            <w:vMerge/>
          </w:tcPr>
          <w:p>
            <w:pPr>
              <w:rPr>
                <w:noProof/>
                <w:sz w:val="20"/>
              </w:rPr>
            </w:pPr>
          </w:p>
        </w:tc>
        <w:tc>
          <w:tcPr>
            <w:tcW w:w="3197" w:type="dxa"/>
            <w:gridSpan w:val="2"/>
            <w:vAlign w:val="center"/>
          </w:tcPr>
          <w:p>
            <w:pPr>
              <w:rPr>
                <w:noProof/>
                <w:sz w:val="18"/>
              </w:rPr>
            </w:pPr>
            <w:r>
              <w:rPr>
                <w:noProof/>
                <w:sz w:val="18"/>
              </w:rPr>
              <w:t>Platby</w:t>
            </w:r>
          </w:p>
        </w:tc>
        <w:tc>
          <w:tcPr>
            <w:tcW w:w="347" w:type="dxa"/>
            <w:vAlign w:val="center"/>
          </w:tcPr>
          <w:p>
            <w:pPr>
              <w:jc w:val="center"/>
              <w:rPr>
                <w:noProof/>
                <w:sz w:val="14"/>
              </w:rPr>
            </w:pPr>
            <w:r>
              <w:rPr>
                <w:noProof/>
                <w:sz w:val="14"/>
              </w:rPr>
              <w:t>= 2 + 2a</w:t>
            </w:r>
          </w:p>
          <w:p>
            <w:pPr>
              <w:jc w:val="center"/>
              <w:rPr>
                <w:noProof/>
                <w:sz w:val="14"/>
              </w:rPr>
            </w:pPr>
            <w:r>
              <w:rPr>
                <w:noProof/>
                <w:sz w:val="14"/>
              </w:rPr>
              <w:t>+3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rPr>
              <w:t>0,000</w:t>
            </w:r>
          </w:p>
        </w:tc>
        <w:tc>
          <w:tcPr>
            <w:tcW w:w="1276"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rPr>
              <w:t>3,500</w:t>
            </w:r>
          </w:p>
        </w:tc>
        <w:tc>
          <w:tcPr>
            <w:tcW w:w="1518" w:type="dxa"/>
          </w:tcPr>
          <w:p>
            <w:pPr>
              <w:spacing w:before="20" w:after="20"/>
              <w:jc w:val="right"/>
              <w:rPr>
                <w:noProof/>
                <w:sz w:val="20"/>
                <w:szCs w:val="20"/>
              </w:rPr>
            </w:pPr>
          </w:p>
          <w:p>
            <w:pPr>
              <w:spacing w:before="20" w:after="20"/>
              <w:jc w:val="right"/>
              <w:rPr>
                <w:noProof/>
                <w:sz w:val="20"/>
                <w:szCs w:val="20"/>
              </w:rPr>
            </w:pPr>
          </w:p>
          <w:p>
            <w:pPr>
              <w:spacing w:before="20" w:after="20"/>
              <w:jc w:val="center"/>
              <w:rPr>
                <w:b/>
                <w:noProof/>
                <w:sz w:val="20"/>
              </w:rPr>
            </w:pPr>
            <w:r>
              <w:rPr>
                <w:b/>
                <w:noProof/>
                <w:sz w:val="20"/>
              </w:rPr>
              <w:t>3,500</w:t>
            </w:r>
          </w:p>
        </w:tc>
      </w:tr>
    </w:tbl>
    <w:p>
      <w:pPr>
        <w:rPr>
          <w:noProof/>
          <w:sz w:val="16"/>
        </w:rPr>
      </w:pPr>
    </w:p>
    <w:tbl>
      <w:tblPr>
        <w:tblW w:w="14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347"/>
        <w:gridCol w:w="709"/>
        <w:gridCol w:w="708"/>
        <w:gridCol w:w="709"/>
        <w:gridCol w:w="1276"/>
        <w:gridCol w:w="1276"/>
        <w:gridCol w:w="1275"/>
        <w:gridCol w:w="1276"/>
        <w:gridCol w:w="144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Operačné rozpočtové prostriedky SPOLU</w:t>
            </w:r>
          </w:p>
        </w:tc>
        <w:tc>
          <w:tcPr>
            <w:tcW w:w="1440" w:type="dxa"/>
            <w:vAlign w:val="center"/>
          </w:tcPr>
          <w:p>
            <w:pPr>
              <w:spacing w:beforeLines="20" w:before="48" w:afterLines="20" w:after="48"/>
              <w:rPr>
                <w:noProof/>
                <w:sz w:val="18"/>
              </w:rPr>
            </w:pPr>
            <w:r>
              <w:rPr>
                <w:noProof/>
                <w:sz w:val="18"/>
              </w:rPr>
              <w:t>Záväzky</w:t>
            </w:r>
          </w:p>
        </w:tc>
        <w:tc>
          <w:tcPr>
            <w:tcW w:w="347" w:type="dxa"/>
            <w:vAlign w:val="center"/>
          </w:tcPr>
          <w:p>
            <w:pPr>
              <w:spacing w:beforeLines="20" w:before="48" w:afterLines="20" w:after="48"/>
              <w:jc w:val="center"/>
              <w:rPr>
                <w:noProof/>
                <w:sz w:val="14"/>
              </w:rPr>
            </w:pPr>
            <w:r>
              <w:rPr>
                <w:noProof/>
                <w:sz w:val="14"/>
              </w:rPr>
              <w:t>(4)</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jc w:val="right"/>
              <w:rPr>
                <w:noProof/>
                <w:sz w:val="20"/>
              </w:rPr>
            </w:pPr>
            <w:r>
              <w:rPr>
                <w:noProof/>
                <w:sz w:val="20"/>
              </w:rPr>
              <w:t xml:space="preserve">116,667 </w:t>
            </w:r>
            <w:r>
              <w:rPr>
                <w:noProof/>
              </w:rPr>
              <w:tab/>
            </w:r>
          </w:p>
        </w:tc>
        <w:tc>
          <w:tcPr>
            <w:tcW w:w="1276" w:type="dxa"/>
            <w:vAlign w:val="center"/>
          </w:tcPr>
          <w:p>
            <w:pPr>
              <w:spacing w:before="20" w:after="20"/>
              <w:jc w:val="right"/>
              <w:rPr>
                <w:noProof/>
                <w:sz w:val="20"/>
              </w:rPr>
            </w:pPr>
            <w:r>
              <w:rPr>
                <w:noProof/>
                <w:sz w:val="20"/>
              </w:rPr>
              <w:t>0,000</w:t>
            </w:r>
          </w:p>
        </w:tc>
        <w:tc>
          <w:tcPr>
            <w:tcW w:w="1448" w:type="dxa"/>
            <w:vAlign w:val="center"/>
          </w:tcPr>
          <w:p>
            <w:pPr>
              <w:spacing w:before="20" w:after="20"/>
              <w:jc w:val="right"/>
              <w:rPr>
                <w:b/>
                <w:noProof/>
                <w:sz w:val="20"/>
              </w:rPr>
            </w:pPr>
            <w:r>
              <w:rPr>
                <w:b/>
                <w:noProof/>
                <w:sz w:val="20"/>
              </w:rPr>
              <w:t>116,667</w:t>
            </w:r>
          </w:p>
        </w:tc>
      </w:tr>
      <w:tr>
        <w:trPr>
          <w:trHeight w:val="414"/>
        </w:trP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347" w:type="dxa"/>
            <w:vAlign w:val="center"/>
          </w:tcPr>
          <w:p>
            <w:pPr>
              <w:spacing w:beforeLines="20" w:before="48" w:afterLines="20" w:after="48"/>
              <w:jc w:val="center"/>
              <w:rPr>
                <w:noProof/>
                <w:sz w:val="14"/>
              </w:rPr>
            </w:pPr>
            <w:r>
              <w:rPr>
                <w:noProof/>
                <w:sz w:val="14"/>
              </w:rPr>
              <w:t>(5)</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rPr>
            </w:pPr>
            <w:r>
              <w:rPr>
                <w:noProof/>
                <w:sz w:val="20"/>
              </w:rPr>
              <w:t>0,000</w:t>
            </w:r>
          </w:p>
        </w:tc>
        <w:tc>
          <w:tcPr>
            <w:tcW w:w="1276" w:type="dxa"/>
          </w:tcPr>
          <w:p>
            <w:pPr>
              <w:spacing w:before="20" w:after="20"/>
              <w:jc w:val="right"/>
              <w:rPr>
                <w:noProof/>
                <w:sz w:val="20"/>
              </w:rPr>
            </w:pPr>
            <w:r>
              <w:rPr>
                <w:noProof/>
                <w:sz w:val="20"/>
              </w:rPr>
              <w:t>3,500</w:t>
            </w:r>
          </w:p>
        </w:tc>
        <w:tc>
          <w:tcPr>
            <w:tcW w:w="1448" w:type="dxa"/>
          </w:tcPr>
          <w:p>
            <w:pPr>
              <w:spacing w:before="20" w:after="20"/>
              <w:jc w:val="right"/>
              <w:rPr>
                <w:b/>
                <w:noProof/>
                <w:sz w:val="20"/>
              </w:rPr>
            </w:pPr>
            <w:r>
              <w:rPr>
                <w:b/>
                <w:noProof/>
                <w:sz w:val="20"/>
              </w:rPr>
              <w:t>3,500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Administratívne rozpočtové prostriedky financované z balíka prostriedkov určených na implementáciu osobitných programov SPOLU</w:t>
            </w:r>
          </w:p>
        </w:tc>
        <w:tc>
          <w:tcPr>
            <w:tcW w:w="347" w:type="dxa"/>
            <w:vAlign w:val="center"/>
          </w:tcPr>
          <w:p>
            <w:pPr>
              <w:spacing w:beforeLines="20" w:before="48" w:afterLines="20" w:after="48"/>
              <w:jc w:val="center"/>
              <w:rPr>
                <w:noProof/>
                <w:sz w:val="14"/>
              </w:rPr>
            </w:pPr>
            <w:r>
              <w:rPr>
                <w:noProof/>
                <w:sz w:val="14"/>
              </w:rPr>
              <w:t>(6)</w:t>
            </w:r>
          </w:p>
        </w:tc>
        <w:tc>
          <w:tcPr>
            <w:tcW w:w="709" w:type="dxa"/>
            <w:vAlign w:val="center"/>
          </w:tcPr>
          <w:p>
            <w:pPr>
              <w:spacing w:before="20" w:after="20"/>
              <w:jc w:val="right"/>
              <w:rPr>
                <w:b/>
                <w:noProof/>
                <w:sz w:val="20"/>
              </w:rPr>
            </w:pPr>
          </w:p>
        </w:tc>
        <w:tc>
          <w:tcPr>
            <w:tcW w:w="708" w:type="dxa"/>
            <w:vAlign w:val="center"/>
          </w:tcPr>
          <w:p>
            <w:pPr>
              <w:spacing w:before="20" w:after="20"/>
              <w:jc w:val="right"/>
              <w:rPr>
                <w:b/>
                <w:noProof/>
                <w:sz w:val="20"/>
              </w:rPr>
            </w:pPr>
          </w:p>
        </w:tc>
        <w:tc>
          <w:tcPr>
            <w:tcW w:w="709" w:type="dxa"/>
            <w:vAlign w:val="center"/>
          </w:tcPr>
          <w:p>
            <w:pPr>
              <w:spacing w:before="20" w:after="20"/>
              <w:jc w:val="right"/>
              <w:rPr>
                <w:b/>
                <w:noProof/>
                <w:sz w:val="20"/>
              </w:rPr>
            </w:pPr>
          </w:p>
        </w:tc>
        <w:tc>
          <w:tcPr>
            <w:tcW w:w="1276" w:type="dxa"/>
            <w:vAlign w:val="center"/>
          </w:tcPr>
          <w:p>
            <w:pPr>
              <w:spacing w:before="20" w:after="20"/>
              <w:jc w:val="right"/>
              <w:rPr>
                <w:b/>
                <w:noProof/>
                <w:sz w:val="20"/>
              </w:rPr>
            </w:pPr>
          </w:p>
        </w:tc>
        <w:tc>
          <w:tcPr>
            <w:tcW w:w="1276" w:type="dxa"/>
            <w:vAlign w:val="center"/>
          </w:tcPr>
          <w:p>
            <w:pPr>
              <w:spacing w:before="20" w:after="20"/>
              <w:jc w:val="right"/>
              <w:rPr>
                <w:b/>
                <w:noProof/>
                <w:sz w:val="20"/>
              </w:rPr>
            </w:pPr>
          </w:p>
        </w:tc>
        <w:tc>
          <w:tcPr>
            <w:tcW w:w="1275" w:type="dxa"/>
            <w:vAlign w:val="center"/>
          </w:tcPr>
          <w:p>
            <w:pPr>
              <w:spacing w:before="20" w:after="20"/>
              <w:jc w:val="right"/>
              <w:rPr>
                <w:b/>
                <w:noProof/>
                <w:sz w:val="20"/>
              </w:rPr>
            </w:pPr>
            <w:r>
              <w:rPr>
                <w:noProof/>
                <w:sz w:val="20"/>
              </w:rPr>
              <w:t>0,000</w:t>
            </w:r>
          </w:p>
        </w:tc>
        <w:tc>
          <w:tcPr>
            <w:tcW w:w="1276" w:type="dxa"/>
            <w:vAlign w:val="center"/>
          </w:tcPr>
          <w:p>
            <w:pPr>
              <w:spacing w:before="20" w:after="20"/>
              <w:jc w:val="right"/>
              <w:rPr>
                <w:noProof/>
                <w:sz w:val="20"/>
              </w:rPr>
            </w:pPr>
            <w:r>
              <w:rPr>
                <w:noProof/>
                <w:sz w:val="20"/>
              </w:rPr>
              <w:t>0,000</w:t>
            </w:r>
          </w:p>
        </w:tc>
        <w:tc>
          <w:tcPr>
            <w:tcW w:w="1448" w:type="dxa"/>
            <w:vAlign w:val="center"/>
          </w:tcPr>
          <w:p>
            <w:pPr>
              <w:spacing w:before="20" w:after="20"/>
              <w:jc w:val="right"/>
              <w:rPr>
                <w:b/>
                <w:noProof/>
                <w:sz w:val="20"/>
              </w:rPr>
            </w:pPr>
            <w:r>
              <w:rPr>
                <w:b/>
                <w:noProof/>
                <w:sz w:val="20"/>
              </w:rPr>
              <w:t>0,000</w:t>
            </w:r>
          </w:p>
        </w:tc>
      </w:tr>
      <w:tr>
        <w:tc>
          <w:tcPr>
            <w:tcW w:w="3960" w:type="dxa"/>
            <w:vMerge w:val="restart"/>
            <w:shd w:val="thinDiagStripe" w:color="C0C0C0" w:fill="auto"/>
            <w:vAlign w:val="center"/>
          </w:tcPr>
          <w:p>
            <w:pPr>
              <w:jc w:val="center"/>
              <w:rPr>
                <w:b/>
                <w:noProof/>
                <w:sz w:val="22"/>
              </w:rPr>
            </w:pPr>
            <w:r>
              <w:rPr>
                <w:b/>
                <w:noProof/>
                <w:sz w:val="22"/>
              </w:rPr>
              <w:t>Rozpočtové prostriedky OKRUHU 1b</w:t>
            </w:r>
            <w:r>
              <w:rPr>
                <w:noProof/>
                <w:sz w:val="22"/>
              </w:rPr>
              <w:t xml:space="preserve"> viacročného finančného rámca </w:t>
            </w:r>
            <w:r>
              <w:rPr>
                <w:b/>
                <w:noProof/>
                <w:sz w:val="22"/>
              </w:rPr>
              <w:t>SPOLU</w:t>
            </w:r>
          </w:p>
        </w:tc>
        <w:tc>
          <w:tcPr>
            <w:tcW w:w="1440" w:type="dxa"/>
            <w:vAlign w:val="center"/>
          </w:tcPr>
          <w:p>
            <w:pPr>
              <w:rPr>
                <w:noProof/>
                <w:sz w:val="18"/>
              </w:rPr>
            </w:pPr>
            <w:r>
              <w:rPr>
                <w:noProof/>
                <w:sz w:val="18"/>
              </w:rPr>
              <w:t>Záväzky</w:t>
            </w:r>
          </w:p>
        </w:tc>
        <w:tc>
          <w:tcPr>
            <w:tcW w:w="347" w:type="dxa"/>
            <w:vAlign w:val="center"/>
          </w:tcPr>
          <w:p>
            <w:pPr>
              <w:jc w:val="center"/>
              <w:rPr>
                <w:noProof/>
                <w:sz w:val="14"/>
              </w:rPr>
            </w:pPr>
            <w:r>
              <w:rPr>
                <w:noProof/>
                <w:sz w:val="14"/>
              </w:rPr>
              <w:t>= 4 + 6</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jc w:val="right"/>
              <w:rPr>
                <w:noProof/>
                <w:sz w:val="20"/>
              </w:rPr>
            </w:pPr>
            <w:r>
              <w:rPr>
                <w:noProof/>
                <w:sz w:val="20"/>
              </w:rPr>
              <w:t>116,667</w:t>
            </w:r>
          </w:p>
        </w:tc>
        <w:tc>
          <w:tcPr>
            <w:tcW w:w="1276" w:type="dxa"/>
            <w:vAlign w:val="center"/>
          </w:tcPr>
          <w:p>
            <w:pPr>
              <w:spacing w:before="20" w:after="20"/>
              <w:jc w:val="right"/>
              <w:rPr>
                <w:noProof/>
                <w:sz w:val="20"/>
              </w:rPr>
            </w:pPr>
            <w:r>
              <w:rPr>
                <w:noProof/>
                <w:sz w:val="20"/>
              </w:rPr>
              <w:t>0,000</w:t>
            </w:r>
          </w:p>
        </w:tc>
        <w:tc>
          <w:tcPr>
            <w:tcW w:w="1448" w:type="dxa"/>
            <w:vAlign w:val="center"/>
          </w:tcPr>
          <w:p>
            <w:pPr>
              <w:spacing w:before="20" w:after="20"/>
              <w:jc w:val="right"/>
              <w:rPr>
                <w:b/>
                <w:noProof/>
                <w:sz w:val="20"/>
              </w:rPr>
            </w:pPr>
            <w:r>
              <w:rPr>
                <w:b/>
                <w:noProof/>
                <w:sz w:val="20"/>
              </w:rPr>
              <w:t>116,667</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Platby</w:t>
            </w:r>
          </w:p>
        </w:tc>
        <w:tc>
          <w:tcPr>
            <w:tcW w:w="347" w:type="dxa"/>
            <w:vAlign w:val="center"/>
          </w:tcPr>
          <w:p>
            <w:pPr>
              <w:jc w:val="center"/>
              <w:rPr>
                <w:noProof/>
                <w:sz w:val="14"/>
              </w:rPr>
            </w:pPr>
            <w:r>
              <w:rPr>
                <w:noProof/>
                <w:sz w:val="14"/>
              </w:rPr>
              <w:t>= 5 + 6</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rPr>
            </w:pPr>
            <w:r>
              <w:rPr>
                <w:noProof/>
                <w:sz w:val="20"/>
              </w:rPr>
              <w:t>0,000</w:t>
            </w:r>
          </w:p>
        </w:tc>
        <w:tc>
          <w:tcPr>
            <w:tcW w:w="1276" w:type="dxa"/>
            <w:vAlign w:val="center"/>
          </w:tcPr>
          <w:p>
            <w:pPr>
              <w:spacing w:before="20" w:after="20"/>
              <w:jc w:val="right"/>
              <w:rPr>
                <w:noProof/>
                <w:sz w:val="20"/>
              </w:rPr>
            </w:pPr>
            <w:r>
              <w:rPr>
                <w:noProof/>
                <w:sz w:val="20"/>
              </w:rPr>
              <w:t>3,500</w:t>
            </w:r>
          </w:p>
        </w:tc>
        <w:tc>
          <w:tcPr>
            <w:tcW w:w="1448" w:type="dxa"/>
            <w:vAlign w:val="center"/>
          </w:tcPr>
          <w:p>
            <w:pPr>
              <w:spacing w:before="20" w:after="20"/>
              <w:jc w:val="right"/>
              <w:rPr>
                <w:b/>
                <w:noProof/>
                <w:sz w:val="20"/>
              </w:rPr>
            </w:pPr>
            <w:r>
              <w:rPr>
                <w:b/>
                <w:noProof/>
                <w:sz w:val="20"/>
              </w:rPr>
              <w:t>3,500</w:t>
            </w:r>
          </w:p>
        </w:tc>
      </w:tr>
      <w:tr>
        <w:tc>
          <w:tcPr>
            <w:tcW w:w="3960" w:type="dxa"/>
            <w:shd w:val="thinDiagStripe" w:color="C0C0C0" w:fill="auto"/>
          </w:tcPr>
          <w:p>
            <w:pPr>
              <w:rPr>
                <w:noProof/>
                <w:sz w:val="20"/>
              </w:rPr>
            </w:pPr>
          </w:p>
        </w:tc>
        <w:tc>
          <w:tcPr>
            <w:tcW w:w="1440" w:type="dxa"/>
            <w:vAlign w:val="center"/>
          </w:tcPr>
          <w:p>
            <w:pPr>
              <w:rPr>
                <w:noProof/>
                <w:sz w:val="18"/>
              </w:rPr>
            </w:pPr>
          </w:p>
        </w:tc>
        <w:tc>
          <w:tcPr>
            <w:tcW w:w="347" w:type="dxa"/>
            <w:vAlign w:val="center"/>
          </w:tcPr>
          <w:p>
            <w:pPr>
              <w:jc w:val="center"/>
              <w:rPr>
                <w:noProof/>
                <w:sz w:val="14"/>
              </w:rPr>
            </w:pP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b/>
                <w:noProof/>
                <w:sz w:val="20"/>
              </w:rPr>
            </w:pPr>
          </w:p>
        </w:tc>
        <w:tc>
          <w:tcPr>
            <w:tcW w:w="1275" w:type="dxa"/>
            <w:vAlign w:val="center"/>
          </w:tcPr>
          <w:p>
            <w:pPr>
              <w:spacing w:before="20" w:after="20"/>
              <w:jc w:val="right"/>
              <w:rPr>
                <w:noProof/>
                <w:sz w:val="20"/>
              </w:rPr>
            </w:pPr>
          </w:p>
        </w:tc>
        <w:tc>
          <w:tcPr>
            <w:tcW w:w="1276" w:type="dxa"/>
            <w:vAlign w:val="center"/>
          </w:tcPr>
          <w:p>
            <w:pPr>
              <w:spacing w:before="20" w:after="20"/>
              <w:jc w:val="right"/>
              <w:rPr>
                <w:b/>
                <w:noProof/>
                <w:sz w:val="20"/>
              </w:rPr>
            </w:pPr>
          </w:p>
        </w:tc>
        <w:tc>
          <w:tcPr>
            <w:tcW w:w="1448" w:type="dxa"/>
            <w:vAlign w:val="center"/>
          </w:tcPr>
          <w:p>
            <w:pPr>
              <w:spacing w:before="20" w:after="20"/>
              <w:jc w:val="right"/>
              <w:rPr>
                <w:b/>
                <w:noProof/>
                <w:sz w:val="20"/>
              </w:rPr>
            </w:pPr>
          </w:p>
        </w:tc>
      </w:tr>
    </w:tbl>
    <w:p>
      <w:pPr>
        <w:rPr>
          <w:noProof/>
          <w:sz w:val="16"/>
        </w:rPr>
      </w:pPr>
    </w:p>
    <w:p>
      <w:pPr>
        <w:rPr>
          <w:noProof/>
        </w:rPr>
      </w:pPr>
    </w:p>
    <w:p>
      <w:pPr>
        <w:rPr>
          <w:b/>
          <w:noProof/>
          <w:sz w:val="22"/>
          <w:u w:val="single"/>
        </w:rPr>
      </w:pPr>
      <w:r>
        <w:rPr>
          <w:noProof/>
        </w:rPr>
        <w:br/>
      </w:r>
    </w:p>
    <w:p>
      <w:pPr>
        <w:spacing w:after="40"/>
        <w:rPr>
          <w:b/>
          <w:noProof/>
          <w:sz w:val="22"/>
          <w:u w:val="single"/>
        </w:rPr>
      </w:pPr>
      <w:r>
        <w:rPr>
          <w:b/>
          <w:noProof/>
          <w:sz w:val="22"/>
          <w:u w:val="single"/>
        </w:rPr>
        <w:t>Ak má návrh/iniciatíva vplyv na viaceré okruhy:</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386"/>
        <w:gridCol w:w="960"/>
        <w:gridCol w:w="840"/>
        <w:gridCol w:w="840"/>
        <w:gridCol w:w="720"/>
        <w:gridCol w:w="720"/>
        <w:gridCol w:w="960"/>
        <w:gridCol w:w="142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Operačné rozpočtové prostriedky SPOLU</w:t>
            </w:r>
          </w:p>
        </w:tc>
        <w:tc>
          <w:tcPr>
            <w:tcW w:w="1440" w:type="dxa"/>
            <w:tcBorders>
              <w:top w:val="single" w:sz="4" w:space="0" w:color="auto"/>
            </w:tcBorders>
            <w:vAlign w:val="center"/>
          </w:tcPr>
          <w:p>
            <w:pPr>
              <w:spacing w:beforeLines="20" w:before="48" w:afterLines="20" w:after="48"/>
              <w:rPr>
                <w:noProof/>
                <w:sz w:val="18"/>
              </w:rPr>
            </w:pPr>
            <w:r>
              <w:rPr>
                <w:noProof/>
                <w:sz w:val="18"/>
              </w:rPr>
              <w:t>Záväzky</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1386"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b/>
                <w:noProof/>
                <w:sz w:val="20"/>
              </w:rPr>
            </w:pPr>
          </w:p>
        </w:tc>
        <w:tc>
          <w:tcPr>
            <w:tcW w:w="142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Administratívne rozpočtové prostriedky financované z balíka prostriedkov určených na implementáciu osobitných programov SPOLU</w:t>
            </w:r>
          </w:p>
        </w:tc>
        <w:tc>
          <w:tcPr>
            <w:tcW w:w="654" w:type="dxa"/>
            <w:vAlign w:val="center"/>
          </w:tcPr>
          <w:p>
            <w:pPr>
              <w:spacing w:beforeLines="20" w:before="48" w:afterLines="20" w:after="48"/>
              <w:jc w:val="center"/>
              <w:rPr>
                <w:noProof/>
                <w:sz w:val="14"/>
              </w:rPr>
            </w:pPr>
            <w:r>
              <w:rPr>
                <w:noProof/>
                <w:sz w:val="14"/>
              </w:rPr>
              <w:t>(6)</w:t>
            </w:r>
          </w:p>
        </w:tc>
        <w:tc>
          <w:tcPr>
            <w:tcW w:w="1386"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142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Rozpočtové prostriedky OKRUHOV 1 až 4 </w:t>
            </w:r>
            <w:r>
              <w:rPr>
                <w:noProof/>
                <w:sz w:val="22"/>
              </w:rPr>
              <w:t xml:space="preserve">viacročného finančného rámca </w:t>
            </w:r>
            <w:r>
              <w:rPr>
                <w:b/>
                <w:noProof/>
                <w:sz w:val="22"/>
              </w:rPr>
              <w:t>SPOLU</w:t>
            </w:r>
            <w:r>
              <w:rPr>
                <w:noProof/>
              </w:rPr>
              <w:t xml:space="preserve"> </w:t>
            </w:r>
            <w:r>
              <w:rPr>
                <w:noProof/>
              </w:rPr>
              <w:br/>
              <w:t xml:space="preserve"> </w:t>
            </w:r>
            <w:r>
              <w:rPr>
                <w:noProof/>
              </w:rPr>
              <w:br/>
            </w:r>
            <w:r>
              <w:rPr>
                <w:noProof/>
              </w:rPr>
              <w:br/>
            </w:r>
            <w:r>
              <w:rPr>
                <w:noProof/>
                <w:sz w:val="20"/>
              </w:rPr>
              <w:t>(referenčná suma)</w:t>
            </w:r>
          </w:p>
        </w:tc>
        <w:tc>
          <w:tcPr>
            <w:tcW w:w="1440" w:type="dxa"/>
            <w:vAlign w:val="center"/>
          </w:tcPr>
          <w:p>
            <w:pPr>
              <w:rPr>
                <w:noProof/>
                <w:sz w:val="18"/>
              </w:rPr>
            </w:pPr>
            <w:r>
              <w:rPr>
                <w:noProof/>
                <w:sz w:val="18"/>
              </w:rPr>
              <w:t>Záväzky</w:t>
            </w:r>
          </w:p>
        </w:tc>
        <w:tc>
          <w:tcPr>
            <w:tcW w:w="654" w:type="dxa"/>
            <w:vAlign w:val="center"/>
          </w:tcPr>
          <w:p>
            <w:pPr>
              <w:jc w:val="center"/>
              <w:rPr>
                <w:noProof/>
                <w:sz w:val="14"/>
              </w:rPr>
            </w:pPr>
            <w:r>
              <w:rPr>
                <w:noProof/>
                <w:sz w:val="14"/>
              </w:rPr>
              <w:t>= 4 + 6</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Platby</w:t>
            </w:r>
          </w:p>
        </w:tc>
        <w:tc>
          <w:tcPr>
            <w:tcW w:w="654" w:type="dxa"/>
            <w:tcBorders>
              <w:bottom w:val="single" w:sz="4" w:space="0" w:color="auto"/>
            </w:tcBorders>
            <w:vAlign w:val="center"/>
          </w:tcPr>
          <w:p>
            <w:pPr>
              <w:jc w:val="center"/>
              <w:rPr>
                <w:noProof/>
                <w:sz w:val="14"/>
              </w:rPr>
            </w:pPr>
            <w:r>
              <w:rPr>
                <w:noProof/>
                <w:sz w:val="14"/>
              </w:rPr>
              <w:t>= 5 + 6</w:t>
            </w:r>
          </w:p>
        </w:tc>
        <w:tc>
          <w:tcPr>
            <w:tcW w:w="1386"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960" w:type="dxa"/>
            <w:tcBorders>
              <w:bottom w:val="single" w:sz="4" w:space="0" w:color="auto"/>
            </w:tcBorders>
            <w:vAlign w:val="center"/>
          </w:tcPr>
          <w:p>
            <w:pPr>
              <w:spacing w:before="20" w:after="20"/>
              <w:jc w:val="right"/>
              <w:rPr>
                <w:b/>
                <w:noProof/>
                <w:sz w:val="20"/>
              </w:rPr>
            </w:pPr>
          </w:p>
        </w:tc>
        <w:tc>
          <w:tcPr>
            <w:tcW w:w="1427" w:type="dxa"/>
            <w:tcBorders>
              <w:bottom w:val="single" w:sz="4" w:space="0" w:color="auto"/>
              <w:right w:val="single" w:sz="4" w:space="0" w:color="auto"/>
            </w:tcBorders>
            <w:vAlign w:val="center"/>
          </w:tcPr>
          <w:p>
            <w:pPr>
              <w:spacing w:before="20" w:after="20"/>
              <w:jc w:val="right"/>
              <w:rPr>
                <w:b/>
                <w:noProof/>
                <w:sz w:val="20"/>
              </w:rPr>
            </w:pPr>
            <w:r>
              <w:rPr>
                <w:b/>
                <w:noProof/>
                <w:sz w:val="20"/>
              </w:rPr>
              <w:t>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 xml:space="preserve">Okruh viacročného finančného </w:t>
            </w:r>
            <w:r>
              <w:rPr>
                <w:noProof/>
              </w:rPr>
              <w:br/>
            </w:r>
            <w:r>
              <w:rPr>
                <w:b/>
                <w:noProof/>
              </w:rPr>
              <w:t xml:space="preserve">rámca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„Administratívne výdavky“</w:t>
            </w: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rPr>
              <w:br/>
            </w:r>
            <w:r>
              <w:rPr>
                <w:b/>
                <w:noProof/>
                <w:sz w:val="20"/>
              </w:rPr>
              <w:t>N</w:t>
            </w:r>
          </w:p>
        </w:tc>
        <w:tc>
          <w:tcPr>
            <w:tcW w:w="868" w:type="dxa"/>
            <w:vAlign w:val="center"/>
          </w:tcPr>
          <w:p>
            <w:pPr>
              <w:jc w:val="center"/>
              <w:rPr>
                <w:noProof/>
                <w:sz w:val="20"/>
              </w:rPr>
            </w:pPr>
            <w:r>
              <w:rPr>
                <w:noProof/>
                <w:sz w:val="20"/>
              </w:rPr>
              <w:t>Rok</w:t>
            </w:r>
            <w:r>
              <w:rPr>
                <w:noProof/>
              </w:rPr>
              <w:br/>
            </w:r>
            <w:r>
              <w:rPr>
                <w:b/>
                <w:noProof/>
                <w:sz w:val="20"/>
              </w:rPr>
              <w:t>N+1</w:t>
            </w:r>
          </w:p>
        </w:tc>
        <w:tc>
          <w:tcPr>
            <w:tcW w:w="868" w:type="dxa"/>
            <w:vAlign w:val="center"/>
          </w:tcPr>
          <w:p>
            <w:pPr>
              <w:jc w:val="center"/>
              <w:rPr>
                <w:noProof/>
                <w:sz w:val="20"/>
              </w:rPr>
            </w:pPr>
            <w:r>
              <w:rPr>
                <w:noProof/>
                <w:sz w:val="20"/>
              </w:rPr>
              <w:t>Rok</w:t>
            </w:r>
            <w:r>
              <w:rPr>
                <w:noProof/>
              </w:rPr>
              <w:br/>
            </w:r>
            <w:r>
              <w:rPr>
                <w:b/>
                <w:noProof/>
                <w:sz w:val="20"/>
              </w:rPr>
              <w:t>N+2</w:t>
            </w:r>
          </w:p>
        </w:tc>
        <w:tc>
          <w:tcPr>
            <w:tcW w:w="868" w:type="dxa"/>
            <w:vAlign w:val="center"/>
          </w:tcPr>
          <w:p>
            <w:pPr>
              <w:jc w:val="center"/>
              <w:rPr>
                <w:noProof/>
                <w:sz w:val="20"/>
              </w:rPr>
            </w:pPr>
            <w:r>
              <w:rPr>
                <w:noProof/>
                <w:sz w:val="20"/>
              </w:rPr>
              <w:t>Rok</w:t>
            </w:r>
            <w:r>
              <w:rPr>
                <w:noProof/>
              </w:rPr>
              <w:br/>
            </w:r>
            <w:r>
              <w:rPr>
                <w:b/>
                <w:noProof/>
                <w:sz w:val="20"/>
              </w:rPr>
              <w:t>N+3</w:t>
            </w:r>
          </w:p>
        </w:tc>
        <w:tc>
          <w:tcPr>
            <w:tcW w:w="2604" w:type="dxa"/>
            <w:gridSpan w:val="3"/>
            <w:vAlign w:val="center"/>
          </w:tcPr>
          <w:p>
            <w:pPr>
              <w:jc w:val="center"/>
              <w:rPr>
                <w:b/>
                <w:noProof/>
                <w:sz w:val="18"/>
              </w:rPr>
            </w:pPr>
            <w:r>
              <w:rPr>
                <w:noProof/>
                <w:sz w:val="18"/>
              </w:rPr>
              <w:t xml:space="preserve">Uveďte všetky roky, počas ktorých vplyv trvá (pozri bod 1.6) </w:t>
            </w:r>
          </w:p>
        </w:tc>
        <w:tc>
          <w:tcPr>
            <w:tcW w:w="1777" w:type="dxa"/>
            <w:vAlign w:val="center"/>
          </w:tcPr>
          <w:p>
            <w:pPr>
              <w:jc w:val="center"/>
              <w:rPr>
                <w:b/>
                <w:noProof/>
                <w:sz w:val="20"/>
              </w:rPr>
            </w:pPr>
            <w:r>
              <w:rPr>
                <w:b/>
                <w:noProof/>
                <w:sz w:val="20"/>
              </w:rPr>
              <w:t>SPOLU</w:t>
            </w:r>
          </w:p>
        </w:tc>
      </w:tr>
      <w:tr>
        <w:trPr>
          <w:gridAfter w:val="10"/>
          <w:wAfter w:w="9947" w:type="dxa"/>
        </w:trPr>
        <w:tc>
          <w:tcPr>
            <w:tcW w:w="3960" w:type="dxa"/>
            <w:vAlign w:val="center"/>
          </w:tcPr>
          <w:p>
            <w:pPr>
              <w:spacing w:before="60" w:after="60"/>
              <w:jc w:val="center"/>
              <w:rPr>
                <w:noProof/>
              </w:rPr>
            </w:pPr>
            <w:r>
              <w:rPr>
                <w:noProof/>
                <w:sz w:val="22"/>
              </w:rPr>
              <w:t xml:space="preserve">GR: </w:t>
            </w:r>
            <w:r>
              <w:rPr>
                <w:noProof/>
              </w:rPr>
              <w:t>&lt;…….&gt;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Ľudské zdroje</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Ostatné administratívne výdavky</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GR &lt;…….&gt; 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Rozpočtové prostriedky OKRUHU 5</w:t>
            </w:r>
            <w:r>
              <w:rPr>
                <w:noProof/>
                <w:sz w:val="22"/>
              </w:rPr>
              <w:t xml:space="preserve"> viacročného finančného rámca </w:t>
            </w:r>
            <w:r>
              <w:rPr>
                <w:b/>
                <w:noProof/>
                <w:sz w:val="22"/>
              </w:rPr>
              <w:t xml:space="preserve">SPOLU </w:t>
            </w:r>
          </w:p>
        </w:tc>
        <w:tc>
          <w:tcPr>
            <w:tcW w:w="2094" w:type="dxa"/>
            <w:vAlign w:val="center"/>
          </w:tcPr>
          <w:p>
            <w:pPr>
              <w:spacing w:before="40" w:after="40"/>
              <w:rPr>
                <w:noProof/>
              </w:rPr>
            </w:pPr>
            <w:r>
              <w:rPr>
                <w:noProof/>
                <w:sz w:val="18"/>
              </w:rPr>
              <w:t>(Záväzky spolu = Platby spolu)</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rPr>
              <w:br/>
            </w:r>
            <w:r>
              <w:rPr>
                <w:b/>
                <w:noProof/>
                <w:sz w:val="20"/>
              </w:rPr>
              <w:t>N</w:t>
            </w:r>
            <w:r>
              <w:rPr>
                <w:rStyle w:val="FootnoteReference"/>
                <w:b/>
                <w:noProof/>
                <w:sz w:val="20"/>
              </w:rPr>
              <w:footnoteReference w:id="15"/>
            </w:r>
          </w:p>
        </w:tc>
        <w:tc>
          <w:tcPr>
            <w:tcW w:w="868" w:type="dxa"/>
            <w:vAlign w:val="center"/>
          </w:tcPr>
          <w:p>
            <w:pPr>
              <w:jc w:val="center"/>
              <w:rPr>
                <w:noProof/>
                <w:sz w:val="20"/>
              </w:rPr>
            </w:pPr>
            <w:r>
              <w:rPr>
                <w:noProof/>
                <w:sz w:val="20"/>
              </w:rPr>
              <w:t>Rok</w:t>
            </w:r>
            <w:r>
              <w:rPr>
                <w:noProof/>
              </w:rPr>
              <w:br/>
            </w:r>
            <w:r>
              <w:rPr>
                <w:b/>
                <w:noProof/>
                <w:sz w:val="20"/>
              </w:rPr>
              <w:t>N+1</w:t>
            </w:r>
          </w:p>
        </w:tc>
        <w:tc>
          <w:tcPr>
            <w:tcW w:w="868" w:type="dxa"/>
            <w:vAlign w:val="center"/>
          </w:tcPr>
          <w:p>
            <w:pPr>
              <w:jc w:val="center"/>
              <w:rPr>
                <w:noProof/>
                <w:sz w:val="20"/>
              </w:rPr>
            </w:pPr>
            <w:r>
              <w:rPr>
                <w:noProof/>
                <w:sz w:val="20"/>
              </w:rPr>
              <w:t>Rok</w:t>
            </w:r>
            <w:r>
              <w:rPr>
                <w:noProof/>
              </w:rPr>
              <w:br/>
            </w:r>
            <w:r>
              <w:rPr>
                <w:b/>
                <w:noProof/>
                <w:sz w:val="20"/>
              </w:rPr>
              <w:t>N+2</w:t>
            </w:r>
          </w:p>
        </w:tc>
        <w:tc>
          <w:tcPr>
            <w:tcW w:w="868" w:type="dxa"/>
            <w:vAlign w:val="center"/>
          </w:tcPr>
          <w:p>
            <w:pPr>
              <w:jc w:val="center"/>
              <w:rPr>
                <w:noProof/>
                <w:sz w:val="20"/>
              </w:rPr>
            </w:pPr>
            <w:r>
              <w:rPr>
                <w:noProof/>
                <w:sz w:val="20"/>
              </w:rPr>
              <w:t>Rok</w:t>
            </w:r>
            <w:r>
              <w:rPr>
                <w:noProof/>
              </w:rPr>
              <w:br/>
            </w:r>
            <w:r>
              <w:rPr>
                <w:b/>
                <w:noProof/>
                <w:sz w:val="20"/>
              </w:rPr>
              <w:t>N+3</w:t>
            </w:r>
          </w:p>
        </w:tc>
        <w:tc>
          <w:tcPr>
            <w:tcW w:w="2604"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SPOLU</w:t>
            </w:r>
          </w:p>
        </w:tc>
      </w:tr>
      <w:tr>
        <w:tc>
          <w:tcPr>
            <w:tcW w:w="3960" w:type="dxa"/>
            <w:vMerge w:val="restart"/>
            <w:shd w:val="clear" w:color="auto" w:fill="C0C0C0"/>
            <w:vAlign w:val="center"/>
          </w:tcPr>
          <w:p>
            <w:pPr>
              <w:jc w:val="center"/>
              <w:rPr>
                <w:b/>
                <w:noProof/>
                <w:sz w:val="22"/>
              </w:rPr>
            </w:pPr>
            <w:r>
              <w:rPr>
                <w:b/>
                <w:noProof/>
                <w:sz w:val="22"/>
              </w:rPr>
              <w:t>Rozpočtové prostriedky OKRUHOV 1 až 5</w:t>
            </w:r>
            <w:r>
              <w:rPr>
                <w:noProof/>
                <w:sz w:val="22"/>
              </w:rPr>
              <w:t xml:space="preserve"> viacročného finančného rámca </w:t>
            </w:r>
            <w:r>
              <w:rPr>
                <w:b/>
                <w:noProof/>
                <w:sz w:val="22"/>
              </w:rPr>
              <w:t xml:space="preserve">SPOLU </w:t>
            </w:r>
          </w:p>
        </w:tc>
        <w:tc>
          <w:tcPr>
            <w:tcW w:w="2094" w:type="dxa"/>
            <w:gridSpan w:val="2"/>
            <w:vAlign w:val="center"/>
          </w:tcPr>
          <w:p>
            <w:pPr>
              <w:rPr>
                <w:noProof/>
                <w:sz w:val="14"/>
              </w:rPr>
            </w:pPr>
            <w:r>
              <w:rPr>
                <w:noProof/>
                <w:sz w:val="18"/>
              </w:rPr>
              <w:t>Záväzky</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Odhadovaný vplyv na operačné rozpočtové prostriedky </w:t>
      </w:r>
    </w:p>
    <w:p>
      <w:pPr>
        <w:pStyle w:val="ListDash1"/>
        <w:rPr>
          <w:noProof/>
        </w:rPr>
      </w:pPr>
      <w:r>
        <w:rPr>
          <w:noProof/>
        </w:rPr>
        <w:sym w:font="Wingdings" w:char="F0A8"/>
      </w:r>
      <w:r>
        <w:rPr>
          <w:noProof/>
        </w:rPr>
        <w:tab/>
        <w:t xml:space="preserve">Návrh/iniciatíva si nevyžaduje použitie operačných rozpočtových prostriedkov </w:t>
      </w:r>
    </w:p>
    <w:p>
      <w:pPr>
        <w:pStyle w:val="ListDash1"/>
        <w:rPr>
          <w:noProof/>
        </w:rPr>
      </w:pPr>
      <w:r>
        <w:rPr>
          <w:noProof/>
        </w:rPr>
        <w:sym w:font="Wingdings" w:char="F078"/>
      </w:r>
      <w:r>
        <w:rPr>
          <w:noProof/>
        </w:rPr>
        <w:tab/>
        <w:t>Návrh/iniciatíva si vyžaduje použitie operačných rozpočtových prostriedkov, ako je uvedené v nasledujúcej tabuľke:</w:t>
      </w:r>
    </w:p>
    <w:p>
      <w:pPr>
        <w:jc w:val="right"/>
        <w:rPr>
          <w:noProof/>
          <w:sz w:val="20"/>
        </w:rPr>
      </w:pPr>
      <w:r>
        <w:rPr>
          <w:noProof/>
          <w:sz w:val="20"/>
        </w:rPr>
        <w:t>viazané rozpočtové prostriedky v mil. EUR (zaokrúhlené na 3 desatinné miesta)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Uveďte ciele a výstupy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Rok</w:t>
            </w:r>
            <w:r>
              <w:rPr>
                <w:noProof/>
              </w:rPr>
              <w:br/>
            </w:r>
            <w:r>
              <w:rPr>
                <w:b/>
                <w:noProof/>
                <w:sz w:val="18"/>
              </w:rPr>
              <w:t>N</w:t>
            </w:r>
          </w:p>
        </w:tc>
        <w:tc>
          <w:tcPr>
            <w:tcW w:w="1260" w:type="dxa"/>
            <w:gridSpan w:val="2"/>
            <w:vAlign w:val="center"/>
          </w:tcPr>
          <w:p>
            <w:pPr>
              <w:ind w:right="-29"/>
              <w:jc w:val="center"/>
              <w:rPr>
                <w:noProof/>
                <w:sz w:val="18"/>
                <w:szCs w:val="18"/>
              </w:rPr>
            </w:pPr>
            <w:r>
              <w:rPr>
                <w:noProof/>
                <w:sz w:val="18"/>
              </w:rPr>
              <w:t>Rok</w:t>
            </w:r>
            <w:r>
              <w:rPr>
                <w:noProof/>
              </w:rPr>
              <w:br/>
            </w:r>
            <w:r>
              <w:rPr>
                <w:b/>
                <w:noProof/>
                <w:sz w:val="18"/>
              </w:rPr>
              <w:t>N+1</w:t>
            </w:r>
          </w:p>
        </w:tc>
        <w:tc>
          <w:tcPr>
            <w:tcW w:w="1440" w:type="dxa"/>
            <w:gridSpan w:val="2"/>
            <w:vAlign w:val="center"/>
          </w:tcPr>
          <w:p>
            <w:pPr>
              <w:ind w:right="-29"/>
              <w:jc w:val="center"/>
              <w:rPr>
                <w:noProof/>
                <w:sz w:val="18"/>
                <w:szCs w:val="18"/>
              </w:rPr>
            </w:pPr>
            <w:r>
              <w:rPr>
                <w:noProof/>
                <w:sz w:val="18"/>
              </w:rPr>
              <w:t>Rok</w:t>
            </w:r>
            <w:r>
              <w:rPr>
                <w:noProof/>
              </w:rPr>
              <w:br/>
            </w:r>
            <w:r>
              <w:rPr>
                <w:b/>
                <w:noProof/>
                <w:sz w:val="18"/>
              </w:rPr>
              <w:t>N+2</w:t>
            </w:r>
          </w:p>
        </w:tc>
        <w:tc>
          <w:tcPr>
            <w:tcW w:w="1620" w:type="dxa"/>
            <w:gridSpan w:val="3"/>
            <w:vAlign w:val="center"/>
          </w:tcPr>
          <w:p>
            <w:pPr>
              <w:ind w:right="-29"/>
              <w:jc w:val="center"/>
              <w:rPr>
                <w:noProof/>
                <w:sz w:val="18"/>
                <w:szCs w:val="18"/>
              </w:rPr>
            </w:pPr>
            <w:r>
              <w:rPr>
                <w:noProof/>
                <w:sz w:val="18"/>
              </w:rPr>
              <w:t>Rok</w:t>
            </w:r>
            <w:r>
              <w:rPr>
                <w:noProof/>
              </w:rPr>
              <w:br/>
            </w:r>
            <w:r>
              <w:rPr>
                <w:b/>
                <w:noProof/>
                <w:sz w:val="18"/>
              </w:rPr>
              <w:t>N+3</w:t>
            </w:r>
          </w:p>
        </w:tc>
        <w:tc>
          <w:tcPr>
            <w:tcW w:w="3600" w:type="dxa"/>
            <w:gridSpan w:val="6"/>
            <w:vAlign w:val="center"/>
          </w:tcPr>
          <w:p>
            <w:pPr>
              <w:jc w:val="center"/>
              <w:rPr>
                <w:noProof/>
                <w:sz w:val="18"/>
                <w:szCs w:val="18"/>
              </w:rPr>
            </w:pPr>
            <w:r>
              <w:rPr>
                <w:noProof/>
                <w:sz w:val="18"/>
              </w:rPr>
              <w:t>Uveďte všetky roky, počas ktorých vplyv trvá (pozri bod 1.6)</w:t>
            </w:r>
          </w:p>
        </w:tc>
        <w:tc>
          <w:tcPr>
            <w:tcW w:w="1620" w:type="dxa"/>
            <w:gridSpan w:val="2"/>
            <w:tcBorders>
              <w:left w:val="nil"/>
              <w:bottom w:val="nil"/>
            </w:tcBorders>
            <w:vAlign w:val="center"/>
          </w:tcPr>
          <w:p>
            <w:pPr>
              <w:ind w:right="-29"/>
              <w:jc w:val="center"/>
              <w:rPr>
                <w:noProof/>
                <w:sz w:val="18"/>
                <w:szCs w:val="18"/>
              </w:rPr>
            </w:pPr>
            <w:r>
              <w:rPr>
                <w:b/>
                <w:noProof/>
                <w:sz w:val="18"/>
              </w:rPr>
              <w:t>SPOLU</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VÝSTUPY</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Druh</w:t>
            </w:r>
            <w:r>
              <w:rPr>
                <w:rStyle w:val="FootnoteReference"/>
                <w:noProof/>
                <w:sz w:val="18"/>
              </w:rPr>
              <w:footnoteReference w:id="16"/>
            </w:r>
          </w:p>
          <w:p>
            <w:pPr>
              <w:spacing w:before="0" w:after="0"/>
              <w:jc w:val="center"/>
              <w:rPr>
                <w:noProof/>
                <w:sz w:val="18"/>
                <w:szCs w:val="18"/>
              </w:rPr>
            </w:pPr>
          </w:p>
        </w:tc>
        <w:tc>
          <w:tcPr>
            <w:tcW w:w="701" w:type="dxa"/>
            <w:vAlign w:val="center"/>
          </w:tcPr>
          <w:p>
            <w:pPr>
              <w:jc w:val="center"/>
              <w:rPr>
                <w:noProof/>
                <w:sz w:val="18"/>
                <w:szCs w:val="18"/>
              </w:rPr>
            </w:pPr>
            <w:r>
              <w:rPr>
                <w:noProof/>
                <w:sz w:val="18"/>
              </w:rPr>
              <w:t>Priemerné náklady</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648"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Spolu</w:t>
            </w:r>
          </w:p>
        </w:tc>
        <w:tc>
          <w:tcPr>
            <w:tcW w:w="900" w:type="dxa"/>
            <w:tcBorders>
              <w:left w:val="dashSmallGap" w:sz="4" w:space="0" w:color="auto"/>
            </w:tcBorders>
            <w:shd w:val="pct10" w:color="auto" w:fill="auto"/>
            <w:vAlign w:val="center"/>
          </w:tcPr>
          <w:p>
            <w:pPr>
              <w:jc w:val="center"/>
              <w:rPr>
                <w:noProof/>
                <w:sz w:val="18"/>
                <w:szCs w:val="18"/>
              </w:rPr>
            </w:pPr>
            <w:r>
              <w:rPr>
                <w:noProof/>
                <w:sz w:val="18"/>
              </w:rPr>
              <w:t>Náklady spolu</w:t>
            </w:r>
          </w:p>
        </w:tc>
      </w:tr>
      <w:tr>
        <w:trPr>
          <w:jc w:val="center"/>
        </w:trPr>
        <w:tc>
          <w:tcPr>
            <w:tcW w:w="2844" w:type="dxa"/>
            <w:gridSpan w:val="3"/>
            <w:vAlign w:val="center"/>
          </w:tcPr>
          <w:p>
            <w:pPr>
              <w:spacing w:before="60" w:after="60"/>
              <w:ind w:right="-29"/>
              <w:jc w:val="center"/>
              <w:rPr>
                <w:noProof/>
                <w:sz w:val="18"/>
                <w:szCs w:val="18"/>
              </w:rPr>
            </w:pPr>
            <w:r>
              <w:rPr>
                <w:noProof/>
                <w:sz w:val="18"/>
              </w:rPr>
              <w:t>ŠPECIFICKÝ CIEĽ č. 1</w:t>
            </w:r>
            <w:r>
              <w:rPr>
                <w:rStyle w:val="FootnoteReference"/>
                <w:noProof/>
                <w:sz w:val="18"/>
              </w:rPr>
              <w:footnoteReference w:id="17"/>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Špecifický cieľ č. 1 medzisúčet</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ŠPECIFICKÝ CIEĽ č.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Špecifický cieľ č. 2 medzisúčet</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NÁKLADY SPOLU</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Odhadovaný vplyv na administratívne rozpočtové prostriedky</w:t>
      </w:r>
    </w:p>
    <w:p>
      <w:pPr>
        <w:pStyle w:val="ManualHeading4"/>
        <w:rPr>
          <w:noProof/>
        </w:rPr>
      </w:pPr>
      <w:r>
        <w:rPr>
          <w:noProof/>
        </w:rPr>
        <w:t>3.2.3.1.</w:t>
      </w:r>
      <w:r>
        <w:rPr>
          <w:noProof/>
        </w:rPr>
        <w:tab/>
        <w:t xml:space="preserve">Zhrnutie </w:t>
      </w:r>
    </w:p>
    <w:p>
      <w:pPr>
        <w:pStyle w:val="ListDash1"/>
        <w:rPr>
          <w:noProof/>
        </w:rPr>
      </w:pPr>
      <w:r>
        <w:rPr>
          <w:noProof/>
        </w:rPr>
        <w:sym w:font="Wingdings" w:char="F078"/>
      </w:r>
      <w:r>
        <w:rPr>
          <w:noProof/>
        </w:rPr>
        <w:tab/>
        <w:t xml:space="preserve">Návrh/iniciatíva si nevyžaduje použitie administratívnych rozpočtových prostriedkov. </w:t>
      </w:r>
    </w:p>
    <w:p>
      <w:pPr>
        <w:pStyle w:val="ListDash1"/>
        <w:rPr>
          <w:noProof/>
        </w:rPr>
      </w:pPr>
      <w:r>
        <w:rPr>
          <w:noProof/>
        </w:rPr>
        <w:sym w:font="Wingdings" w:char="F0A8"/>
      </w:r>
      <w:r>
        <w:rPr>
          <w:noProof/>
        </w:rPr>
        <w:tab/>
        <w:t>Návrh/iniciatíva si vyžaduje použitie administratívnych rozpočtových prostriedkov, ako je uvedené v nasledujúcej tabuľke:</w:t>
      </w:r>
    </w:p>
    <w:p>
      <w:pPr>
        <w:rPr>
          <w:noProof/>
          <w:sz w:val="20"/>
        </w:rPr>
      </w:pPr>
      <w:r>
        <w:rPr>
          <w:noProof/>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Rok</w:t>
            </w:r>
            <w:r>
              <w:rPr>
                <w:noProof/>
              </w:rPr>
              <w:br/>
            </w:r>
            <w:r>
              <w:rPr>
                <w:b/>
                <w:noProof/>
                <w:sz w:val="16"/>
              </w:rPr>
              <w:t xml:space="preserve">N </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sz w:val="16"/>
              </w:rPr>
              <w:t>Rok</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Rok</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Rok</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Uveďte všetky roky, počas ktorých vplyv trvá (pozri bod 1.6)</w:t>
            </w:r>
          </w:p>
        </w:tc>
        <w:tc>
          <w:tcPr>
            <w:tcW w:w="1080" w:type="dxa"/>
            <w:vAlign w:val="center"/>
          </w:tcPr>
          <w:p>
            <w:pPr>
              <w:spacing w:before="60" w:after="60" w:line="200" w:lineRule="exact"/>
              <w:jc w:val="center"/>
              <w:rPr>
                <w:b/>
                <w:noProof/>
                <w:sz w:val="16"/>
                <w:szCs w:val="16"/>
              </w:rPr>
            </w:pPr>
            <w:r>
              <w:rPr>
                <w:b/>
                <w:noProof/>
                <w:sz w:val="16"/>
              </w:rPr>
              <w:t>SPOLU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20"/>
                <w:szCs w:val="20"/>
              </w:rPr>
            </w:pPr>
            <w:r>
              <w:rPr>
                <w:b/>
                <w:noProof/>
                <w:sz w:val="20"/>
                <w:szCs w:val="20"/>
              </w:rPr>
              <w:t>OKRUH 5</w:t>
            </w:r>
            <w:r>
              <w:rPr>
                <w:noProof/>
                <w:sz w:val="20"/>
                <w:szCs w:val="20"/>
              </w:rPr>
              <w:br/>
            </w:r>
            <w:r>
              <w:rPr>
                <w:b/>
                <w:noProof/>
                <w:sz w:val="20"/>
                <w:szCs w:val="20"/>
              </w:rPr>
              <w:t>viacročného finančného rámca</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p>
        </w:tc>
      </w:tr>
      <w:tr>
        <w:trPr>
          <w:trHeight w:val="585"/>
        </w:trPr>
        <w:tc>
          <w:tcPr>
            <w:tcW w:w="1980" w:type="dxa"/>
            <w:vAlign w:val="center"/>
          </w:tcPr>
          <w:p>
            <w:pPr>
              <w:spacing w:before="60" w:after="60" w:line="200" w:lineRule="exact"/>
              <w:ind w:left="72"/>
              <w:jc w:val="left"/>
              <w:rPr>
                <w:noProof/>
                <w:sz w:val="20"/>
                <w:szCs w:val="20"/>
              </w:rPr>
            </w:pPr>
            <w:r>
              <w:rPr>
                <w:noProof/>
                <w:sz w:val="20"/>
                <w:szCs w:val="20"/>
              </w:rPr>
              <w:t xml:space="preserve">Ľudské zdroje </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p>
        </w:tc>
      </w:tr>
      <w:tr>
        <w:trPr>
          <w:trHeight w:val="585"/>
        </w:trPr>
        <w:tc>
          <w:tcPr>
            <w:tcW w:w="1980" w:type="dxa"/>
            <w:vAlign w:val="center"/>
          </w:tcPr>
          <w:p>
            <w:pPr>
              <w:spacing w:before="60" w:after="60" w:line="200" w:lineRule="exact"/>
              <w:ind w:left="72"/>
              <w:jc w:val="left"/>
              <w:rPr>
                <w:noProof/>
                <w:sz w:val="20"/>
                <w:szCs w:val="20"/>
              </w:rPr>
            </w:pPr>
            <w:r>
              <w:rPr>
                <w:noProof/>
                <w:sz w:val="20"/>
                <w:szCs w:val="20"/>
              </w:rPr>
              <w:t xml:space="preserve">Ostatné administratívne výdavky </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p>
        </w:tc>
      </w:tr>
      <w:tr>
        <w:trPr>
          <w:trHeight w:val="585"/>
        </w:trPr>
        <w:tc>
          <w:tcPr>
            <w:tcW w:w="1980" w:type="dxa"/>
            <w:shd w:val="clear" w:color="auto" w:fill="CCCCCC"/>
            <w:vAlign w:val="center"/>
          </w:tcPr>
          <w:p>
            <w:pPr>
              <w:spacing w:before="60" w:after="60" w:line="200" w:lineRule="exact"/>
              <w:jc w:val="center"/>
              <w:rPr>
                <w:b/>
                <w:noProof/>
                <w:sz w:val="20"/>
                <w:szCs w:val="20"/>
              </w:rPr>
            </w:pPr>
            <w:r>
              <w:rPr>
                <w:b/>
                <w:noProof/>
                <w:sz w:val="20"/>
                <w:szCs w:val="20"/>
              </w:rPr>
              <w:t>Medzisúčet OKRUHU 5</w:t>
            </w:r>
            <w:r>
              <w:rPr>
                <w:noProof/>
                <w:sz w:val="20"/>
                <w:szCs w:val="20"/>
              </w:rPr>
              <w:br/>
            </w:r>
            <w:r>
              <w:rPr>
                <w:b/>
                <w:noProof/>
                <w:sz w:val="20"/>
                <w:szCs w:val="20"/>
              </w:rPr>
              <w:t xml:space="preserve">viacročného finančného rámca </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p>
        </w:tc>
      </w:tr>
    </w:tbl>
    <w:p>
      <w:pPr>
        <w:spacing w:line="200" w:lineRule="exact"/>
        <w:rPr>
          <w:noProof/>
          <w:sz w:val="20"/>
          <w:szCs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20"/>
                <w:szCs w:val="20"/>
              </w:rPr>
            </w:pPr>
            <w:r>
              <w:rPr>
                <w:b/>
                <w:noProof/>
                <w:sz w:val="20"/>
                <w:szCs w:val="20"/>
              </w:rPr>
              <w:t>Mimo OKRUHU 5</w:t>
            </w:r>
            <w:r>
              <w:rPr>
                <w:rStyle w:val="FootnoteReference"/>
                <w:b/>
                <w:noProof/>
                <w:sz w:val="20"/>
                <w:szCs w:val="16"/>
              </w:rPr>
              <w:footnoteReference w:id="19"/>
            </w:r>
            <w:r>
              <w:rPr>
                <w:noProof/>
                <w:sz w:val="20"/>
                <w:szCs w:val="20"/>
              </w:rPr>
              <w:br/>
            </w:r>
            <w:r>
              <w:rPr>
                <w:b/>
                <w:noProof/>
                <w:sz w:val="20"/>
                <w:szCs w:val="20"/>
              </w:rPr>
              <w:t xml:space="preserve">viacročného finančného rámca </w:t>
            </w:r>
          </w:p>
          <w:p>
            <w:pPr>
              <w:spacing w:before="0" w:after="0" w:line="200" w:lineRule="exact"/>
              <w:jc w:val="center"/>
              <w:rPr>
                <w:b/>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p>
        </w:tc>
      </w:tr>
      <w:tr>
        <w:trPr>
          <w:trHeight w:val="585"/>
        </w:trPr>
        <w:tc>
          <w:tcPr>
            <w:tcW w:w="1980" w:type="dxa"/>
            <w:vAlign w:val="center"/>
          </w:tcPr>
          <w:p>
            <w:pPr>
              <w:spacing w:before="60" w:after="60" w:line="200" w:lineRule="exact"/>
              <w:ind w:left="72"/>
              <w:jc w:val="left"/>
              <w:rPr>
                <w:noProof/>
                <w:sz w:val="20"/>
                <w:szCs w:val="20"/>
              </w:rPr>
            </w:pPr>
            <w:r>
              <w:rPr>
                <w:noProof/>
                <w:sz w:val="20"/>
                <w:szCs w:val="20"/>
              </w:rPr>
              <w:t xml:space="preserve">Ľudské zdroje </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p>
        </w:tc>
      </w:tr>
      <w:tr>
        <w:trPr>
          <w:trHeight w:val="585"/>
        </w:trPr>
        <w:tc>
          <w:tcPr>
            <w:tcW w:w="1980" w:type="dxa"/>
            <w:vAlign w:val="center"/>
          </w:tcPr>
          <w:p>
            <w:pPr>
              <w:spacing w:before="60" w:after="60" w:line="200" w:lineRule="exact"/>
              <w:ind w:left="72"/>
              <w:jc w:val="left"/>
              <w:rPr>
                <w:noProof/>
                <w:sz w:val="20"/>
                <w:szCs w:val="20"/>
              </w:rPr>
            </w:pPr>
            <w:r>
              <w:rPr>
                <w:noProof/>
                <w:sz w:val="20"/>
                <w:szCs w:val="20"/>
              </w:rPr>
              <w:t xml:space="preserve">Ostatné </w:t>
            </w:r>
            <w:r>
              <w:rPr>
                <w:noProof/>
                <w:sz w:val="20"/>
                <w:szCs w:val="20"/>
              </w:rPr>
              <w:br/>
              <w:t>administratívne výdavky</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p>
        </w:tc>
      </w:tr>
      <w:tr>
        <w:trPr>
          <w:trHeight w:val="585"/>
        </w:trPr>
        <w:tc>
          <w:tcPr>
            <w:tcW w:w="1980" w:type="dxa"/>
            <w:shd w:val="clear" w:color="auto" w:fill="CCCCCC"/>
            <w:vAlign w:val="center"/>
          </w:tcPr>
          <w:p>
            <w:pPr>
              <w:spacing w:before="60" w:after="60" w:line="200" w:lineRule="exact"/>
              <w:jc w:val="center"/>
              <w:rPr>
                <w:b/>
                <w:noProof/>
                <w:sz w:val="20"/>
                <w:szCs w:val="20"/>
              </w:rPr>
            </w:pPr>
            <w:r>
              <w:rPr>
                <w:b/>
                <w:noProof/>
                <w:sz w:val="20"/>
                <w:szCs w:val="20"/>
              </w:rPr>
              <w:t>Medzisúčet</w:t>
            </w:r>
            <w:r>
              <w:rPr>
                <w:noProof/>
                <w:sz w:val="20"/>
                <w:szCs w:val="20"/>
              </w:rPr>
              <w:br/>
            </w:r>
            <w:r>
              <w:rPr>
                <w:b/>
                <w:noProof/>
                <w:sz w:val="20"/>
                <w:szCs w:val="20"/>
              </w:rPr>
              <w:t>Mimo OKRUHU 5</w:t>
            </w:r>
            <w:r>
              <w:rPr>
                <w:noProof/>
                <w:sz w:val="20"/>
                <w:szCs w:val="20"/>
              </w:rPr>
              <w:br/>
            </w:r>
            <w:r>
              <w:rPr>
                <w:b/>
                <w:noProof/>
                <w:sz w:val="20"/>
                <w:szCs w:val="20"/>
              </w:rPr>
              <w:t xml:space="preserve">viacročného finančného rámca </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w:t>
      </w:r>
      <w:r>
        <w:rPr>
          <w:noProof/>
        </w:rPr>
        <w:tab/>
      </w:r>
    </w:p>
    <w:p>
      <w:pPr>
        <w:pStyle w:val="ManualHeading4"/>
        <w:rPr>
          <w:bCs/>
          <w:noProof/>
          <w:szCs w:val="24"/>
        </w:rPr>
      </w:pPr>
      <w:r>
        <w:rPr>
          <w:noProof/>
        </w:rPr>
        <w:t>3.2.3.2.</w:t>
      </w:r>
      <w:r>
        <w:rPr>
          <w:noProof/>
        </w:rPr>
        <w:tab/>
        <w:t>Odhadované potreby ľudských zdrojov</w:t>
      </w:r>
    </w:p>
    <w:p>
      <w:pPr>
        <w:pStyle w:val="ListDash1"/>
        <w:rPr>
          <w:noProof/>
        </w:rPr>
      </w:pPr>
      <w:r>
        <w:rPr>
          <w:noProof/>
        </w:rPr>
        <w:sym w:font="Wingdings" w:char="F078"/>
      </w:r>
      <w:r>
        <w:rPr>
          <w:noProof/>
        </w:rPr>
        <w:tab/>
        <w:t xml:space="preserve">Návrh/iniciatíva si nevyžaduje použitie ľudských zdrojov. </w:t>
      </w:r>
    </w:p>
    <w:p>
      <w:pPr>
        <w:pStyle w:val="ListDash1"/>
        <w:rPr>
          <w:noProof/>
        </w:rPr>
      </w:pPr>
      <w:r>
        <w:rPr>
          <w:noProof/>
        </w:rPr>
        <w:sym w:font="Wingdings" w:char="F0A8"/>
      </w:r>
      <w:r>
        <w:rPr>
          <w:noProof/>
        </w:rPr>
        <w:tab/>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Rok</w:t>
            </w:r>
            <w:r>
              <w:rPr>
                <w:noProof/>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Rok</w:t>
            </w:r>
            <w:r>
              <w:rPr>
                <w:noProof/>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Rok </w:t>
            </w:r>
            <w:r>
              <w:rPr>
                <w:b/>
                <w:noProof/>
                <w:sz w:val="16"/>
              </w:rPr>
              <w:t>N + 2</w:t>
            </w:r>
          </w:p>
        </w:tc>
        <w:tc>
          <w:tcPr>
            <w:tcW w:w="226" w:type="pct"/>
            <w:shd w:val="clear" w:color="auto" w:fill="auto"/>
            <w:vAlign w:val="center"/>
          </w:tcPr>
          <w:p>
            <w:pPr>
              <w:spacing w:before="20" w:after="20"/>
              <w:jc w:val="center"/>
              <w:rPr>
                <w:noProof/>
                <w:sz w:val="16"/>
                <w:szCs w:val="16"/>
              </w:rPr>
            </w:pPr>
            <w:r>
              <w:rPr>
                <w:noProof/>
                <w:sz w:val="16"/>
              </w:rPr>
              <w:t xml:space="preserve">Rok </w:t>
            </w:r>
            <w:r>
              <w:rPr>
                <w:b/>
                <w:noProof/>
                <w:sz w:val="16"/>
              </w:rPr>
              <w:t>N + 3</w:t>
            </w:r>
          </w:p>
        </w:tc>
        <w:tc>
          <w:tcPr>
            <w:tcW w:w="345" w:type="pct"/>
            <w:gridSpan w:val="3"/>
            <w:shd w:val="clear" w:color="auto" w:fill="auto"/>
            <w:vAlign w:val="center"/>
          </w:tcPr>
          <w:p>
            <w:pPr>
              <w:jc w:val="center"/>
              <w:rPr>
                <w:b/>
                <w:noProof/>
                <w:sz w:val="16"/>
                <w:szCs w:val="16"/>
              </w:rPr>
            </w:pPr>
            <w:r>
              <w:rPr>
                <w:noProof/>
                <w:sz w:val="16"/>
              </w:rPr>
              <w:t>Uveďte všetky roky, počas ktorých vplyv trvá (pozri bod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Plán pracovných miest (úradníci a dočasní zamestnanci)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(ústredie a zastúpenia Komisie)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(delegácie)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Externí zamestnanci (ekvivalent plného pracovného času - EPPČ)</w:t>
            </w:r>
            <w:r>
              <w:rPr>
                <w:rStyle w:val="FootnoteReference"/>
                <w:b/>
                <w:noProof/>
                <w:sz w:val="16"/>
              </w:rPr>
              <w:footnoteReference w:id="20"/>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(ZZ, VNE, DAZ z celkového balíka prostriedkov)</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(ZZ, MZ, VNE, DAZ, PED v delegáciách)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ústredie</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delegácie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(ZZ, VNE, DAZ – nepriamy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(ZZ, VNE, DAZ – 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Iné rozpočtové riadky (uveďte)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SPOLU</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predstavuje príslušnú oblasť politiky alebo rozpočtovú hlavu.</w:t>
      </w:r>
    </w:p>
    <w:p>
      <w:pPr>
        <w:pStyle w:val="Text1"/>
        <w:rPr>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rPr>
                <w:noProof/>
                <w:sz w:val="20"/>
              </w:rPr>
            </w:pPr>
          </w:p>
        </w:tc>
      </w:tr>
      <w:tr>
        <w:tc>
          <w:tcPr>
            <w:tcW w:w="3240" w:type="dxa"/>
          </w:tcPr>
          <w:p>
            <w:pPr>
              <w:spacing w:before="60" w:after="60"/>
              <w:rPr>
                <w:noProof/>
                <w:sz w:val="20"/>
              </w:rPr>
            </w:pPr>
            <w:r>
              <w:rPr>
                <w:noProof/>
                <w:sz w:val="20"/>
              </w:rPr>
              <w:t>Externí zamestnanci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Súlad s platným viacročným finančným rámcom </w:t>
      </w:r>
    </w:p>
    <w:p>
      <w:pPr>
        <w:pStyle w:val="ListDash1"/>
        <w:rPr>
          <w:noProof/>
        </w:rPr>
      </w:pPr>
      <w:r>
        <w:rPr>
          <w:noProof/>
        </w:rPr>
        <w:sym w:font="Wingdings" w:char="F078"/>
      </w:r>
      <w:r>
        <w:rPr>
          <w:noProof/>
        </w:rPr>
        <w:tab/>
        <w:t>Návrh/iniciatíva je v súlade s platným viacročným finančným rámcom.</w:t>
      </w:r>
    </w:p>
    <w:p>
      <w:pPr>
        <w:pStyle w:val="ListDash1"/>
        <w:rPr>
          <w:noProof/>
        </w:rPr>
      </w:pPr>
      <w:r>
        <w:rPr>
          <w:noProof/>
        </w:rPr>
        <w:sym w:font="Wingdings" w:char="F0A8"/>
      </w:r>
      <w:r>
        <w:rPr>
          <w:noProof/>
        </w:rPr>
        <w:tab/>
        <w:t>Návrh/iniciatíva si vyžaduje zmenu v plánovaní príslušného okruhu vo viacročnom finančnom rámci.</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požadovanú zmenu v plánovaní a uveďte príslušné rozpočtové riadky a zodpovedajúce sumy.</w:t>
      </w:r>
    </w:p>
    <w:p>
      <w:pPr>
        <w:pStyle w:val="ListDash1"/>
        <w:rPr>
          <w:noProof/>
        </w:rPr>
      </w:pPr>
      <w:r>
        <w:rPr>
          <w:noProof/>
        </w:rPr>
        <w:sym w:font="Wingdings" w:char="F0A8"/>
      </w:r>
      <w:r>
        <w:rPr>
          <w:noProof/>
        </w:rPr>
        <w:tab/>
        <w:t>Návrh/iniciatíva si vyžaduje, aby sa použil nástroj flexibility alebo aby sa uskutočnila revízia viacročného finančného rámca.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potrebu a uveďte príslušné okruhy, rozpočtové riadky a zodpovedajúce sumy.</w:t>
      </w:r>
    </w:p>
    <w:p>
      <w:pPr>
        <w:pStyle w:val="ManualHeading3"/>
        <w:rPr>
          <w:bCs/>
          <w:noProof/>
          <w:szCs w:val="24"/>
        </w:rPr>
      </w:pPr>
      <w:r>
        <w:rPr>
          <w:noProof/>
        </w:rPr>
        <w:t>3.2.5.</w:t>
      </w:r>
      <w:r>
        <w:rPr>
          <w:noProof/>
        </w:rPr>
        <w:tab/>
        <w:t xml:space="preserve">Príspevky od tretích strán </w:t>
      </w:r>
    </w:p>
    <w:p>
      <w:pPr>
        <w:pStyle w:val="ListDash1"/>
        <w:rPr>
          <w:noProof/>
        </w:rPr>
      </w:pPr>
      <w:r>
        <w:rPr>
          <w:noProof/>
        </w:rPr>
        <w:t xml:space="preserve">Návrh/iniciatíva nezahŕňa spolufinancovanie tretími stranami. </w:t>
      </w:r>
    </w:p>
    <w:p>
      <w:pPr>
        <w:pStyle w:val="ListDash1"/>
        <w:rPr>
          <w:noProof/>
        </w:rPr>
      </w:pPr>
      <w:r>
        <w:rPr>
          <w:noProof/>
        </w:rPr>
        <w:t>Návrh/iniciatíva zahŕňa spolufinancovanie tretími stranami, ako je odhadnuté v nasledujúcej tabuľke:</w:t>
      </w:r>
    </w:p>
    <w:p>
      <w:pPr>
        <w:jc w:val="right"/>
        <w:rPr>
          <w:noProof/>
          <w:sz w:val="20"/>
        </w:rPr>
      </w:pPr>
      <w:r>
        <w:rPr>
          <w:noProof/>
          <w:sz w:val="20"/>
        </w:rPr>
        <w:t>rozpočtové prostriedky 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rPr>
              <w:br/>
            </w:r>
            <w:r>
              <w:rPr>
                <w:b/>
                <w:noProof/>
                <w:sz w:val="20"/>
              </w:rPr>
              <w:t>N</w:t>
            </w:r>
          </w:p>
        </w:tc>
        <w:tc>
          <w:tcPr>
            <w:tcW w:w="964" w:type="dxa"/>
            <w:vAlign w:val="center"/>
          </w:tcPr>
          <w:p>
            <w:pPr>
              <w:jc w:val="center"/>
              <w:rPr>
                <w:noProof/>
                <w:sz w:val="20"/>
              </w:rPr>
            </w:pPr>
            <w:r>
              <w:rPr>
                <w:noProof/>
                <w:sz w:val="20"/>
              </w:rPr>
              <w:t>Rok</w:t>
            </w:r>
            <w:r>
              <w:rPr>
                <w:noProof/>
              </w:rPr>
              <w:br/>
            </w:r>
            <w:r>
              <w:rPr>
                <w:b/>
                <w:noProof/>
                <w:sz w:val="20"/>
              </w:rPr>
              <w:t>N+1</w:t>
            </w:r>
          </w:p>
        </w:tc>
        <w:tc>
          <w:tcPr>
            <w:tcW w:w="964" w:type="dxa"/>
            <w:vAlign w:val="center"/>
          </w:tcPr>
          <w:p>
            <w:pPr>
              <w:jc w:val="center"/>
              <w:rPr>
                <w:noProof/>
                <w:sz w:val="20"/>
              </w:rPr>
            </w:pPr>
            <w:r>
              <w:rPr>
                <w:noProof/>
                <w:sz w:val="20"/>
              </w:rPr>
              <w:t>Rok</w:t>
            </w:r>
            <w:r>
              <w:rPr>
                <w:noProof/>
              </w:rPr>
              <w:br/>
            </w:r>
            <w:r>
              <w:rPr>
                <w:b/>
                <w:noProof/>
                <w:sz w:val="20"/>
              </w:rPr>
              <w:t>N+2</w:t>
            </w:r>
          </w:p>
        </w:tc>
        <w:tc>
          <w:tcPr>
            <w:tcW w:w="964" w:type="dxa"/>
            <w:vAlign w:val="center"/>
          </w:tcPr>
          <w:p>
            <w:pPr>
              <w:jc w:val="center"/>
              <w:rPr>
                <w:noProof/>
                <w:sz w:val="20"/>
              </w:rPr>
            </w:pPr>
            <w:r>
              <w:rPr>
                <w:noProof/>
                <w:sz w:val="20"/>
              </w:rPr>
              <w:t>Rok</w:t>
            </w:r>
            <w:r>
              <w:rPr>
                <w:noProof/>
              </w:rPr>
              <w:br/>
            </w:r>
            <w:r>
              <w:rPr>
                <w:b/>
                <w:noProof/>
                <w:sz w:val="20"/>
              </w:rPr>
              <w:t>N+3</w:t>
            </w:r>
          </w:p>
        </w:tc>
        <w:tc>
          <w:tcPr>
            <w:tcW w:w="2892" w:type="dxa"/>
            <w:gridSpan w:val="3"/>
            <w:vAlign w:val="center"/>
          </w:tcPr>
          <w:p>
            <w:pPr>
              <w:jc w:val="center"/>
              <w:rPr>
                <w:b/>
                <w:noProof/>
                <w:sz w:val="20"/>
              </w:rPr>
            </w:pPr>
            <w:r>
              <w:rPr>
                <w:noProof/>
                <w:sz w:val="20"/>
              </w:rPr>
              <w:t>Uveďte všetky roky, počas ktorých vplyv trvá (pozri bod 1.6)</w:t>
            </w:r>
          </w:p>
        </w:tc>
        <w:tc>
          <w:tcPr>
            <w:tcW w:w="1158" w:type="dxa"/>
            <w:vAlign w:val="center"/>
          </w:tcPr>
          <w:p>
            <w:pPr>
              <w:spacing w:before="60" w:after="60"/>
              <w:jc w:val="center"/>
              <w:rPr>
                <w:noProof/>
                <w:sz w:val="20"/>
              </w:rPr>
            </w:pPr>
            <w:r>
              <w:rPr>
                <w:noProof/>
                <w:sz w:val="20"/>
              </w:rPr>
              <w:t>Spolu</w:t>
            </w:r>
          </w:p>
        </w:tc>
      </w:tr>
      <w:tr>
        <w:trPr>
          <w:cantSplit/>
        </w:trPr>
        <w:tc>
          <w:tcPr>
            <w:tcW w:w="2340" w:type="dxa"/>
          </w:tcPr>
          <w:p>
            <w:pPr>
              <w:rPr>
                <w:noProof/>
              </w:rPr>
            </w:pPr>
            <w:r>
              <w:rPr>
                <w:noProof/>
                <w:sz w:val="20"/>
              </w:rPr>
              <w:t>Uveďte spolufinancujúci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Prostriedky zo spolufinancovania SPOLU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Heading2"/>
        <w:rPr>
          <w:bCs/>
          <w:noProof/>
          <w:szCs w:val="24"/>
        </w:rPr>
      </w:pPr>
      <w:r>
        <w:rPr>
          <w:noProof/>
        </w:rPr>
        <w:t>3.3.</w:t>
      </w:r>
      <w:r>
        <w:rPr>
          <w:noProof/>
        </w:rPr>
        <w:tab/>
        <w:t xml:space="preserve">Odhadovaný vplyv na príjmy </w:t>
      </w:r>
    </w:p>
    <w:p>
      <w:pPr>
        <w:pStyle w:val="ListDash1"/>
        <w:rPr>
          <w:noProof/>
        </w:rPr>
      </w:pPr>
      <w:r>
        <w:rPr>
          <w:noProof/>
        </w:rPr>
        <w:sym w:font="Wingdings" w:char="F078"/>
      </w:r>
      <w:r>
        <w:rPr>
          <w:noProof/>
        </w:rPr>
        <w:tab/>
        <w:t>Návrh/iniciatíva nemá finančný vplyv na príjmy.</w:t>
      </w:r>
    </w:p>
    <w:p>
      <w:pPr>
        <w:pStyle w:val="ListDash1"/>
        <w:rPr>
          <w:noProof/>
        </w:rPr>
      </w:pPr>
      <w:r>
        <w:rPr>
          <w:noProof/>
        </w:rPr>
        <w:sym w:font="Wingdings" w:char="F0A8"/>
      </w:r>
      <w:r>
        <w:rPr>
          <w:noProof/>
        </w:rPr>
        <w:tab/>
        <w:t>Návrh/iniciatíva má finančný vplyv na príjmy, ako je uvedené v nasledujúcej tabuľke:</w:t>
      </w:r>
    </w:p>
    <w:p>
      <w:pPr>
        <w:pStyle w:val="ListNumberLevel3"/>
        <w:tabs>
          <w:tab w:val="clear" w:pos="2126"/>
        </w:tabs>
        <w:rPr>
          <w:noProof/>
        </w:rPr>
      </w:pPr>
      <w:r>
        <w:rPr>
          <w:noProof/>
        </w:rPr>
        <w:sym w:font="Wingdings" w:char="F0A8"/>
      </w:r>
      <w:r>
        <w:rPr>
          <w:noProof/>
        </w:rPr>
        <w:tab/>
        <w:t xml:space="preserve">vplyv na vlastné zdroje </w:t>
      </w:r>
    </w:p>
    <w:p>
      <w:pPr>
        <w:pStyle w:val="ListNumberLevel3"/>
        <w:tabs>
          <w:tab w:val="clear" w:pos="2126"/>
        </w:tabs>
        <w:rPr>
          <w:noProof/>
        </w:rPr>
      </w:pPr>
      <w:r>
        <w:rPr>
          <w:noProof/>
        </w:rPr>
        <w:sym w:font="Wingdings" w:char="F0A8"/>
      </w:r>
      <w:r>
        <w:rPr>
          <w:noProof/>
        </w:rPr>
        <w:tab/>
        <w:t xml:space="preserve">vplyv na rôzne príjmy </w:t>
      </w:r>
    </w:p>
    <w:p>
      <w:pPr>
        <w:jc w:val="right"/>
        <w:rPr>
          <w:i/>
          <w:noProof/>
          <w:sz w:val="20"/>
        </w:rPr>
      </w:pPr>
      <w:r>
        <w:rPr>
          <w:noProof/>
        </w:rPr>
        <w:t>v mil. EUR (zaokrúhlené na 3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Rozpočtový riadok príjmov:</w:t>
            </w:r>
          </w:p>
        </w:tc>
        <w:tc>
          <w:tcPr>
            <w:tcW w:w="1276" w:type="dxa"/>
            <w:vMerge w:val="restart"/>
            <w:vAlign w:val="center"/>
          </w:tcPr>
          <w:p>
            <w:pPr>
              <w:jc w:val="center"/>
              <w:rPr>
                <w:noProof/>
                <w:sz w:val="18"/>
              </w:rPr>
            </w:pPr>
            <w:r>
              <w:rPr>
                <w:noProof/>
                <w:sz w:val="18"/>
              </w:rPr>
              <w:t>Rozpočtové prostriedky k dispozícii v bežnom rozpočtovom roku</w:t>
            </w:r>
          </w:p>
        </w:tc>
        <w:tc>
          <w:tcPr>
            <w:tcW w:w="7200" w:type="dxa"/>
            <w:gridSpan w:val="7"/>
            <w:vAlign w:val="center"/>
          </w:tcPr>
          <w:p>
            <w:pPr>
              <w:jc w:val="center"/>
              <w:rPr>
                <w:noProof/>
                <w:sz w:val="18"/>
              </w:rPr>
            </w:pPr>
            <w:r>
              <w:rPr>
                <w:noProof/>
                <w:sz w:val="18"/>
              </w:rPr>
              <w:t>Vplyv návrhu/iniciatívy</w:t>
            </w:r>
            <w:r>
              <w:rPr>
                <w:rStyle w:val="FootnoteReference"/>
                <w:noProof/>
                <w:sz w:val="18"/>
              </w:rPr>
              <w:footnoteReference w:id="2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rPr>
              <w:br/>
            </w:r>
            <w:r>
              <w:rPr>
                <w:b/>
                <w:noProof/>
                <w:sz w:val="18"/>
              </w:rPr>
              <w:t>N</w:t>
            </w:r>
          </w:p>
        </w:tc>
        <w:tc>
          <w:tcPr>
            <w:tcW w:w="900" w:type="dxa"/>
            <w:vAlign w:val="center"/>
          </w:tcPr>
          <w:p>
            <w:pPr>
              <w:jc w:val="center"/>
              <w:rPr>
                <w:noProof/>
                <w:sz w:val="18"/>
              </w:rPr>
            </w:pPr>
            <w:r>
              <w:rPr>
                <w:noProof/>
                <w:sz w:val="18"/>
              </w:rPr>
              <w:t>Rok</w:t>
            </w:r>
            <w:r>
              <w:rPr>
                <w:noProof/>
              </w:rPr>
              <w:br/>
            </w:r>
            <w:r>
              <w:rPr>
                <w:b/>
                <w:noProof/>
                <w:sz w:val="18"/>
              </w:rPr>
              <w:t>N+1</w:t>
            </w:r>
          </w:p>
        </w:tc>
        <w:tc>
          <w:tcPr>
            <w:tcW w:w="900" w:type="dxa"/>
            <w:vAlign w:val="center"/>
          </w:tcPr>
          <w:p>
            <w:pPr>
              <w:jc w:val="center"/>
              <w:rPr>
                <w:noProof/>
                <w:sz w:val="18"/>
              </w:rPr>
            </w:pPr>
            <w:r>
              <w:rPr>
                <w:noProof/>
                <w:sz w:val="18"/>
              </w:rPr>
              <w:t>Rok</w:t>
            </w:r>
            <w:r>
              <w:rPr>
                <w:noProof/>
              </w:rPr>
              <w:br/>
            </w:r>
            <w:r>
              <w:rPr>
                <w:b/>
                <w:noProof/>
                <w:sz w:val="18"/>
              </w:rPr>
              <w:t>N+2</w:t>
            </w:r>
          </w:p>
        </w:tc>
        <w:tc>
          <w:tcPr>
            <w:tcW w:w="1080" w:type="dxa"/>
            <w:vAlign w:val="center"/>
          </w:tcPr>
          <w:p>
            <w:pPr>
              <w:jc w:val="center"/>
              <w:rPr>
                <w:noProof/>
                <w:sz w:val="18"/>
              </w:rPr>
            </w:pPr>
            <w:r>
              <w:rPr>
                <w:noProof/>
                <w:sz w:val="18"/>
              </w:rPr>
              <w:t>Rok</w:t>
            </w:r>
            <w:r>
              <w:rPr>
                <w:noProof/>
              </w:rPr>
              <w:br/>
            </w:r>
            <w:r>
              <w:rPr>
                <w:b/>
                <w:noProof/>
                <w:sz w:val="18"/>
              </w:rPr>
              <w:t>N+3</w:t>
            </w:r>
          </w:p>
        </w:tc>
        <w:tc>
          <w:tcPr>
            <w:tcW w:w="3240" w:type="dxa"/>
            <w:gridSpan w:val="3"/>
            <w:vAlign w:val="center"/>
          </w:tcPr>
          <w:p>
            <w:pPr>
              <w:jc w:val="center"/>
              <w:rPr>
                <w:b/>
                <w:noProof/>
                <w:sz w:val="18"/>
              </w:rPr>
            </w:pPr>
            <w:r>
              <w:rPr>
                <w:noProof/>
                <w:sz w:val="18"/>
              </w:rPr>
              <w:t>Uveďte všetky roky, počas ktorých vplyv trvá (pozri bod 1.6)</w:t>
            </w:r>
          </w:p>
        </w:tc>
      </w:tr>
      <w:tr>
        <w:trPr>
          <w:trHeight w:val="388"/>
        </w:trPr>
        <w:tc>
          <w:tcPr>
            <w:tcW w:w="2144" w:type="dxa"/>
            <w:vAlign w:val="center"/>
          </w:tcPr>
          <w:p>
            <w:pPr>
              <w:spacing w:before="40" w:after="40"/>
              <w:rPr>
                <w:noProof/>
                <w:sz w:val="18"/>
              </w:rPr>
            </w:pPr>
            <w:r>
              <w:rPr>
                <w:noProof/>
                <w:sz w:val="18"/>
              </w:rPr>
              <w:t>Článok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 prípade rôznych pripísaných príjmov uveďte príslušné rozpočtové riadky výdavkov.</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r>
        <w:rPr>
          <w:noProof/>
          <w:sz w:val="20"/>
        </w:rPr>
        <w:t>Uveďte spôsob výpočtu vplyvu na príjmy.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 naposledy zmenené nariadením Európskeho parlamentu a Rady (EÚ) 2018/1719 zo 14. novembra 2018, ktorým sa mení nariadenie (EÚ) č. 1303/2013, pokiaľ ide o zmeny zdrojov na hospodársku, sociálnu a územnú súdržnosť a zdrojov na cieľ Investovanie do rastu a zamestnanosti a na cieľ Európska územná spolupráca. (Ú. v. EÚ L 291, 16.11.2018, s. 5.)</w:t>
      </w:r>
    </w:p>
  </w:footnote>
  <w:footnote w:id="2">
    <w:p>
      <w:pPr>
        <w:pStyle w:val="FootnoteText"/>
      </w:pPr>
      <w:r>
        <w:rPr>
          <w:rStyle w:val="FootnoteReference"/>
        </w:rPr>
        <w:footnoteRef/>
      </w:r>
      <w:r>
        <w:tab/>
        <w:t>Nariadenie Európskeho parlamentu a Rady (EÚ) č. 1304/2013 zo 17. decembra 2013 o Európskom sociálnom fonde a o zrušení nariadenia Rady (ES) č. 1081/2006 (Ú. v. EÚ L 347, 20.12.2013, s. 470).</w:t>
      </w:r>
    </w:p>
  </w:footnote>
  <w:footnote w:id="3">
    <w:p>
      <w:pPr>
        <w:pStyle w:val="FootnoteText"/>
      </w:pPr>
      <w:r>
        <w:rPr>
          <w:rStyle w:val="FootnoteReference"/>
        </w:rPr>
        <w:footnoteRef/>
      </w:r>
      <w:r>
        <w:tab/>
        <w:t>Ú. v. EÚ C […], […], s. […].</w:t>
      </w:r>
    </w:p>
  </w:footnote>
  <w:footnote w:id="4">
    <w:p>
      <w:pPr>
        <w:pStyle w:val="FootnoteText"/>
      </w:pPr>
      <w:r>
        <w:rPr>
          <w:rStyle w:val="FootnoteReference"/>
        </w:rPr>
        <w:footnoteRef/>
      </w:r>
      <w:r>
        <w:tab/>
        <w:t>Ú. v. EÚ C […], […], s. […].</w:t>
      </w:r>
    </w:p>
  </w:footnote>
  <w:footnote w:id="5">
    <w:p>
      <w:pPr>
        <w:pStyle w:val="FootnoteText"/>
      </w:pPr>
      <w:r>
        <w:rPr>
          <w:rStyle w:val="FootnoteReference"/>
        </w:rPr>
        <w:footnoteRef/>
      </w:r>
      <w:r>
        <w:tab/>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w:t>
      </w:r>
    </w:p>
  </w:footnote>
  <w:footnote w:id="6">
    <w:p>
      <w:pPr>
        <w:pStyle w:val="FootnoteText"/>
      </w:pPr>
      <w:r>
        <w:rPr>
          <w:rStyle w:val="FootnoteReference"/>
        </w:rPr>
        <w:footnoteRef/>
      </w:r>
      <w:r>
        <w:tab/>
        <w:t>Ú. v. EÚ C […], […], s. […].</w:t>
      </w:r>
    </w:p>
  </w:footnote>
  <w:footnote w:id="7">
    <w:p>
      <w:pPr>
        <w:pStyle w:val="FootnoteText"/>
        <w:rPr>
          <w:szCs w:val="24"/>
        </w:rPr>
      </w:pPr>
      <w:r>
        <w:rPr>
          <w:rStyle w:val="FootnoteReference"/>
        </w:rPr>
        <w:footnoteRef/>
      </w:r>
      <w:r>
        <w:tab/>
        <w:t>ABM: riadenie podľa činností; ABB: zostavovanie rozpočtu podľa činností.</w:t>
      </w:r>
    </w:p>
  </w:footnote>
  <w:footnote w:id="8">
    <w:p>
      <w:pPr>
        <w:pStyle w:val="FootnoteText"/>
        <w:rPr>
          <w:szCs w:val="24"/>
        </w:rPr>
      </w:pPr>
      <w:r>
        <w:rPr>
          <w:rStyle w:val="FootnoteReference"/>
        </w:rPr>
        <w:footnoteRef/>
      </w:r>
      <w:r>
        <w:tab/>
        <w:t>Podľa článku 54 ods. 2 písm. a) alebo b) nariadenia o rozpočtových pravidlách.</w:t>
      </w:r>
    </w:p>
  </w:footnote>
  <w:footnote w:id="9">
    <w:p>
      <w:pPr>
        <w:pStyle w:val="FootnoteText"/>
        <w:rPr>
          <w:szCs w:val="24"/>
        </w:rPr>
      </w:pPr>
      <w:r>
        <w:rPr>
          <w:rStyle w:val="FootnoteReference"/>
        </w:rPr>
        <w:footnoteRef/>
      </w:r>
      <w:r>
        <w:tab/>
        <w:t xml:space="preserve">Vysvetlenie spôsobov riadenia a odkazy na nariadenie o rozpočtových pravidlách sú k dispozícii na webovej stránke BudgWeb: </w:t>
      </w:r>
      <w:hyperlink r:id="rId1">
        <w:r>
          <w:rPr>
            <w:rStyle w:val="Hyperlink"/>
            <w:sz w:val="18"/>
          </w:rPr>
          <w:t>http://www.cc.cec/budg/man/budgmanag/budgmanag_en.html</w:t>
        </w:r>
      </w:hyperlink>
      <w:r>
        <w:rPr>
          <w:rStyle w:val="Hyperlink"/>
          <w:sz w:val="18"/>
        </w:rPr>
        <w:t>.</w:t>
      </w:r>
    </w:p>
  </w:footnote>
  <w:footnote w:id="10">
    <w:p>
      <w:pPr>
        <w:pStyle w:val="FootnoteText"/>
        <w:rPr>
          <w:szCs w:val="24"/>
        </w:rPr>
      </w:pPr>
      <w:r>
        <w:rPr>
          <w:rStyle w:val="FootnoteReference"/>
        </w:rPr>
        <w:footnoteRef/>
      </w:r>
      <w:r>
        <w:tab/>
        <w:t>DRP = diferencované rozpočtové prostriedky/NRP = nediferencované rozpočtové prostriedky.</w:t>
      </w:r>
    </w:p>
  </w:footnote>
  <w:footnote w:id="11">
    <w:p>
      <w:pPr>
        <w:pStyle w:val="FootnoteText"/>
        <w:rPr>
          <w:szCs w:val="24"/>
        </w:rPr>
      </w:pPr>
      <w:r>
        <w:rPr>
          <w:rStyle w:val="FootnoteReference"/>
        </w:rPr>
        <w:footnoteRef/>
      </w:r>
      <w:r>
        <w:tab/>
        <w:t xml:space="preserve">EZVO: Európske združenie voľného obchodu. </w:t>
      </w:r>
    </w:p>
  </w:footnote>
  <w:footnote w:id="12">
    <w:p>
      <w:pPr>
        <w:pStyle w:val="FootnoteText"/>
        <w:rPr>
          <w:szCs w:val="24"/>
        </w:rPr>
      </w:pPr>
      <w:r>
        <w:rPr>
          <w:rStyle w:val="FootnoteReference"/>
        </w:rPr>
        <w:footnoteRef/>
      </w:r>
      <w:r>
        <w:tab/>
        <w:t>Kandidátske krajiny a prípadne potenciálne kandidátske krajiny západného Balkánu.</w:t>
      </w:r>
    </w:p>
  </w:footnote>
  <w:footnote w:id="13">
    <w:p>
      <w:pPr>
        <w:pStyle w:val="FootnoteText"/>
      </w:pPr>
      <w:r>
        <w:rPr>
          <w:rStyle w:val="FootnoteReference"/>
        </w:rPr>
        <w:footnoteRef/>
      </w:r>
      <w:r>
        <w:tab/>
        <w:t>Tieto dodatočné zdroje sú financované z celkovej rezervy na záväzky v rámci rezervy viacročného finančného rámca na roky 2014 – 2020.</w:t>
      </w:r>
    </w:p>
  </w:footnote>
  <w:footnote w:id="14">
    <w:p>
      <w:pPr>
        <w:pStyle w:val="FootnoteText"/>
        <w:rPr>
          <w:szCs w:val="24"/>
        </w:rPr>
      </w:pPr>
      <w:r>
        <w:rPr>
          <w:rStyle w:val="FootnoteReference"/>
        </w:rPr>
        <w:footnoteRef/>
      </w:r>
      <w:r>
        <w:tab/>
        <w:t>Technická a/alebo administratívna pomoc a výdavky určené na financovanie implementácie programov a/alebo akcií Európskej únie (pôvodné rozpočtové riadky „BA“), nepriamy výskum, priamy výskum.</w:t>
      </w:r>
    </w:p>
  </w:footnote>
  <w:footnote w:id="15">
    <w:p>
      <w:pPr>
        <w:pStyle w:val="FootnoteText"/>
        <w:rPr>
          <w:szCs w:val="24"/>
        </w:rPr>
      </w:pPr>
      <w:r>
        <w:rPr>
          <w:rStyle w:val="FootnoteReference"/>
        </w:rPr>
        <w:footnoteRef/>
      </w:r>
      <w:r>
        <w:tab/>
        <w:t>Rok N je rokom, v ktorom sa návrh/iniciatíva začína uskutočňovať.</w:t>
      </w:r>
    </w:p>
  </w:footnote>
  <w:footnote w:id="16">
    <w:p>
      <w:pPr>
        <w:pStyle w:val="FootnoteText"/>
        <w:rPr>
          <w:szCs w:val="24"/>
        </w:rPr>
      </w:pPr>
      <w:r>
        <w:rPr>
          <w:rStyle w:val="FootnoteReference"/>
        </w:rPr>
        <w:footnoteRef/>
      </w:r>
      <w:r>
        <w:tab/>
        <w:t>Výstupy znamenajú dodané produkty a služby (napr.: počet financovaných výmen študentov, vybudované cesty v km atď.).</w:t>
      </w:r>
    </w:p>
  </w:footnote>
  <w:footnote w:id="17">
    <w:p>
      <w:pPr>
        <w:pStyle w:val="FootnoteText"/>
        <w:rPr>
          <w:szCs w:val="24"/>
        </w:rPr>
      </w:pPr>
      <w:r>
        <w:rPr>
          <w:rStyle w:val="FootnoteReference"/>
        </w:rPr>
        <w:footnoteRef/>
      </w:r>
      <w:r>
        <w:tab/>
        <w:t xml:space="preserve">Ako je uvedené v bode 1.4.2 „Špecifické ciele...“. </w:t>
      </w:r>
    </w:p>
  </w:footnote>
  <w:footnote w:id="18">
    <w:p>
      <w:pPr>
        <w:pStyle w:val="FootnoteText"/>
        <w:rPr>
          <w:szCs w:val="24"/>
        </w:rPr>
      </w:pPr>
      <w:r>
        <w:rPr>
          <w:rStyle w:val="FootnoteReference"/>
        </w:rPr>
        <w:footnoteRef/>
      </w:r>
      <w:r>
        <w:tab/>
        <w:t>Rok N je rokom, v ktorom sa návrh/iniciatíva začína uskutočňovať.</w:t>
      </w:r>
    </w:p>
  </w:footnote>
  <w:footnote w:id="19">
    <w:p>
      <w:pPr>
        <w:pStyle w:val="FootnoteText"/>
        <w:rPr>
          <w:szCs w:val="24"/>
        </w:rPr>
      </w:pPr>
      <w:r>
        <w:rPr>
          <w:rStyle w:val="FootnoteReference"/>
        </w:rPr>
        <w:footnoteRef/>
      </w:r>
      <w:r>
        <w:tab/>
        <w:t>Technická a/alebo administratívna pomoc a výdavky určené na financovanie implementácie programov a/alebo akcií Európskej únie (pôvodné rozpočtové riadky „BA“), nepriamy výskum, priamy výskum.</w:t>
      </w:r>
    </w:p>
  </w:footnote>
  <w:footnote w:id="20">
    <w:p>
      <w:pPr>
        <w:pStyle w:val="FootnoteText"/>
        <w:rPr>
          <w:szCs w:val="24"/>
        </w:rPr>
      </w:pPr>
      <w:r>
        <w:rPr>
          <w:rStyle w:val="FootnoteReference"/>
        </w:rPr>
        <w:footnoteRef/>
      </w:r>
      <w:r>
        <w:tab/>
        <w:t xml:space="preserve">ZZ = zmluvný zamestnanec; MZ = miestny zamestnanec; VNE = vyslaný národný expert; DAZ = dočasný agentúrny zamestnanec; PED = pomocný expert v delegácii. </w:t>
      </w:r>
    </w:p>
  </w:footnote>
  <w:footnote w:id="21">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 w:id="22">
    <w:p>
      <w:pPr>
        <w:pStyle w:val="FootnoteText"/>
        <w:rPr>
          <w:szCs w:val="24"/>
        </w:rPr>
      </w:pPr>
      <w:r>
        <w:rPr>
          <w:rStyle w:val="FootnoteReference"/>
        </w:rPr>
        <w:footnoteRef/>
      </w:r>
      <w:r>
        <w:tab/>
        <w:t>Pokiaľ ide o tradičné vlastné zdroje (clá, odvody z produkcie cukru), uvedené sumy musia predstavovať čisté sumy, t. j. hrubé sumy po odčítaní 25 % na náklady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B608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A4FD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828F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86F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A2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5EE5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00D660"/>
    <w:lvl w:ilvl="0">
      <w:start w:val="1"/>
      <w:numFmt w:val="decimal"/>
      <w:pStyle w:val="ListNumber"/>
      <w:lvlText w:val="%1."/>
      <w:lvlJc w:val="left"/>
      <w:pPr>
        <w:tabs>
          <w:tab w:val="num" w:pos="360"/>
        </w:tabs>
        <w:ind w:left="360" w:hanging="360"/>
      </w:pPr>
    </w:lvl>
  </w:abstractNum>
  <w:abstractNum w:abstractNumId="7">
    <w:nsid w:val="FFFFFF89"/>
    <w:multiLevelType w:val="singleLevel"/>
    <w:tmpl w:val="6F6C06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8"/>
  </w:num>
  <w:num w:numId="11">
    <w:abstractNumId w:val="17"/>
  </w:num>
  <w:num w:numId="12">
    <w:abstractNumId w:val="13"/>
  </w:num>
  <w:num w:numId="13">
    <w:abstractNumId w:val="25"/>
    <w:lvlOverride w:ilvl="0">
      <w:startOverride w:val="1"/>
    </w:lvlOverride>
  </w:num>
  <w:num w:numId="14">
    <w:abstractNumId w:val="22"/>
  </w:num>
  <w:num w:numId="15">
    <w:abstractNumId w:val="14"/>
  </w:num>
  <w:num w:numId="16">
    <w:abstractNumId w:val="24"/>
  </w:num>
  <w:num w:numId="17">
    <w:abstractNumId w:val="12"/>
  </w:num>
  <w:num w:numId="18">
    <w:abstractNumId w:val="15"/>
  </w:num>
  <w:num w:numId="19">
    <w:abstractNumId w:val="10"/>
  </w:num>
  <w:num w:numId="20">
    <w:abstractNumId w:val="23"/>
  </w:num>
  <w:num w:numId="21">
    <w:abstractNumId w:val="9"/>
  </w:num>
  <w:num w:numId="22">
    <w:abstractNumId w:val="16"/>
  </w:num>
  <w:num w:numId="23">
    <w:abstractNumId w:val="20"/>
  </w:num>
  <w:num w:numId="24">
    <w:abstractNumId w:val="21"/>
  </w:num>
  <w:num w:numId="25">
    <w:abstractNumId w:val="11"/>
  </w:num>
  <w:num w:numId="26">
    <w:abstractNumId w:val="19"/>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6 09:37: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F0EE085-D471-4081-A58D-76137374FED4"/>
    <w:docVar w:name="LW_COVERPAGE_TYPE" w:val="1"/>
    <w:docVar w:name="LW_CROSSREFERENCE" w:val="&lt;UNUSED&gt;"/>
    <w:docVar w:name="LW_DocType" w:val="COM"/>
    <w:docVar w:name="LW_EMISSION" w:val="1. 2. 2019"/>
    <w:docVar w:name="LW_EMISSION_ISODATE" w:val="2019-02-01"/>
    <w:docVar w:name="LW_EMISSION_LOCATION" w:val="BRX"/>
    <w:docVar w:name="LW_EMISSION_PREFIX" w:val="V Bruseli"/>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027"/>
    <w:docVar w:name="LW_REF.II.NEW.CP_YEAR" w:val="2019"/>
    <w:docVar w:name="LW_REF.INST.NEW" w:val="COM"/>
    <w:docVar w:name="LW_REF.INST.NEW_ADOPTED" w:val="final"/>
    <w:docVar w:name="LW_REF.INST.NEW_TEXT" w:val="(2019) 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orým sa mení nariadenie (EÚ) \u269?. 1303/2013, pokia\u318? ide o zdroje na osobitné pridelené prostriedky na iniciatívu na podporu zamestnanosti mladých \u318?udí"/>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0" w:after="150"/>
      <w:jc w:val="left"/>
    </w:pPr>
    <w:rPr>
      <w:rFonts w:eastAsia="Times New Roman"/>
      <w:szCs w:val="24"/>
    </w:rPr>
  </w:style>
  <w:style w:type="paragraph" w:customStyle="1" w:styleId="hidden">
    <w:name w:val="hidden"/>
    <w:basedOn w:val="Normal"/>
    <w:pPr>
      <w:spacing w:before="0" w:after="150"/>
      <w:jc w:val="left"/>
    </w:pPr>
    <w:rPr>
      <w:rFonts w:eastAsia="Times New Roman"/>
      <w:vanish/>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0" w:after="150"/>
      <w:jc w:val="left"/>
    </w:pPr>
    <w:rPr>
      <w:rFonts w:eastAsia="Times New Roman"/>
      <w:szCs w:val="24"/>
    </w:rPr>
  </w:style>
  <w:style w:type="paragraph" w:customStyle="1" w:styleId="hidden">
    <w:name w:val="hidden"/>
    <w:basedOn w:val="Normal"/>
    <w:pPr>
      <w:spacing w:before="0" w:after="150"/>
      <w:jc w:val="left"/>
    </w:pPr>
    <w:rPr>
      <w:rFonts w:eastAsia="Times New Roman"/>
      <w:vanish/>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953">
      <w:bodyDiv w:val="1"/>
      <w:marLeft w:val="0"/>
      <w:marRight w:val="0"/>
      <w:marTop w:val="0"/>
      <w:marBottom w:val="0"/>
      <w:divBdr>
        <w:top w:val="none" w:sz="0" w:space="0" w:color="auto"/>
        <w:left w:val="none" w:sz="0" w:space="0" w:color="auto"/>
        <w:bottom w:val="none" w:sz="0" w:space="0" w:color="auto"/>
        <w:right w:val="none" w:sz="0" w:space="0" w:color="auto"/>
      </w:divBdr>
    </w:div>
    <w:div w:id="293368241">
      <w:bodyDiv w:val="1"/>
      <w:marLeft w:val="0"/>
      <w:marRight w:val="0"/>
      <w:marTop w:val="0"/>
      <w:marBottom w:val="0"/>
      <w:divBdr>
        <w:top w:val="none" w:sz="0" w:space="0" w:color="auto"/>
        <w:left w:val="none" w:sz="0" w:space="0" w:color="auto"/>
        <w:bottom w:val="none" w:sz="0" w:space="0" w:color="auto"/>
        <w:right w:val="none" w:sz="0" w:space="0" w:color="auto"/>
      </w:divBdr>
    </w:div>
    <w:div w:id="1094934940">
      <w:bodyDiv w:val="1"/>
      <w:marLeft w:val="0"/>
      <w:marRight w:val="0"/>
      <w:marTop w:val="0"/>
      <w:marBottom w:val="0"/>
      <w:divBdr>
        <w:top w:val="none" w:sz="0" w:space="0" w:color="auto"/>
        <w:left w:val="none" w:sz="0" w:space="0" w:color="auto"/>
        <w:bottom w:val="none" w:sz="0" w:space="0" w:color="auto"/>
        <w:right w:val="none" w:sz="0" w:space="0" w:color="auto"/>
      </w:divBdr>
    </w:div>
    <w:div w:id="1175340573">
      <w:bodyDiv w:val="1"/>
      <w:marLeft w:val="0"/>
      <w:marRight w:val="0"/>
      <w:marTop w:val="0"/>
      <w:marBottom w:val="0"/>
      <w:divBdr>
        <w:top w:val="none" w:sz="0" w:space="0" w:color="auto"/>
        <w:left w:val="none" w:sz="0" w:space="0" w:color="auto"/>
        <w:bottom w:val="none" w:sz="0" w:space="0" w:color="auto"/>
        <w:right w:val="none" w:sz="0" w:space="0" w:color="auto"/>
      </w:divBdr>
    </w:div>
    <w:div w:id="1204438961">
      <w:bodyDiv w:val="1"/>
      <w:marLeft w:val="0"/>
      <w:marRight w:val="0"/>
      <w:marTop w:val="0"/>
      <w:marBottom w:val="0"/>
      <w:divBdr>
        <w:top w:val="none" w:sz="0" w:space="0" w:color="auto"/>
        <w:left w:val="none" w:sz="0" w:space="0" w:color="auto"/>
        <w:bottom w:val="none" w:sz="0" w:space="0" w:color="auto"/>
        <w:right w:val="none" w:sz="0" w:space="0" w:color="auto"/>
      </w:divBdr>
      <w:divsChild>
        <w:div w:id="912544142">
          <w:marLeft w:val="0"/>
          <w:marRight w:val="0"/>
          <w:marTop w:val="0"/>
          <w:marBottom w:val="0"/>
          <w:divBdr>
            <w:top w:val="none" w:sz="0" w:space="0" w:color="auto"/>
            <w:left w:val="none" w:sz="0" w:space="0" w:color="auto"/>
            <w:bottom w:val="none" w:sz="0" w:space="0" w:color="auto"/>
            <w:right w:val="none" w:sz="0" w:space="0" w:color="auto"/>
          </w:divBdr>
          <w:divsChild>
            <w:div w:id="1370688718">
              <w:marLeft w:val="0"/>
              <w:marRight w:val="0"/>
              <w:marTop w:val="0"/>
              <w:marBottom w:val="0"/>
              <w:divBdr>
                <w:top w:val="none" w:sz="0" w:space="0" w:color="auto"/>
                <w:left w:val="none" w:sz="0" w:space="0" w:color="auto"/>
                <w:bottom w:val="none" w:sz="0" w:space="0" w:color="auto"/>
                <w:right w:val="none" w:sz="0" w:space="0" w:color="auto"/>
              </w:divBdr>
              <w:divsChild>
                <w:div w:id="1549755144">
                  <w:marLeft w:val="0"/>
                  <w:marRight w:val="0"/>
                  <w:marTop w:val="0"/>
                  <w:marBottom w:val="0"/>
                  <w:divBdr>
                    <w:top w:val="none" w:sz="0" w:space="0" w:color="auto"/>
                    <w:left w:val="none" w:sz="0" w:space="0" w:color="auto"/>
                    <w:bottom w:val="none" w:sz="0" w:space="0" w:color="auto"/>
                    <w:right w:val="none" w:sz="0" w:space="0" w:color="auto"/>
                  </w:divBdr>
                  <w:divsChild>
                    <w:div w:id="1016152875">
                      <w:marLeft w:val="-150"/>
                      <w:marRight w:val="-150"/>
                      <w:marTop w:val="0"/>
                      <w:marBottom w:val="0"/>
                      <w:divBdr>
                        <w:top w:val="none" w:sz="0" w:space="0" w:color="auto"/>
                        <w:left w:val="none" w:sz="0" w:space="0" w:color="auto"/>
                        <w:bottom w:val="none" w:sz="0" w:space="0" w:color="auto"/>
                        <w:right w:val="none" w:sz="0" w:space="0" w:color="auto"/>
                      </w:divBdr>
                      <w:divsChild>
                        <w:div w:id="1481651345">
                          <w:marLeft w:val="0"/>
                          <w:marRight w:val="0"/>
                          <w:marTop w:val="0"/>
                          <w:marBottom w:val="0"/>
                          <w:divBdr>
                            <w:top w:val="none" w:sz="0" w:space="0" w:color="auto"/>
                            <w:left w:val="none" w:sz="0" w:space="0" w:color="auto"/>
                            <w:bottom w:val="none" w:sz="0" w:space="0" w:color="auto"/>
                            <w:right w:val="none" w:sz="0" w:space="0" w:color="auto"/>
                          </w:divBdr>
                          <w:divsChild>
                            <w:div w:id="887644923">
                              <w:marLeft w:val="0"/>
                              <w:marRight w:val="0"/>
                              <w:marTop w:val="0"/>
                              <w:marBottom w:val="0"/>
                              <w:divBdr>
                                <w:top w:val="none" w:sz="0" w:space="0" w:color="auto"/>
                                <w:left w:val="none" w:sz="0" w:space="0" w:color="auto"/>
                                <w:bottom w:val="none" w:sz="0" w:space="0" w:color="auto"/>
                                <w:right w:val="none" w:sz="0" w:space="0" w:color="auto"/>
                              </w:divBdr>
                              <w:divsChild>
                                <w:div w:id="668337294">
                                  <w:marLeft w:val="0"/>
                                  <w:marRight w:val="0"/>
                                  <w:marTop w:val="0"/>
                                  <w:marBottom w:val="300"/>
                                  <w:divBdr>
                                    <w:top w:val="none" w:sz="0" w:space="0" w:color="auto"/>
                                    <w:left w:val="none" w:sz="0" w:space="0" w:color="auto"/>
                                    <w:bottom w:val="none" w:sz="0" w:space="0" w:color="auto"/>
                                    <w:right w:val="none" w:sz="0" w:space="0" w:color="auto"/>
                                  </w:divBdr>
                                  <w:divsChild>
                                    <w:div w:id="2065831939">
                                      <w:marLeft w:val="0"/>
                                      <w:marRight w:val="0"/>
                                      <w:marTop w:val="0"/>
                                      <w:marBottom w:val="0"/>
                                      <w:divBdr>
                                        <w:top w:val="none" w:sz="0" w:space="0" w:color="auto"/>
                                        <w:left w:val="none" w:sz="0" w:space="0" w:color="auto"/>
                                        <w:bottom w:val="none" w:sz="0" w:space="0" w:color="auto"/>
                                        <w:right w:val="none" w:sz="0" w:space="0" w:color="auto"/>
                                      </w:divBdr>
                                      <w:divsChild>
                                        <w:div w:id="832111539">
                                          <w:marLeft w:val="0"/>
                                          <w:marRight w:val="0"/>
                                          <w:marTop w:val="0"/>
                                          <w:marBottom w:val="0"/>
                                          <w:divBdr>
                                            <w:top w:val="none" w:sz="0" w:space="0" w:color="auto"/>
                                            <w:left w:val="none" w:sz="0" w:space="0" w:color="auto"/>
                                            <w:bottom w:val="none" w:sz="0" w:space="0" w:color="auto"/>
                                            <w:right w:val="none" w:sz="0" w:space="0" w:color="auto"/>
                                          </w:divBdr>
                                          <w:divsChild>
                                            <w:div w:id="165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115141">
      <w:bodyDiv w:val="1"/>
      <w:marLeft w:val="0"/>
      <w:marRight w:val="0"/>
      <w:marTop w:val="0"/>
      <w:marBottom w:val="0"/>
      <w:divBdr>
        <w:top w:val="none" w:sz="0" w:space="0" w:color="auto"/>
        <w:left w:val="none" w:sz="0" w:space="0" w:color="auto"/>
        <w:bottom w:val="none" w:sz="0" w:space="0" w:color="auto"/>
        <w:right w:val="none" w:sz="0" w:space="0" w:color="auto"/>
      </w:divBdr>
    </w:div>
    <w:div w:id="176313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97F3-7450-488E-94A8-05A01FA6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21</Pages>
  <Words>3486</Words>
  <Characters>21164</Characters>
  <Application>Microsoft Office Word</Application>
  <DocSecurity>0</DocSecurity>
  <Lines>1410</Lines>
  <Paragraphs>535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cp:lastPrinted>2019-01-15T13:07:00Z</cp:lastPrinted>
  <dcterms:created xsi:type="dcterms:W3CDTF">2019-02-05T10:52:00Z</dcterms:created>
  <dcterms:modified xsi:type="dcterms:W3CDTF">2019-02-06T08:37:00Z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