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070966A-1851-4E41-BD7E-0F70953B5169" style="width:450.45pt;height:307.6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rPr>
          <w:noProof/>
        </w:rPr>
      </w:pPr>
      <w:bookmarkStart w:id="1" w:name="_GoBack"/>
      <w:bookmarkEnd w:id="1"/>
    </w:p>
    <w:p>
      <w:pPr>
        <w:pStyle w:val="Heading1"/>
        <w:numPr>
          <w:ilvl w:val="0"/>
          <w:numId w:val="1"/>
        </w:numPr>
        <w:rPr>
          <w:noProof/>
        </w:rPr>
      </w:pPr>
      <w:r>
        <w:rPr>
          <w:noProof/>
        </w:rPr>
        <w:t>Контекст</w:t>
      </w:r>
    </w:p>
    <w:p>
      <w:pPr>
        <w:jc w:val="both"/>
        <w:rPr>
          <w:rFonts w:ascii="Times New Roman" w:hAnsi="Times New Roman" w:cs="Times New Roman"/>
          <w:noProof/>
          <w:sz w:val="24"/>
          <w:szCs w:val="24"/>
          <w:lang w:val="ru-RU"/>
        </w:rPr>
      </w:pPr>
      <w:r>
        <w:rPr>
          <w:rFonts w:ascii="Times New Roman" w:hAnsi="Times New Roman"/>
          <w:noProof/>
          <w:sz w:val="24"/>
          <w:lang w:val="ru-RU"/>
        </w:rPr>
        <w:t>Програма „Митници</w:t>
      </w:r>
      <w:r>
        <w:rPr>
          <w:rFonts w:ascii="Times New Roman" w:hAnsi="Times New Roman"/>
          <w:noProof/>
          <w:sz w:val="24"/>
        </w:rPr>
        <w:t> </w:t>
      </w:r>
      <w:r>
        <w:rPr>
          <w:rFonts w:ascii="Times New Roman" w:hAnsi="Times New Roman"/>
          <w:noProof/>
          <w:sz w:val="24"/>
          <w:lang w:val="ru-RU"/>
        </w:rPr>
        <w:t>2020“ е създадена с</w:t>
      </w:r>
      <w:r>
        <w:rPr>
          <w:noProof/>
          <w:lang w:val="ru-RU"/>
        </w:rPr>
        <w:t xml:space="preserve"> </w:t>
      </w:r>
      <w:hyperlink r:id="rId19">
        <w:r>
          <w:rPr>
            <w:rStyle w:val="Hyperlink"/>
            <w:rFonts w:ascii="Times New Roman" w:hAnsi="Times New Roman"/>
            <w:noProof/>
            <w:sz w:val="24"/>
            <w:lang w:val="ru-RU"/>
          </w:rPr>
          <w:t>Регламент</w:t>
        </w:r>
        <w:r>
          <w:rPr>
            <w:rStyle w:val="Hyperlink"/>
            <w:rFonts w:ascii="Times New Roman" w:hAnsi="Times New Roman"/>
            <w:noProof/>
            <w:sz w:val="24"/>
          </w:rPr>
          <w:t> </w:t>
        </w:r>
        <w:r>
          <w:rPr>
            <w:rStyle w:val="Hyperlink"/>
            <w:rFonts w:ascii="Times New Roman" w:hAnsi="Times New Roman"/>
            <w:noProof/>
            <w:sz w:val="24"/>
            <w:lang w:val="ru-RU"/>
          </w:rPr>
          <w:t>(ЕС)</w:t>
        </w:r>
        <w:r>
          <w:rPr>
            <w:rStyle w:val="Hyperlink"/>
            <w:rFonts w:ascii="Times New Roman" w:hAnsi="Times New Roman"/>
            <w:noProof/>
            <w:sz w:val="24"/>
          </w:rPr>
          <w:t> </w:t>
        </w:r>
        <w:r>
          <w:rPr>
            <w:rStyle w:val="Hyperlink"/>
            <w:rFonts w:ascii="Times New Roman" w:hAnsi="Times New Roman"/>
            <w:noProof/>
            <w:sz w:val="24"/>
            <w:lang w:val="ru-RU"/>
          </w:rPr>
          <w:t>№</w:t>
        </w:r>
        <w:r>
          <w:rPr>
            <w:rStyle w:val="Hyperlink"/>
            <w:rFonts w:ascii="Times New Roman" w:hAnsi="Times New Roman"/>
            <w:noProof/>
            <w:sz w:val="24"/>
          </w:rPr>
          <w:t> </w:t>
        </w:r>
        <w:r>
          <w:rPr>
            <w:rStyle w:val="Hyperlink"/>
            <w:rFonts w:ascii="Times New Roman" w:hAnsi="Times New Roman"/>
            <w:noProof/>
            <w:sz w:val="24"/>
            <w:lang w:val="ru-RU"/>
          </w:rPr>
          <w:t>1294/2013</w:t>
        </w:r>
      </w:hyperlink>
      <w:r>
        <w:rPr>
          <w:rFonts w:ascii="Times New Roman" w:hAnsi="Times New Roman"/>
          <w:noProof/>
          <w:sz w:val="24"/>
          <w:lang w:val="ru-RU"/>
        </w:rPr>
        <w:t xml:space="preserve"> като многогодишна програма за действие за митниците в ЕС с цел да се улесни и укрепи сътрудничеството между националните администрации. В съответствие с член</w:t>
      </w:r>
      <w:r>
        <w:rPr>
          <w:rFonts w:ascii="Times New Roman" w:hAnsi="Times New Roman"/>
          <w:noProof/>
          <w:sz w:val="24"/>
        </w:rPr>
        <w:t> </w:t>
      </w:r>
      <w:r>
        <w:rPr>
          <w:rFonts w:ascii="Times New Roman" w:hAnsi="Times New Roman"/>
          <w:noProof/>
          <w:sz w:val="24"/>
          <w:lang w:val="ru-RU"/>
        </w:rPr>
        <w:t>18, параграфи</w:t>
      </w:r>
      <w:r>
        <w:rPr>
          <w:rFonts w:ascii="Times New Roman" w:hAnsi="Times New Roman"/>
          <w:noProof/>
          <w:sz w:val="24"/>
        </w:rPr>
        <w:t> </w:t>
      </w:r>
      <w:r>
        <w:rPr>
          <w:rFonts w:ascii="Times New Roman" w:hAnsi="Times New Roman"/>
          <w:noProof/>
          <w:sz w:val="24"/>
          <w:lang w:val="ru-RU"/>
        </w:rPr>
        <w:t xml:space="preserve">1 и 2 беше възложено извършването на външно проучване, за да се подпомогне междинната оценка на програмата. Резултатите от него са представени в приложения работен документ на службите на Комисията и представляват основата за изготвянето на настоящия доклад. </w:t>
      </w:r>
    </w:p>
    <w:p>
      <w:pPr>
        <w:jc w:val="both"/>
        <w:rPr>
          <w:rFonts w:ascii="Times New Roman" w:hAnsi="Times New Roman" w:cs="Times New Roman"/>
          <w:noProof/>
          <w:sz w:val="24"/>
          <w:szCs w:val="24"/>
          <w:lang w:val="ru-RU"/>
        </w:rPr>
      </w:pPr>
      <w:r>
        <w:rPr>
          <w:rFonts w:ascii="Times New Roman" w:hAnsi="Times New Roman"/>
          <w:noProof/>
          <w:sz w:val="24"/>
          <w:lang w:val="ru-RU"/>
        </w:rPr>
        <w:t>Целта на междинната оценка е да се оцени програма „Митници</w:t>
      </w:r>
      <w:r>
        <w:rPr>
          <w:rFonts w:ascii="Times New Roman" w:hAnsi="Times New Roman"/>
          <w:noProof/>
          <w:sz w:val="24"/>
        </w:rPr>
        <w:t> </w:t>
      </w:r>
      <w:r>
        <w:rPr>
          <w:rFonts w:ascii="Times New Roman" w:hAnsi="Times New Roman"/>
          <w:noProof/>
          <w:sz w:val="24"/>
          <w:lang w:val="ru-RU"/>
        </w:rPr>
        <w:t>2020“ от стартирането ѝ на 1</w:t>
      </w:r>
      <w:r>
        <w:rPr>
          <w:rFonts w:ascii="Times New Roman" w:hAnsi="Times New Roman"/>
          <w:noProof/>
          <w:sz w:val="24"/>
        </w:rPr>
        <w:t> </w:t>
      </w:r>
      <w:r>
        <w:rPr>
          <w:rFonts w:ascii="Times New Roman" w:hAnsi="Times New Roman"/>
          <w:noProof/>
          <w:sz w:val="24"/>
          <w:lang w:val="ru-RU"/>
        </w:rPr>
        <w:t>януари</w:t>
      </w:r>
      <w:r>
        <w:rPr>
          <w:rFonts w:ascii="Times New Roman" w:hAnsi="Times New Roman"/>
          <w:noProof/>
          <w:sz w:val="24"/>
        </w:rPr>
        <w:t> </w:t>
      </w:r>
      <w:r>
        <w:rPr>
          <w:rFonts w:ascii="Times New Roman" w:hAnsi="Times New Roman"/>
          <w:noProof/>
          <w:sz w:val="24"/>
          <w:lang w:val="ru-RU"/>
        </w:rPr>
        <w:t>2014</w:t>
      </w:r>
      <w:r>
        <w:rPr>
          <w:rFonts w:ascii="Times New Roman" w:hAnsi="Times New Roman"/>
          <w:noProof/>
          <w:sz w:val="24"/>
        </w:rPr>
        <w:t> </w:t>
      </w:r>
      <w:r>
        <w:rPr>
          <w:rFonts w:ascii="Times New Roman" w:hAnsi="Times New Roman"/>
          <w:noProof/>
          <w:sz w:val="24"/>
          <w:lang w:val="ru-RU"/>
        </w:rPr>
        <w:t>г. до средата на нейното изпълнение (31</w:t>
      </w:r>
      <w:r>
        <w:rPr>
          <w:rFonts w:ascii="Times New Roman" w:hAnsi="Times New Roman"/>
          <w:noProof/>
          <w:sz w:val="24"/>
        </w:rPr>
        <w:t> </w:t>
      </w:r>
      <w:r>
        <w:rPr>
          <w:rFonts w:ascii="Times New Roman" w:hAnsi="Times New Roman"/>
          <w:noProof/>
          <w:sz w:val="24"/>
          <w:lang w:val="ru-RU"/>
        </w:rPr>
        <w:t>декември</w:t>
      </w:r>
      <w:r>
        <w:rPr>
          <w:rFonts w:ascii="Times New Roman" w:hAnsi="Times New Roman"/>
          <w:noProof/>
          <w:sz w:val="24"/>
        </w:rPr>
        <w:t> </w:t>
      </w:r>
      <w:r>
        <w:rPr>
          <w:rFonts w:ascii="Times New Roman" w:hAnsi="Times New Roman"/>
          <w:noProof/>
          <w:sz w:val="24"/>
          <w:lang w:val="ru-RU"/>
        </w:rPr>
        <w:t>2017</w:t>
      </w:r>
      <w:r>
        <w:rPr>
          <w:rFonts w:ascii="Times New Roman" w:hAnsi="Times New Roman"/>
          <w:noProof/>
          <w:sz w:val="24"/>
        </w:rPr>
        <w:t> </w:t>
      </w:r>
      <w:r>
        <w:rPr>
          <w:rFonts w:ascii="Times New Roman" w:hAnsi="Times New Roman"/>
          <w:noProof/>
          <w:sz w:val="24"/>
          <w:lang w:val="ru-RU"/>
        </w:rPr>
        <w:t>г.). В оценката бяха взети предвид всички финансирани дейности и заинтересовани страни.</w:t>
      </w:r>
    </w:p>
    <w:p>
      <w:pPr>
        <w:jc w:val="both"/>
        <w:rPr>
          <w:rFonts w:ascii="Times New Roman" w:hAnsi="Times New Roman" w:cs="Times New Roman"/>
          <w:noProof/>
          <w:sz w:val="24"/>
          <w:szCs w:val="24"/>
          <w:lang w:val="ru-RU"/>
        </w:rPr>
      </w:pPr>
      <w:r>
        <w:rPr>
          <w:rFonts w:ascii="Times New Roman" w:hAnsi="Times New Roman"/>
          <w:noProof/>
          <w:sz w:val="24"/>
          <w:lang w:val="ru-RU"/>
        </w:rPr>
        <w:t xml:space="preserve">Настоящият доклад има за цел да очертае напредъка по отношение на </w:t>
      </w:r>
      <w:r>
        <w:rPr>
          <w:rFonts w:ascii="Times New Roman" w:hAnsi="Times New Roman"/>
          <w:noProof/>
          <w:sz w:val="24"/>
        </w:rPr>
        <w:t>i</w:t>
      </w:r>
      <w:r>
        <w:rPr>
          <w:rFonts w:ascii="Times New Roman" w:hAnsi="Times New Roman"/>
          <w:noProof/>
          <w:sz w:val="24"/>
          <w:lang w:val="ru-RU"/>
        </w:rPr>
        <w:t xml:space="preserve">) постигането на програмните цели; </w:t>
      </w:r>
      <w:r>
        <w:rPr>
          <w:rFonts w:ascii="Times New Roman" w:hAnsi="Times New Roman"/>
          <w:noProof/>
          <w:sz w:val="24"/>
        </w:rPr>
        <w:t>ii</w:t>
      </w:r>
      <w:r>
        <w:rPr>
          <w:rFonts w:ascii="Times New Roman" w:hAnsi="Times New Roman"/>
          <w:noProof/>
          <w:sz w:val="24"/>
          <w:lang w:val="ru-RU"/>
        </w:rPr>
        <w:t xml:space="preserve">) ефикасността при използването на ресурсите и аспектите, свързани с опростяването; </w:t>
      </w:r>
      <w:r>
        <w:rPr>
          <w:rFonts w:ascii="Times New Roman" w:hAnsi="Times New Roman"/>
          <w:noProof/>
          <w:sz w:val="24"/>
        </w:rPr>
        <w:t>iii</w:t>
      </w:r>
      <w:r>
        <w:rPr>
          <w:rFonts w:ascii="Times New Roman" w:hAnsi="Times New Roman"/>
          <w:noProof/>
          <w:sz w:val="24"/>
          <w:lang w:val="ru-RU"/>
        </w:rPr>
        <w:t xml:space="preserve">) продължаващата значимост на програмата; </w:t>
      </w:r>
      <w:r>
        <w:rPr>
          <w:rFonts w:ascii="Times New Roman" w:hAnsi="Times New Roman"/>
          <w:noProof/>
          <w:sz w:val="24"/>
        </w:rPr>
        <w:t>iv</w:t>
      </w:r>
      <w:r>
        <w:rPr>
          <w:rFonts w:ascii="Times New Roman" w:hAnsi="Times New Roman"/>
          <w:noProof/>
          <w:sz w:val="24"/>
          <w:lang w:val="ru-RU"/>
        </w:rPr>
        <w:t xml:space="preserve">) нейната съгласуваност с политиките и другите инициативи на ЕС в по-широк план, както и приносът към тях; както и </w:t>
      </w:r>
      <w:r>
        <w:rPr>
          <w:rFonts w:ascii="Times New Roman" w:hAnsi="Times New Roman"/>
          <w:noProof/>
          <w:sz w:val="24"/>
        </w:rPr>
        <w:t>v</w:t>
      </w:r>
      <w:r>
        <w:rPr>
          <w:rFonts w:ascii="Times New Roman" w:hAnsi="Times New Roman"/>
          <w:noProof/>
          <w:sz w:val="24"/>
          <w:lang w:val="ru-RU"/>
        </w:rPr>
        <w:t>) добавената стойност на програмата на равнище ЕС.</w:t>
      </w:r>
    </w:p>
    <w:p>
      <w:pPr>
        <w:pStyle w:val="Heading1"/>
        <w:numPr>
          <w:ilvl w:val="0"/>
          <w:numId w:val="1"/>
        </w:numPr>
        <w:rPr>
          <w:noProof/>
        </w:rPr>
      </w:pPr>
      <w:r>
        <w:rPr>
          <w:noProof/>
        </w:rPr>
        <w:t>Значимост</w:t>
      </w:r>
    </w:p>
    <w:p>
      <w:pPr>
        <w:jc w:val="both"/>
        <w:rPr>
          <w:rFonts w:ascii="Times New Roman" w:hAnsi="Times New Roman" w:cs="Times New Roman"/>
          <w:noProof/>
          <w:sz w:val="24"/>
          <w:szCs w:val="24"/>
          <w:lang w:val="ru-RU"/>
        </w:rPr>
      </w:pPr>
      <w:r>
        <w:rPr>
          <w:rFonts w:ascii="Times New Roman" w:hAnsi="Times New Roman"/>
          <w:noProof/>
          <w:sz w:val="24"/>
          <w:lang w:val="ru-RU"/>
        </w:rPr>
        <w:t xml:space="preserve">Митническият съюз е основен елемент на ЕС и представлява съществен фактор за функционирането на единния пазар. Много от дейностите в сферата на митниците са от презгранично естество, като включват и засягат всички държави членки. Територията на митническия съюз на ЕС се управлява по общи правила и процедури, определени в </w:t>
      </w:r>
      <w:hyperlink r:id="rId20">
        <w:r>
          <w:rPr>
            <w:rStyle w:val="Hyperlink"/>
            <w:rFonts w:ascii="Times New Roman" w:hAnsi="Times New Roman"/>
            <w:noProof/>
            <w:sz w:val="24"/>
            <w:lang w:val="ru-RU"/>
          </w:rPr>
          <w:t>Митническия кодекс на Съюза</w:t>
        </w:r>
      </w:hyperlink>
      <w:r>
        <w:rPr>
          <w:rFonts w:ascii="Times New Roman" w:hAnsi="Times New Roman"/>
          <w:noProof/>
          <w:sz w:val="24"/>
          <w:lang w:val="ru-RU"/>
        </w:rPr>
        <w:t xml:space="preserve"> (МКС). Самият МКС представлява важен етап в модернизирането на митниците на ЕС, тъй като с него се цели създаването на среда без документи на хартиен носител за митниците и търговията.</w:t>
      </w:r>
    </w:p>
    <w:p>
      <w:pPr>
        <w:jc w:val="both"/>
        <w:rPr>
          <w:rFonts w:ascii="Times New Roman" w:hAnsi="Times New Roman" w:cs="Times New Roman"/>
          <w:noProof/>
          <w:sz w:val="24"/>
          <w:szCs w:val="24"/>
          <w:lang w:val="ru-RU"/>
        </w:rPr>
      </w:pPr>
      <w:r>
        <w:rPr>
          <w:rFonts w:ascii="Times New Roman" w:hAnsi="Times New Roman"/>
          <w:noProof/>
          <w:sz w:val="24"/>
          <w:lang w:val="ru-RU"/>
        </w:rPr>
        <w:t>Като се вземат предвид различните ѝ цикли на повторение, програма „Митници“ е в сила от над 25</w:t>
      </w:r>
      <w:r>
        <w:rPr>
          <w:rFonts w:ascii="Times New Roman" w:hAnsi="Times New Roman"/>
          <w:noProof/>
          <w:sz w:val="24"/>
        </w:rPr>
        <w:t> </w:t>
      </w:r>
      <w:r>
        <w:rPr>
          <w:rFonts w:ascii="Times New Roman" w:hAnsi="Times New Roman"/>
          <w:noProof/>
          <w:sz w:val="24"/>
          <w:lang w:val="ru-RU"/>
        </w:rPr>
        <w:t>години и се развива заедно с единния пазар. Понастоящем в програмата участват 34</w:t>
      </w:r>
      <w:r>
        <w:rPr>
          <w:rFonts w:ascii="Times New Roman" w:hAnsi="Times New Roman"/>
          <w:noProof/>
          <w:sz w:val="24"/>
        </w:rPr>
        <w:t> </w:t>
      </w:r>
      <w:r>
        <w:rPr>
          <w:rFonts w:ascii="Times New Roman" w:hAnsi="Times New Roman"/>
          <w:noProof/>
          <w:sz w:val="24"/>
          <w:lang w:val="ru-RU"/>
        </w:rPr>
        <w:t>държави: 28</w:t>
      </w:r>
      <w:r>
        <w:rPr>
          <w:rFonts w:ascii="Times New Roman" w:hAnsi="Times New Roman"/>
          <w:noProof/>
          <w:sz w:val="24"/>
        </w:rPr>
        <w:t> </w:t>
      </w:r>
      <w:r>
        <w:rPr>
          <w:rFonts w:ascii="Times New Roman" w:hAnsi="Times New Roman"/>
          <w:noProof/>
          <w:sz w:val="24"/>
          <w:lang w:val="ru-RU"/>
        </w:rPr>
        <w:t>държави — членки на ЕС, и 6</w:t>
      </w:r>
      <w:r>
        <w:rPr>
          <w:rFonts w:ascii="Times New Roman" w:hAnsi="Times New Roman"/>
          <w:noProof/>
          <w:sz w:val="24"/>
        </w:rPr>
        <w:t> </w:t>
      </w:r>
      <w:r>
        <w:rPr>
          <w:rFonts w:ascii="Times New Roman" w:hAnsi="Times New Roman"/>
          <w:noProof/>
          <w:sz w:val="24"/>
          <w:lang w:val="ru-RU"/>
        </w:rPr>
        <w:t>държави кандидатки и потенциални държави кандидатки</w:t>
      </w:r>
      <w:r>
        <w:rPr>
          <w:rStyle w:val="FootnoteReference"/>
          <w:noProof/>
        </w:rPr>
        <w:footnoteReference w:id="1"/>
      </w:r>
      <w:r>
        <w:rPr>
          <w:rFonts w:ascii="Times New Roman" w:hAnsi="Times New Roman"/>
          <w:noProof/>
          <w:sz w:val="24"/>
          <w:lang w:val="ru-RU"/>
        </w:rPr>
        <w:t xml:space="preserve">. През годините програма „Митници“ се е превърнала в неразделна част от националните и европейските митнически реалности, политики, процеси и процедури. В някои случаи, като ИТ инфраструктурата например, тя остава почти незабелязана в хода на обичайната дейност на митническите служители и икономическите оператори. Митническият съюз обаче продължава да се модернизира и вероятно днес програмата е по-нужна от всякога. На този фон се счита, че тя е от значение за широките нужди на един добре функциониращ митнически съюз на ЕС, изразени чрез по-специфичните нужди на националните митнически администрации, икономическите оператори и европейските граждани. </w:t>
      </w:r>
    </w:p>
    <w:p>
      <w:pPr>
        <w:jc w:val="both"/>
        <w:rPr>
          <w:rFonts w:ascii="Times New Roman" w:hAnsi="Times New Roman" w:cs="Times New Roman"/>
          <w:noProof/>
          <w:sz w:val="24"/>
          <w:szCs w:val="24"/>
          <w:lang w:val="ru-RU"/>
        </w:rPr>
      </w:pPr>
      <w:r>
        <w:rPr>
          <w:rFonts w:ascii="Times New Roman" w:hAnsi="Times New Roman"/>
          <w:noProof/>
          <w:sz w:val="24"/>
          <w:lang w:val="ru-RU"/>
        </w:rPr>
        <w:t xml:space="preserve">Що се отнася до </w:t>
      </w:r>
      <w:r>
        <w:rPr>
          <w:rFonts w:ascii="Times New Roman" w:hAnsi="Times New Roman"/>
          <w:b/>
          <w:i/>
          <w:noProof/>
          <w:sz w:val="24"/>
          <w:lang w:val="ru-RU"/>
        </w:rPr>
        <w:t>митническите администрации</w:t>
      </w:r>
      <w:r>
        <w:rPr>
          <w:rFonts w:ascii="Times New Roman" w:hAnsi="Times New Roman"/>
          <w:noProof/>
          <w:sz w:val="24"/>
          <w:lang w:val="ru-RU"/>
        </w:rPr>
        <w:t>, програмата беше особено важна, тъй като подпомогна внедряването на европейските информационни системи и обезпечаването на тяхната финансова устойчивост; в повечето случаи тези аспекти са предписани от МКС, а Комисията и държавите членки споделят отговорността по прилагането и поддържането им. На потребността от оперативна съвместимост, взаимосвързаност и надеждност на електронните митнически системи програма „Митници“ отговори с единна система за данни за един добре функциониращ митнически съюз на ЕС. Вече работят 49</w:t>
      </w:r>
      <w:r>
        <w:rPr>
          <w:rFonts w:ascii="Times New Roman" w:hAnsi="Times New Roman"/>
          <w:noProof/>
          <w:sz w:val="24"/>
        </w:rPr>
        <w:t> </w:t>
      </w:r>
      <w:r>
        <w:rPr>
          <w:rFonts w:ascii="Times New Roman" w:hAnsi="Times New Roman"/>
          <w:noProof/>
          <w:sz w:val="24"/>
          <w:lang w:val="ru-RU"/>
        </w:rPr>
        <w:t>различни ИТ системи и поддържаща инфраструктура, а високата им надеждност е ключът към безпрепятственото функциониране на митническите процедури и на единния пазар като цяло. По принцип беше установено, че ИТ системите, които работят от дълго време и обезпечават по-традиционната роля и нужди на митниците по класиране на стоките, управление на тарифите или контрол на движението на стоки, в най-голяма степен отговарят на основните нужди.</w:t>
      </w:r>
    </w:p>
    <w:p>
      <w:pPr>
        <w:jc w:val="both"/>
        <w:rPr>
          <w:rFonts w:ascii="Times New Roman" w:hAnsi="Times New Roman" w:cs="Times New Roman"/>
          <w:noProof/>
          <w:sz w:val="24"/>
          <w:szCs w:val="24"/>
          <w:lang w:val="ru-RU"/>
        </w:rPr>
      </w:pPr>
      <w:r>
        <w:rPr>
          <w:rFonts w:ascii="Times New Roman" w:hAnsi="Times New Roman"/>
          <w:noProof/>
          <w:sz w:val="24"/>
          <w:lang w:val="ru-RU"/>
        </w:rPr>
        <w:t xml:space="preserve">Що се отнася до </w:t>
      </w:r>
      <w:r>
        <w:rPr>
          <w:rFonts w:ascii="Times New Roman" w:hAnsi="Times New Roman"/>
          <w:b/>
          <w:i/>
          <w:noProof/>
          <w:sz w:val="24"/>
          <w:lang w:val="ru-RU"/>
        </w:rPr>
        <w:t>икономическите оператори</w:t>
      </w:r>
      <w:r>
        <w:rPr>
          <w:rFonts w:ascii="Times New Roman" w:hAnsi="Times New Roman"/>
          <w:noProof/>
          <w:sz w:val="24"/>
          <w:lang w:val="ru-RU"/>
        </w:rPr>
        <w:t>, техните нужди са свързани с ефикасното и ефективно протичане на митническите процеси, тъй като скоростта и надеждността на митническото оформяне оказват пряко въздействие върху производителността и доходността на предприятията. Макар основните бенефициери на програма „Митници</w:t>
      </w:r>
      <w:r>
        <w:rPr>
          <w:rFonts w:ascii="Times New Roman" w:hAnsi="Times New Roman"/>
          <w:noProof/>
          <w:sz w:val="24"/>
        </w:rPr>
        <w:t> </w:t>
      </w:r>
      <w:r>
        <w:rPr>
          <w:rFonts w:ascii="Times New Roman" w:hAnsi="Times New Roman"/>
          <w:noProof/>
          <w:sz w:val="24"/>
          <w:lang w:val="ru-RU"/>
        </w:rPr>
        <w:t>2020“ да са националните администрации, хиляди икономически оператори редовно са във взаимодействие с финансираните от програмата ИТ системи. Системите бързо им предоставят информация, която не е достъпна другаде, а това спомага за известно намаляване на административната тежест и опростяване на процедурите; в крайна сметка този фактор увеличава правната сигурност и улеснява търговията. Съвместните действия в рамките на програма „Митници</w:t>
      </w:r>
      <w:r>
        <w:rPr>
          <w:rFonts w:ascii="Times New Roman" w:hAnsi="Times New Roman"/>
          <w:noProof/>
          <w:sz w:val="24"/>
        </w:rPr>
        <w:t> </w:t>
      </w:r>
      <w:r>
        <w:rPr>
          <w:rFonts w:ascii="Times New Roman" w:hAnsi="Times New Roman"/>
          <w:noProof/>
          <w:sz w:val="24"/>
          <w:lang w:val="ru-RU"/>
        </w:rPr>
        <w:t>2020“ създават възможност за диалог между митниците и бизнес средите и спомагат да се оптимизира потенциалът на програмата за държавите членки, като в същото време са фактор в практическите последици за предприятията. Беше установено, че понякога програмата е променяла отношенията между митническите администрации и предприятията, приближавайки ги до партньорство, което в по-голяма степен отговаря на изискванията на съвременната среда.</w:t>
      </w:r>
    </w:p>
    <w:p>
      <w:pPr>
        <w:jc w:val="both"/>
        <w:rPr>
          <w:rFonts w:ascii="Times New Roman" w:hAnsi="Times New Roman" w:cs="Times New Roman"/>
          <w:noProof/>
          <w:sz w:val="24"/>
          <w:szCs w:val="24"/>
          <w:lang w:val="ru-RU"/>
        </w:rPr>
      </w:pPr>
      <w:r>
        <w:rPr>
          <w:rFonts w:ascii="Times New Roman" w:hAnsi="Times New Roman"/>
          <w:noProof/>
          <w:sz w:val="24"/>
          <w:lang w:val="ru-RU"/>
        </w:rPr>
        <w:t>Програма „Митници</w:t>
      </w:r>
      <w:r>
        <w:rPr>
          <w:rFonts w:ascii="Times New Roman" w:hAnsi="Times New Roman"/>
          <w:noProof/>
          <w:sz w:val="24"/>
        </w:rPr>
        <w:t> </w:t>
      </w:r>
      <w:r>
        <w:rPr>
          <w:rFonts w:ascii="Times New Roman" w:hAnsi="Times New Roman"/>
          <w:noProof/>
          <w:sz w:val="24"/>
          <w:lang w:val="ru-RU"/>
        </w:rPr>
        <w:t xml:space="preserve">2020“ засяга така също въпроси от общ интерес за всички европейски </w:t>
      </w:r>
      <w:r>
        <w:rPr>
          <w:rFonts w:ascii="Times New Roman" w:hAnsi="Times New Roman"/>
          <w:b/>
          <w:i/>
          <w:noProof/>
          <w:sz w:val="24"/>
          <w:lang w:val="ru-RU"/>
        </w:rPr>
        <w:t>граждани</w:t>
      </w:r>
      <w:r>
        <w:rPr>
          <w:rFonts w:ascii="Times New Roman" w:hAnsi="Times New Roman"/>
          <w:noProof/>
          <w:sz w:val="24"/>
          <w:lang w:val="ru-RU"/>
        </w:rPr>
        <w:t>. Те са свързани със заплахите от международен трафик и контрабанда на незаконни стоки, които представляват риск за безопасността или здравето на гражданите. Поради това специфичните цели на програмата, отнасящи се до безопасността и сигурността на европейските граждани, са придобили още по-голямо значение. Също толкова важен е въпросът за загрижеността във връзка с все по-високата степен на цифровизация на икономиката и услугите. Структурата и целите на програма „Митници</w:t>
      </w:r>
      <w:r>
        <w:rPr>
          <w:rFonts w:ascii="Times New Roman" w:hAnsi="Times New Roman"/>
          <w:noProof/>
          <w:sz w:val="24"/>
        </w:rPr>
        <w:t> </w:t>
      </w:r>
      <w:r>
        <w:rPr>
          <w:rFonts w:ascii="Times New Roman" w:hAnsi="Times New Roman"/>
          <w:noProof/>
          <w:sz w:val="24"/>
          <w:lang w:val="ru-RU"/>
        </w:rPr>
        <w:t>2020“ напълно отговарят на въпросите, които предизвикват безпокойството на заинтересованите страни.</w:t>
      </w:r>
    </w:p>
    <w:p>
      <w:pPr>
        <w:pStyle w:val="Heading1"/>
        <w:numPr>
          <w:ilvl w:val="0"/>
          <w:numId w:val="1"/>
        </w:numPr>
        <w:rPr>
          <w:noProof/>
        </w:rPr>
      </w:pPr>
      <w:r>
        <w:rPr>
          <w:noProof/>
        </w:rPr>
        <w:t>Ефективност</w:t>
      </w:r>
    </w:p>
    <w:p>
      <w:pPr>
        <w:jc w:val="both"/>
        <w:rPr>
          <w:rFonts w:ascii="Verdana" w:hAnsi="Verdana"/>
          <w:bCs/>
          <w:noProof/>
          <w:color w:val="333333"/>
          <w:sz w:val="20"/>
          <w:szCs w:val="24"/>
          <w:lang w:val="ru-RU"/>
        </w:rPr>
      </w:pPr>
      <w:r>
        <w:rPr>
          <w:rFonts w:ascii="Times New Roman" w:hAnsi="Times New Roman"/>
          <w:noProof/>
          <w:sz w:val="24"/>
          <w:lang w:val="ru-RU"/>
        </w:rPr>
        <w:t>Общата цел на програмата е да се подпомогне функционирането и модернизирането на митническия съюз по пътя на сътрудничеството между участващите държави, техните митнически органи и служителите им. Според оценката програмата е осигурила рамката и технологичните средства, необходими за съвместна работа и споделяне на информация, за да се подпомогне функционирането и модернизирането на митническия съюз (и по-специално във връзка с прилагането на МКС) и съответно да се укрепи единният пазар.</w:t>
      </w:r>
    </w:p>
    <w:p>
      <w:pPr>
        <w:jc w:val="both"/>
        <w:rPr>
          <w:rFonts w:ascii="Times New Roman" w:hAnsi="Times New Roman" w:cs="Times New Roman"/>
          <w:noProof/>
          <w:sz w:val="24"/>
          <w:szCs w:val="24"/>
          <w:lang w:val="ru-RU"/>
        </w:rPr>
      </w:pPr>
      <w:r>
        <w:rPr>
          <w:rFonts w:ascii="Times New Roman" w:hAnsi="Times New Roman"/>
          <w:noProof/>
          <w:sz w:val="24"/>
          <w:lang w:val="ru-RU"/>
        </w:rPr>
        <w:t>Благодарение на сигурната платформа за обмен и споделяне на информация, която се поддържа от програмата, държавите членки и икономическите оператори преодоляха своето нежелание да споделят чувствителни данни, което спъваше ефективното сътрудничество. Само през 2017</w:t>
      </w:r>
      <w:r>
        <w:rPr>
          <w:rFonts w:ascii="Times New Roman" w:hAnsi="Times New Roman"/>
          <w:noProof/>
          <w:sz w:val="24"/>
        </w:rPr>
        <w:t> </w:t>
      </w:r>
      <w:r>
        <w:rPr>
          <w:rFonts w:ascii="Times New Roman" w:hAnsi="Times New Roman"/>
          <w:noProof/>
          <w:sz w:val="24"/>
          <w:lang w:val="ru-RU"/>
        </w:rPr>
        <w:t>г. те обмениха почти 4,8</w:t>
      </w:r>
      <w:r>
        <w:rPr>
          <w:rFonts w:ascii="Times New Roman" w:hAnsi="Times New Roman"/>
          <w:noProof/>
          <w:sz w:val="24"/>
        </w:rPr>
        <w:t> </w:t>
      </w:r>
      <w:r>
        <w:rPr>
          <w:rFonts w:ascii="Times New Roman" w:hAnsi="Times New Roman"/>
          <w:noProof/>
          <w:sz w:val="24"/>
          <w:lang w:val="ru-RU"/>
        </w:rPr>
        <w:t>млрд.</w:t>
      </w:r>
      <w:r>
        <w:rPr>
          <w:rFonts w:ascii="Times New Roman" w:hAnsi="Times New Roman"/>
          <w:noProof/>
          <w:sz w:val="24"/>
        </w:rPr>
        <w:t> </w:t>
      </w:r>
      <w:r>
        <w:rPr>
          <w:rFonts w:ascii="Times New Roman" w:hAnsi="Times New Roman"/>
          <w:noProof/>
          <w:sz w:val="24"/>
          <w:lang w:val="ru-RU"/>
        </w:rPr>
        <w:t>съобщения.</w:t>
      </w:r>
    </w:p>
    <w:p>
      <w:pPr>
        <w:jc w:val="both"/>
        <w:rPr>
          <w:rFonts w:ascii="Times New Roman" w:hAnsi="Times New Roman" w:cs="Times New Roman"/>
          <w:noProof/>
          <w:sz w:val="24"/>
          <w:szCs w:val="24"/>
          <w:lang w:val="ru-RU"/>
        </w:rPr>
      </w:pPr>
      <w:r>
        <w:rPr>
          <w:rFonts w:ascii="Times New Roman" w:hAnsi="Times New Roman"/>
          <w:noProof/>
          <w:sz w:val="24"/>
          <w:lang w:val="ru-RU"/>
        </w:rPr>
        <w:t xml:space="preserve">В рамките на съвместните действия по програмата бяха осъществени допълнителни обмени на най-добри практики и обучения. Всеки вид действие е бил най-подходящият за конкретните обстоятелства, в зависимост преди всичко от желания резултат. Програмата е помогнала на администрациите за всички видове действия, включително експертните екипи (нов инструмент, с който се подпомага засиленото оперативно сътрудничество на регионална или тематична база), да идентифицират, разпространяват и прилагат най-добри практики. Тази помощ е довела до практическото използване на подобрени работни методи в митническата администрация и до по-съгласуван подход към прилагането на митническите правила. </w:t>
      </w:r>
    </w:p>
    <w:p>
      <w:pPr>
        <w:jc w:val="both"/>
        <w:rPr>
          <w:rFonts w:ascii="Times New Roman" w:hAnsi="Times New Roman" w:cs="Times New Roman"/>
          <w:noProof/>
          <w:sz w:val="24"/>
          <w:szCs w:val="24"/>
          <w:lang w:val="ru-RU"/>
        </w:rPr>
      </w:pPr>
      <w:r>
        <w:rPr>
          <w:rFonts w:ascii="Times New Roman" w:hAnsi="Times New Roman"/>
          <w:noProof/>
          <w:sz w:val="24"/>
          <w:lang w:val="ru-RU"/>
        </w:rPr>
        <w:t>Програма „Митници</w:t>
      </w:r>
      <w:r>
        <w:rPr>
          <w:rFonts w:ascii="Times New Roman" w:hAnsi="Times New Roman"/>
          <w:noProof/>
          <w:sz w:val="24"/>
        </w:rPr>
        <w:t> </w:t>
      </w:r>
      <w:r>
        <w:rPr>
          <w:rFonts w:ascii="Times New Roman" w:hAnsi="Times New Roman"/>
          <w:noProof/>
          <w:sz w:val="24"/>
          <w:lang w:val="ru-RU"/>
        </w:rPr>
        <w:t xml:space="preserve">2020“ е спомогнала за </w:t>
      </w:r>
      <w:r>
        <w:rPr>
          <w:rFonts w:ascii="Times New Roman" w:hAnsi="Times New Roman"/>
          <w:b/>
          <w:i/>
          <w:noProof/>
          <w:sz w:val="24"/>
          <w:lang w:val="ru-RU"/>
        </w:rPr>
        <w:t>изграждането на доверие</w:t>
      </w:r>
      <w:r>
        <w:rPr>
          <w:rFonts w:ascii="Times New Roman" w:hAnsi="Times New Roman"/>
          <w:noProof/>
          <w:sz w:val="24"/>
          <w:lang w:val="ru-RU"/>
        </w:rPr>
        <w:t xml:space="preserve"> между митническите администрации, както и с икономическите оператори. Повечето участници са използвали възможността да създадат и разширят мрежите и контактите помежду си, като в голямата си част те редовно са ползвали тези връзки за решаването на ежедневни проблеми. Те също така са споделили някои резултати (напр. насоки, доклади от срещи, най-добри практики и т.н.) със своите колеги и активно са ги използвали в ежедневната си работа. Значението от свързването на хората в мрежи и личните контакти са сред най-високо оценените ползи от програмата.</w:t>
      </w:r>
    </w:p>
    <w:p>
      <w:pPr>
        <w:jc w:val="both"/>
        <w:rPr>
          <w:rFonts w:ascii="Times New Roman" w:hAnsi="Times New Roman" w:cs="Times New Roman"/>
          <w:noProof/>
          <w:sz w:val="24"/>
          <w:szCs w:val="24"/>
          <w:lang w:val="ru-RU"/>
        </w:rPr>
      </w:pPr>
      <w:r>
        <w:rPr>
          <w:rFonts w:ascii="Times New Roman" w:hAnsi="Times New Roman"/>
          <w:noProof/>
          <w:sz w:val="24"/>
          <w:lang w:val="ru-RU"/>
        </w:rPr>
        <w:t xml:space="preserve">Това сътрудничество и доверие е необходимо, тъй като митническите органи разчитат едни на други при изпълнението на функциите си по събиране на приходите и по този начин </w:t>
      </w:r>
      <w:r>
        <w:rPr>
          <w:rFonts w:ascii="Times New Roman" w:hAnsi="Times New Roman"/>
          <w:b/>
          <w:i/>
          <w:noProof/>
          <w:sz w:val="24"/>
          <w:lang w:val="ru-RU"/>
        </w:rPr>
        <w:t xml:space="preserve">защитават финансовите и икономическите интереси </w:t>
      </w:r>
      <w:r>
        <w:rPr>
          <w:rFonts w:ascii="Times New Roman" w:hAnsi="Times New Roman"/>
          <w:noProof/>
          <w:sz w:val="24"/>
          <w:lang w:val="ru-RU"/>
        </w:rPr>
        <w:t>на ЕС и на неговите държави членки. Засиленото сътрудничество между тях, споделянето на най-добри практики, прилагането на практика на изпитани решения, доверието в техните партньори и ИТ системите, които всички те използват, може да бъдат обяснени с програма „Митници</w:t>
      </w:r>
      <w:r>
        <w:rPr>
          <w:rFonts w:ascii="Times New Roman" w:hAnsi="Times New Roman"/>
          <w:noProof/>
          <w:sz w:val="24"/>
        </w:rPr>
        <w:t> </w:t>
      </w:r>
      <w:r>
        <w:rPr>
          <w:rFonts w:ascii="Times New Roman" w:hAnsi="Times New Roman"/>
          <w:noProof/>
          <w:sz w:val="24"/>
          <w:lang w:val="ru-RU"/>
        </w:rPr>
        <w:t xml:space="preserve">2020“. Аналогично, що се отнася до </w:t>
      </w:r>
      <w:r>
        <w:rPr>
          <w:rFonts w:ascii="Times New Roman" w:hAnsi="Times New Roman"/>
          <w:b/>
          <w:i/>
          <w:noProof/>
          <w:sz w:val="24"/>
          <w:lang w:val="ru-RU"/>
        </w:rPr>
        <w:t>засилването на безопасността и сигурността</w:t>
      </w:r>
      <w:r>
        <w:rPr>
          <w:rFonts w:ascii="Times New Roman" w:hAnsi="Times New Roman"/>
          <w:noProof/>
          <w:sz w:val="24"/>
          <w:lang w:val="ru-RU"/>
        </w:rPr>
        <w:t>, когато анализаторите на риска в областта на митниците са натоварени със задачата ежедневно да дават отпор на заплахи за сигурността, те разчитат на надежден обмен на информация помежду си и често с други органи и структури, който е гарантиран по линия на програма „Митници</w:t>
      </w:r>
      <w:r>
        <w:rPr>
          <w:rFonts w:ascii="Times New Roman" w:hAnsi="Times New Roman"/>
          <w:noProof/>
          <w:sz w:val="24"/>
        </w:rPr>
        <w:t> </w:t>
      </w:r>
      <w:r>
        <w:rPr>
          <w:rFonts w:ascii="Times New Roman" w:hAnsi="Times New Roman"/>
          <w:noProof/>
          <w:sz w:val="24"/>
          <w:lang w:val="ru-RU"/>
        </w:rPr>
        <w:t>2020“. На този фон програмата подпомага работата на митническите администрации по управление на риска, управление на външните граници, технологии за разкриване за целите на митниците и защита на културното наследство или природата.</w:t>
      </w:r>
    </w:p>
    <w:p>
      <w:pPr>
        <w:jc w:val="both"/>
        <w:rPr>
          <w:rFonts w:ascii="Times New Roman" w:hAnsi="Times New Roman" w:cs="Times New Roman"/>
          <w:noProof/>
          <w:sz w:val="24"/>
          <w:szCs w:val="24"/>
          <w:lang w:val="ru-RU"/>
        </w:rPr>
      </w:pPr>
      <w:r>
        <w:rPr>
          <w:rFonts w:ascii="Times New Roman" w:hAnsi="Times New Roman"/>
          <w:noProof/>
          <w:sz w:val="24"/>
          <w:lang w:val="ru-RU"/>
        </w:rPr>
        <w:t xml:space="preserve">Що се отнася до </w:t>
      </w:r>
      <w:r>
        <w:rPr>
          <w:rFonts w:ascii="Times New Roman" w:hAnsi="Times New Roman"/>
          <w:b/>
          <w:i/>
          <w:noProof/>
          <w:sz w:val="24"/>
          <w:lang w:val="ru-RU"/>
        </w:rPr>
        <w:t>повишаването на административния капацитет на митническите органи</w:t>
      </w:r>
      <w:r>
        <w:rPr>
          <w:rFonts w:ascii="Times New Roman" w:hAnsi="Times New Roman"/>
          <w:noProof/>
          <w:sz w:val="24"/>
          <w:lang w:val="ru-RU"/>
        </w:rPr>
        <w:t>, програма „Митници</w:t>
      </w:r>
      <w:r>
        <w:rPr>
          <w:rFonts w:ascii="Times New Roman" w:hAnsi="Times New Roman"/>
          <w:noProof/>
          <w:sz w:val="24"/>
        </w:rPr>
        <w:t> </w:t>
      </w:r>
      <w:r>
        <w:rPr>
          <w:rFonts w:ascii="Times New Roman" w:hAnsi="Times New Roman"/>
          <w:noProof/>
          <w:sz w:val="24"/>
          <w:lang w:val="ru-RU"/>
        </w:rPr>
        <w:t>2020“ осигурява широка подкрепа, варираща от технически и оперативни въпроси до по-стратегическото прилагане и уеднаквяване на правните норми. Тя беше от изключителна важност в подпомагането на митническите администрации в тяхната подготовка за официалното приемане на МКС. Към най-новите модули за електронно обучение по прилагането на МКС вече са проявили интерес 68</w:t>
      </w:r>
      <w:r>
        <w:rPr>
          <w:rFonts w:ascii="Times New Roman" w:hAnsi="Times New Roman"/>
          <w:noProof/>
          <w:sz w:val="24"/>
        </w:rPr>
        <w:t> </w:t>
      </w:r>
      <w:r>
        <w:rPr>
          <w:rFonts w:ascii="Times New Roman" w:hAnsi="Times New Roman"/>
          <w:noProof/>
          <w:sz w:val="24"/>
          <w:lang w:val="ru-RU"/>
        </w:rPr>
        <w:t>915</w:t>
      </w:r>
      <w:r>
        <w:rPr>
          <w:rFonts w:ascii="Times New Roman" w:hAnsi="Times New Roman"/>
          <w:noProof/>
          <w:sz w:val="24"/>
        </w:rPr>
        <w:t> </w:t>
      </w:r>
      <w:r>
        <w:rPr>
          <w:rFonts w:ascii="Times New Roman" w:hAnsi="Times New Roman"/>
          <w:noProof/>
          <w:sz w:val="24"/>
          <w:lang w:val="ru-RU"/>
        </w:rPr>
        <w:t>митнически служители и 726</w:t>
      </w:r>
      <w:r>
        <w:rPr>
          <w:rFonts w:ascii="Times New Roman" w:hAnsi="Times New Roman"/>
          <w:noProof/>
          <w:sz w:val="24"/>
        </w:rPr>
        <w:t> </w:t>
      </w:r>
      <w:r>
        <w:rPr>
          <w:rFonts w:ascii="Times New Roman" w:hAnsi="Times New Roman"/>
          <w:noProof/>
          <w:sz w:val="24"/>
          <w:lang w:val="ru-RU"/>
        </w:rPr>
        <w:t>000</w:t>
      </w:r>
      <w:r>
        <w:rPr>
          <w:rFonts w:ascii="Times New Roman" w:hAnsi="Times New Roman"/>
          <w:noProof/>
          <w:sz w:val="24"/>
        </w:rPr>
        <w:t> </w:t>
      </w:r>
      <w:r>
        <w:rPr>
          <w:rFonts w:ascii="Times New Roman" w:hAnsi="Times New Roman"/>
          <w:noProof/>
          <w:sz w:val="24"/>
          <w:lang w:val="ru-RU"/>
        </w:rPr>
        <w:t xml:space="preserve">икономически оператори. Съвместните действия и обучението по програмата са улеснили </w:t>
      </w:r>
      <w:r>
        <w:rPr>
          <w:rFonts w:ascii="Times New Roman" w:hAnsi="Times New Roman"/>
          <w:noProof/>
          <w:sz w:val="24"/>
        </w:rPr>
        <w:t>i</w:t>
      </w:r>
      <w:r>
        <w:rPr>
          <w:rFonts w:ascii="Times New Roman" w:hAnsi="Times New Roman"/>
          <w:noProof/>
          <w:sz w:val="24"/>
          <w:lang w:val="ru-RU"/>
        </w:rPr>
        <w:t xml:space="preserve">) уеднаквеното разбиране на правните изисквания; </w:t>
      </w:r>
      <w:r>
        <w:rPr>
          <w:rFonts w:ascii="Times New Roman" w:hAnsi="Times New Roman"/>
          <w:noProof/>
          <w:sz w:val="24"/>
        </w:rPr>
        <w:t>ii</w:t>
      </w:r>
      <w:r>
        <w:rPr>
          <w:rFonts w:ascii="Times New Roman" w:hAnsi="Times New Roman"/>
          <w:noProof/>
          <w:sz w:val="24"/>
          <w:lang w:val="ru-RU"/>
        </w:rPr>
        <w:t xml:space="preserve">) хармонизираното тълкуване на митническите разпоредби; </w:t>
      </w:r>
      <w:r>
        <w:rPr>
          <w:rFonts w:ascii="Times New Roman" w:hAnsi="Times New Roman"/>
          <w:noProof/>
          <w:sz w:val="24"/>
        </w:rPr>
        <w:t>iii</w:t>
      </w:r>
      <w:r>
        <w:rPr>
          <w:rFonts w:ascii="Times New Roman" w:hAnsi="Times New Roman"/>
          <w:noProof/>
          <w:sz w:val="24"/>
          <w:lang w:val="ru-RU"/>
        </w:rPr>
        <w:t xml:space="preserve">) стандартизирането на терминологията; както и </w:t>
      </w:r>
      <w:r>
        <w:rPr>
          <w:rFonts w:ascii="Times New Roman" w:hAnsi="Times New Roman"/>
          <w:noProof/>
          <w:sz w:val="24"/>
        </w:rPr>
        <w:t>iv</w:t>
      </w:r>
      <w:r>
        <w:rPr>
          <w:rFonts w:ascii="Times New Roman" w:hAnsi="Times New Roman"/>
          <w:noProof/>
          <w:sz w:val="24"/>
          <w:lang w:val="ru-RU"/>
        </w:rPr>
        <w:t>) по-единното прилагане на работните методи на МКС.</w:t>
      </w:r>
    </w:p>
    <w:p>
      <w:pPr>
        <w:jc w:val="both"/>
        <w:rPr>
          <w:rFonts w:ascii="Times New Roman" w:hAnsi="Times New Roman" w:cs="Times New Roman"/>
          <w:noProof/>
          <w:sz w:val="24"/>
          <w:szCs w:val="24"/>
          <w:lang w:val="ru-RU"/>
        </w:rPr>
      </w:pPr>
      <w:r>
        <w:rPr>
          <w:rFonts w:ascii="Times New Roman" w:hAnsi="Times New Roman"/>
          <w:noProof/>
          <w:sz w:val="24"/>
          <w:lang w:val="ru-RU"/>
        </w:rPr>
        <w:t>Програмата е допринесла за правилното функциониране и модернизирането на митническия съюз на ЕС благодарение на засиленото сътрудничество между държавите членки, финансовата и техническата подкрепа за разработването и внедряването на европейските информационни системи и по-големите възможности на държавите членки да прилагат разпоредбите на МКС.</w:t>
      </w:r>
    </w:p>
    <w:p>
      <w:pPr>
        <w:pStyle w:val="Heading1"/>
        <w:numPr>
          <w:ilvl w:val="0"/>
          <w:numId w:val="1"/>
        </w:numPr>
        <w:rPr>
          <w:noProof/>
        </w:rPr>
      </w:pPr>
      <w:r>
        <w:rPr>
          <w:noProof/>
        </w:rPr>
        <w:t>Ефикасност</w:t>
      </w:r>
    </w:p>
    <w:p>
      <w:pPr>
        <w:jc w:val="both"/>
        <w:rPr>
          <w:rFonts w:ascii="Times New Roman" w:hAnsi="Times New Roman" w:cs="Times New Roman"/>
          <w:noProof/>
          <w:sz w:val="24"/>
          <w:szCs w:val="24"/>
          <w:lang w:val="ru-RU"/>
        </w:rPr>
      </w:pPr>
      <w:r>
        <w:rPr>
          <w:rFonts w:ascii="Times New Roman" w:hAnsi="Times New Roman"/>
          <w:noProof/>
          <w:sz w:val="24"/>
          <w:lang w:val="ru-RU"/>
        </w:rPr>
        <w:t>Общият бюджет на програма „Митници</w:t>
      </w:r>
      <w:r>
        <w:rPr>
          <w:rFonts w:ascii="Times New Roman" w:hAnsi="Times New Roman"/>
          <w:noProof/>
          <w:sz w:val="24"/>
        </w:rPr>
        <w:t> </w:t>
      </w:r>
      <w:r>
        <w:rPr>
          <w:rFonts w:ascii="Times New Roman" w:hAnsi="Times New Roman"/>
          <w:noProof/>
          <w:sz w:val="24"/>
          <w:lang w:val="ru-RU"/>
        </w:rPr>
        <w:t>2020“ е</w:t>
      </w:r>
      <w:r>
        <w:rPr>
          <w:rFonts w:ascii="Times New Roman" w:hAnsi="Times New Roman"/>
          <w:noProof/>
          <w:sz w:val="24"/>
        </w:rPr>
        <w:t> </w:t>
      </w:r>
      <w:r>
        <w:rPr>
          <w:rFonts w:ascii="Times New Roman" w:hAnsi="Times New Roman"/>
          <w:noProof/>
          <w:sz w:val="24"/>
          <w:lang w:val="ru-RU"/>
        </w:rPr>
        <w:t>522</w:t>
      </w:r>
      <w:r>
        <w:rPr>
          <w:rFonts w:ascii="Times New Roman" w:hAnsi="Times New Roman"/>
          <w:noProof/>
          <w:sz w:val="24"/>
        </w:rPr>
        <w:t> </w:t>
      </w:r>
      <w:r>
        <w:rPr>
          <w:rFonts w:ascii="Times New Roman" w:hAnsi="Times New Roman"/>
          <w:noProof/>
          <w:sz w:val="24"/>
          <w:lang w:val="ru-RU"/>
        </w:rPr>
        <w:t>943</w:t>
      </w:r>
      <w:r>
        <w:rPr>
          <w:rFonts w:ascii="Times New Roman" w:hAnsi="Times New Roman"/>
          <w:noProof/>
          <w:sz w:val="24"/>
        </w:rPr>
        <w:t> </w:t>
      </w:r>
      <w:r>
        <w:rPr>
          <w:rFonts w:ascii="Times New Roman" w:hAnsi="Times New Roman"/>
          <w:noProof/>
          <w:sz w:val="24"/>
          <w:lang w:val="ru-RU"/>
        </w:rPr>
        <w:t>000</w:t>
      </w:r>
      <w:r>
        <w:rPr>
          <w:rFonts w:ascii="Times New Roman" w:hAnsi="Times New Roman"/>
          <w:noProof/>
          <w:sz w:val="24"/>
        </w:rPr>
        <w:t> EUR</w:t>
      </w:r>
      <w:r>
        <w:rPr>
          <w:rFonts w:ascii="Times New Roman" w:hAnsi="Times New Roman"/>
          <w:noProof/>
          <w:sz w:val="24"/>
          <w:lang w:val="ru-RU"/>
        </w:rPr>
        <w:t>, като през периода 2014—2017</w:t>
      </w:r>
      <w:r>
        <w:rPr>
          <w:rFonts w:ascii="Times New Roman" w:hAnsi="Times New Roman"/>
          <w:noProof/>
          <w:sz w:val="24"/>
        </w:rPr>
        <w:t> </w:t>
      </w:r>
      <w:r>
        <w:rPr>
          <w:rFonts w:ascii="Times New Roman" w:hAnsi="Times New Roman"/>
          <w:noProof/>
          <w:sz w:val="24"/>
          <w:lang w:val="ru-RU"/>
        </w:rPr>
        <w:t>г. са поети задължения за 288</w:t>
      </w:r>
      <w:r>
        <w:rPr>
          <w:rFonts w:ascii="Times New Roman" w:hAnsi="Times New Roman"/>
          <w:noProof/>
          <w:sz w:val="24"/>
        </w:rPr>
        <w:t> </w:t>
      </w:r>
      <w:r>
        <w:rPr>
          <w:rFonts w:ascii="Times New Roman" w:hAnsi="Times New Roman"/>
          <w:noProof/>
          <w:sz w:val="24"/>
          <w:lang w:val="ru-RU"/>
        </w:rPr>
        <w:t>722</w:t>
      </w:r>
      <w:r>
        <w:rPr>
          <w:rFonts w:ascii="Times New Roman" w:hAnsi="Times New Roman"/>
          <w:noProof/>
          <w:sz w:val="24"/>
        </w:rPr>
        <w:t> </w:t>
      </w:r>
      <w:r>
        <w:rPr>
          <w:rFonts w:ascii="Times New Roman" w:hAnsi="Times New Roman"/>
          <w:noProof/>
          <w:sz w:val="24"/>
          <w:lang w:val="ru-RU"/>
        </w:rPr>
        <w:t>000</w:t>
      </w:r>
      <w:r>
        <w:rPr>
          <w:rFonts w:ascii="Times New Roman" w:hAnsi="Times New Roman"/>
          <w:noProof/>
          <w:sz w:val="24"/>
        </w:rPr>
        <w:t> EUR</w:t>
      </w:r>
      <w:r>
        <w:rPr>
          <w:rFonts w:ascii="Times New Roman" w:hAnsi="Times New Roman"/>
          <w:noProof/>
          <w:sz w:val="24"/>
          <w:lang w:val="ru-RU"/>
        </w:rPr>
        <w:t>. Почти 85</w:t>
      </w:r>
      <w:r>
        <w:rPr>
          <w:rFonts w:ascii="Times New Roman" w:hAnsi="Times New Roman"/>
          <w:noProof/>
          <w:sz w:val="24"/>
        </w:rPr>
        <w:t> </w:t>
      </w:r>
      <w:r>
        <w:rPr>
          <w:rFonts w:ascii="Times New Roman" w:hAnsi="Times New Roman"/>
          <w:noProof/>
          <w:sz w:val="24"/>
          <w:lang w:val="ru-RU"/>
        </w:rPr>
        <w:t xml:space="preserve">% от бюджета са изразходвани за разработването, функционирането и поддръжката на </w:t>
      </w:r>
      <w:r>
        <w:rPr>
          <w:rFonts w:ascii="Times New Roman" w:hAnsi="Times New Roman"/>
          <w:b/>
          <w:i/>
          <w:noProof/>
          <w:sz w:val="24"/>
          <w:lang w:val="ru-RU"/>
        </w:rPr>
        <w:t>европейските информационни системи</w:t>
      </w:r>
      <w:r>
        <w:rPr>
          <w:rFonts w:ascii="Times New Roman" w:hAnsi="Times New Roman"/>
          <w:noProof/>
          <w:sz w:val="24"/>
          <w:lang w:val="ru-RU"/>
        </w:rPr>
        <w:t>. Ясно е, че тези общи ИТ системи изискват значителни средства. Те обаче осигуряват много ползи във всички области на митническите дейности, включително стандартизация на митническите процедури, единно прилагане на митническото законодателство, споделяне на информация и реализиране на икономии от мащаба. Икономиите от мащаба са възможни най-вече благодарение на централизираните системи, които поддържат различни системи с множество видове хардуер, софтуер и комуникационно оборудване. Те осигуряват на администрациите съгласуван, надежден и сигурен метод на съвместна работа. Те са взаимосвързани и оперативно съвместими, като свързват не само националните системи с централните системи, но също така самите централни системи една с друга. Те представляват технологичен отговор на целите на програма „Митници</w:t>
      </w:r>
      <w:r>
        <w:rPr>
          <w:rFonts w:ascii="Times New Roman" w:hAnsi="Times New Roman"/>
          <w:noProof/>
          <w:sz w:val="24"/>
        </w:rPr>
        <w:t> </w:t>
      </w:r>
      <w:r>
        <w:rPr>
          <w:rFonts w:ascii="Times New Roman" w:hAnsi="Times New Roman"/>
          <w:noProof/>
          <w:sz w:val="24"/>
          <w:lang w:val="ru-RU"/>
        </w:rPr>
        <w:t>2020“ и се използват широко от митническите органи и икономическите оператори в ежедневните им митнически операции. Приносът им за създаването на среда без документи на хартиен носител е безценен от гледна точка на модернизирането на митниците.</w:t>
      </w:r>
    </w:p>
    <w:p>
      <w:pPr>
        <w:jc w:val="both"/>
        <w:rPr>
          <w:rFonts w:ascii="Times New Roman" w:hAnsi="Times New Roman" w:cs="Times New Roman"/>
          <w:noProof/>
          <w:sz w:val="24"/>
          <w:szCs w:val="24"/>
          <w:lang w:val="ru-RU"/>
        </w:rPr>
      </w:pPr>
      <w:r>
        <w:rPr>
          <w:rFonts w:ascii="Times New Roman" w:hAnsi="Times New Roman"/>
          <w:noProof/>
          <w:sz w:val="24"/>
          <w:lang w:val="ru-RU"/>
        </w:rPr>
        <w:t xml:space="preserve">Що се отнася до </w:t>
      </w:r>
      <w:r>
        <w:rPr>
          <w:rFonts w:ascii="Times New Roman" w:hAnsi="Times New Roman"/>
          <w:b/>
          <w:i/>
          <w:noProof/>
          <w:sz w:val="24"/>
          <w:lang w:val="ru-RU"/>
        </w:rPr>
        <w:t>съвместните действия</w:t>
      </w:r>
      <w:r>
        <w:rPr>
          <w:rFonts w:ascii="Times New Roman" w:hAnsi="Times New Roman"/>
          <w:noProof/>
          <w:sz w:val="24"/>
          <w:lang w:val="ru-RU"/>
        </w:rPr>
        <w:t>, разходите по организирането им са свързани с участието и зависят от размера на разходите за транспорт и настаняване и дневните надбавки. Структурата на разходите за тях варира в много тесни граници между различните видове действия. Средните разходи за участник в едно действие за всички видове съвместни действия (с изключение на експертните екипи) възлизат на около 921</w:t>
      </w:r>
      <w:r>
        <w:rPr>
          <w:rFonts w:ascii="Times New Roman" w:hAnsi="Times New Roman"/>
          <w:noProof/>
          <w:sz w:val="24"/>
        </w:rPr>
        <w:t> EUR</w:t>
      </w:r>
      <w:r>
        <w:rPr>
          <w:rFonts w:ascii="Times New Roman" w:hAnsi="Times New Roman"/>
          <w:noProof/>
          <w:sz w:val="24"/>
          <w:lang w:val="ru-RU"/>
        </w:rPr>
        <w:t xml:space="preserve">, като са останали относително непроменени от последния цикъл на повторение на програмата и са съпоставими с разходите по сходни програми. Това е цената на многобройните ползи от съвместните действия, които осигуряват рамка за широко и приобщаващо постоянно сътрудничество, благодарение на което се създават професионални отношения и което служи като катализатор. Това сътрудничество включва обмена на идеи и практически опит, проучването на трудни теми, нови тенденции в технологиите, бизнес решения и ИТ подходи, сближаване в тълкуването на законодателството и практиките или насърчаване на промени в националните политики. С гъвкавия многогодишен програмен механизъм за съвместни действия може допълнително да се засили ефикасността на процеса на планиране и координиране. </w:t>
      </w:r>
    </w:p>
    <w:p>
      <w:pPr>
        <w:jc w:val="both"/>
        <w:rPr>
          <w:rFonts w:ascii="Times New Roman" w:hAnsi="Times New Roman" w:cs="Times New Roman"/>
          <w:noProof/>
          <w:sz w:val="24"/>
          <w:szCs w:val="24"/>
          <w:lang w:val="ru-RU"/>
        </w:rPr>
      </w:pPr>
      <w:r>
        <w:rPr>
          <w:rFonts w:ascii="Times New Roman" w:hAnsi="Times New Roman"/>
          <w:b/>
          <w:i/>
          <w:noProof/>
          <w:sz w:val="24"/>
          <w:lang w:val="ru-RU"/>
        </w:rPr>
        <w:t>Дейностите за обучение</w:t>
      </w:r>
      <w:r>
        <w:rPr>
          <w:rFonts w:ascii="Times New Roman" w:hAnsi="Times New Roman"/>
          <w:noProof/>
          <w:sz w:val="24"/>
          <w:lang w:val="ru-RU"/>
        </w:rPr>
        <w:t xml:space="preserve"> са ефикасн</w:t>
      </w:r>
      <w:r>
        <w:rPr>
          <w:rFonts w:ascii="Times New Roman" w:hAnsi="Times New Roman"/>
          <w:noProof/>
          <w:sz w:val="24"/>
          <w:lang w:val="bg-BG"/>
        </w:rPr>
        <w:t>и</w:t>
      </w:r>
      <w:r>
        <w:rPr>
          <w:rFonts w:ascii="Times New Roman" w:hAnsi="Times New Roman"/>
          <w:noProof/>
          <w:sz w:val="24"/>
          <w:lang w:val="ru-RU"/>
        </w:rPr>
        <w:t>, тъй като разходите по разработването им до голяма степен са еднократни, а тяхната рентабилност нараства с всеки допълнителен участник. Всъщност обучението в рамките на програма „Митници</w:t>
      </w:r>
      <w:r>
        <w:rPr>
          <w:rFonts w:ascii="Times New Roman" w:hAnsi="Times New Roman"/>
          <w:noProof/>
          <w:sz w:val="24"/>
        </w:rPr>
        <w:t> </w:t>
      </w:r>
      <w:r>
        <w:rPr>
          <w:rFonts w:ascii="Times New Roman" w:hAnsi="Times New Roman"/>
          <w:noProof/>
          <w:sz w:val="24"/>
          <w:lang w:val="ru-RU"/>
        </w:rPr>
        <w:t>2020“ осигурява ползи в две направления. По своята същност то е насочено към физически лица и ги обогатява, като повишава тяхното разбиране, знания и капацитет. Наред с това, тъй като програмата предлага единна база за обучение за всички, тя способства да се увеличи броят на хората, които разбират правилата; тяхното прилагане умножава ползите за митническите администрации, икономическите оператори и митническия съюз като цяло.</w:t>
      </w:r>
    </w:p>
    <w:p>
      <w:pPr>
        <w:jc w:val="both"/>
        <w:rPr>
          <w:rFonts w:ascii="Times New Roman" w:hAnsi="Times New Roman" w:cs="Times New Roman"/>
          <w:noProof/>
          <w:sz w:val="24"/>
          <w:szCs w:val="24"/>
          <w:lang w:val="ru-RU"/>
        </w:rPr>
      </w:pPr>
      <w:r>
        <w:rPr>
          <w:rFonts w:ascii="Times New Roman" w:hAnsi="Times New Roman"/>
          <w:noProof/>
          <w:sz w:val="24"/>
          <w:lang w:val="ru-RU"/>
        </w:rPr>
        <w:t>Въпреки че</w:t>
      </w:r>
      <w:r>
        <w:rPr>
          <w:rFonts w:ascii="Times New Roman" w:hAnsi="Times New Roman"/>
          <w:b/>
          <w:i/>
          <w:noProof/>
          <w:sz w:val="24"/>
          <w:lang w:val="ru-RU"/>
        </w:rPr>
        <w:t xml:space="preserve"> опростяването</w:t>
      </w:r>
      <w:r>
        <w:rPr>
          <w:rFonts w:ascii="Times New Roman" w:hAnsi="Times New Roman"/>
          <w:noProof/>
          <w:sz w:val="24"/>
          <w:lang w:val="ru-RU"/>
        </w:rPr>
        <w:t xml:space="preserve"> като такова не е една от целите на програмата, програмата оказва подкрепа на други инициативи, насочени към опростяване и модернизиране на митническата среда. Европейските информационни системи и бази данни, които се поддържат от програмата, водят пряко до по-опростена, по-стабилна и по-надеждна технологична рамка, която лесно се обслужва и поддържа. В рамките на съвместните действия по програмата и като пряк резултат от тях се създават така също опростени процедури или по-уеднаквени начини на работа, при които държавите членки и представителите на търговията си сътрудничат по практическото прилагане на правилата.</w:t>
      </w:r>
    </w:p>
    <w:p>
      <w:pPr>
        <w:jc w:val="both"/>
        <w:rPr>
          <w:rFonts w:ascii="Times New Roman" w:hAnsi="Times New Roman" w:cs="Times New Roman"/>
          <w:noProof/>
          <w:sz w:val="24"/>
          <w:szCs w:val="24"/>
          <w:lang w:val="ru-RU"/>
        </w:rPr>
      </w:pPr>
      <w:r>
        <w:rPr>
          <w:rFonts w:ascii="Times New Roman" w:hAnsi="Times New Roman"/>
          <w:noProof/>
          <w:sz w:val="24"/>
          <w:lang w:val="ru-RU"/>
        </w:rPr>
        <w:t xml:space="preserve">Постигнато е и известно повишаване на ефикасността, що се отнася до </w:t>
      </w:r>
      <w:r>
        <w:rPr>
          <w:rFonts w:ascii="Times New Roman" w:hAnsi="Times New Roman"/>
          <w:b/>
          <w:i/>
          <w:noProof/>
          <w:sz w:val="24"/>
          <w:lang w:val="ru-RU"/>
        </w:rPr>
        <w:t>полезните взаимодействия</w:t>
      </w:r>
      <w:r>
        <w:rPr>
          <w:rFonts w:ascii="Times New Roman" w:hAnsi="Times New Roman"/>
          <w:noProof/>
          <w:sz w:val="24"/>
          <w:lang w:val="ru-RU"/>
        </w:rPr>
        <w:t xml:space="preserve"> между програмите „Митници</w:t>
      </w:r>
      <w:r>
        <w:rPr>
          <w:rFonts w:ascii="Times New Roman" w:hAnsi="Times New Roman"/>
          <w:noProof/>
          <w:sz w:val="24"/>
        </w:rPr>
        <w:t> </w:t>
      </w:r>
      <w:r>
        <w:rPr>
          <w:rFonts w:ascii="Times New Roman" w:hAnsi="Times New Roman"/>
          <w:noProof/>
          <w:sz w:val="24"/>
          <w:lang w:val="ru-RU"/>
        </w:rPr>
        <w:t>2020“ и „Фискалис</w:t>
      </w:r>
      <w:r>
        <w:rPr>
          <w:rFonts w:ascii="Times New Roman" w:hAnsi="Times New Roman"/>
          <w:noProof/>
          <w:sz w:val="24"/>
        </w:rPr>
        <w:t> </w:t>
      </w:r>
      <w:r>
        <w:rPr>
          <w:rFonts w:ascii="Times New Roman" w:hAnsi="Times New Roman"/>
          <w:noProof/>
          <w:sz w:val="24"/>
          <w:lang w:val="ru-RU"/>
        </w:rPr>
        <w:t>2020“. Макар че областите на политиката на двете програми са различни, те имат сходна насоченост, а именно да дадат възможност на администрациите да си сътрудничат и да обменят информация. Тези сходства предлагат възможности за реализирането на полезни взаимодействия от гледна точка както на административни мерки, така и на съвместна работа, включително взаимно обогатяване и съвместно финансиране на общи компоненти като ИТ системи и сходни подходи към изграждането на човешки капитал и обучение. Това улеснява координирането на подходите и процесите, с които се осигурява съгласуваност и се генерират икономии от мащаба, като се намалява дублирането на усилия. На ниво съдържание полезните взаимодействия не са толкова ясно видими, макар че има по-явни примери в областта на акцизите: това е областта на компетентност, която често се споделя между националните данъчни и митнически администрации, а по програма „Митници</w:t>
      </w:r>
      <w:r>
        <w:rPr>
          <w:rFonts w:ascii="Times New Roman" w:hAnsi="Times New Roman"/>
          <w:noProof/>
          <w:sz w:val="24"/>
        </w:rPr>
        <w:t> </w:t>
      </w:r>
      <w:r>
        <w:rPr>
          <w:rFonts w:ascii="Times New Roman" w:hAnsi="Times New Roman"/>
          <w:noProof/>
          <w:sz w:val="24"/>
          <w:lang w:val="ru-RU"/>
        </w:rPr>
        <w:t>2020“ за нея е предоставено специално подпомагане за откриване на области от общ интерес.</w:t>
      </w:r>
    </w:p>
    <w:p>
      <w:pPr>
        <w:pStyle w:val="Heading1"/>
        <w:numPr>
          <w:ilvl w:val="0"/>
          <w:numId w:val="1"/>
        </w:numPr>
        <w:rPr>
          <w:noProof/>
        </w:rPr>
      </w:pPr>
      <w:r>
        <w:rPr>
          <w:noProof/>
        </w:rPr>
        <w:t>Съгласуваност</w:t>
      </w:r>
    </w:p>
    <w:p>
      <w:pPr>
        <w:jc w:val="both"/>
        <w:rPr>
          <w:rFonts w:ascii="Times New Roman" w:hAnsi="Times New Roman" w:cs="Times New Roman"/>
          <w:noProof/>
          <w:sz w:val="24"/>
          <w:szCs w:val="24"/>
          <w:lang w:val="ru-RU"/>
        </w:rPr>
      </w:pPr>
      <w:r>
        <w:rPr>
          <w:rFonts w:ascii="Times New Roman" w:hAnsi="Times New Roman"/>
          <w:b/>
          <w:i/>
          <w:noProof/>
          <w:sz w:val="24"/>
          <w:lang w:val="ru-RU"/>
        </w:rPr>
        <w:t>Вътрешната съгласуваност</w:t>
      </w:r>
      <w:r>
        <w:rPr>
          <w:rFonts w:ascii="Times New Roman" w:hAnsi="Times New Roman"/>
          <w:noProof/>
          <w:sz w:val="24"/>
          <w:lang w:val="ru-RU"/>
        </w:rPr>
        <w:t xml:space="preserve"> между различните характеристики, компоненти и структурирането на програмата е изключително силна, като се наблюдава високо ниво на съгласуваност между интервенционната логика и целите на програмата и нейното изпълнение. Различните дейности също се засилват и допълват взаимно, вследствие на което резултатите от програмата се подобряват. Широкият подход към специфични проблеми, които се преодоляват с помощта на различните компоненти на програмата, е типичен за много европейски информационни системи, чието прилагане и подобрения на ниво предприятие се подпомагат чрез съвместни действия и обучение. </w:t>
      </w:r>
    </w:p>
    <w:p>
      <w:pPr>
        <w:jc w:val="both"/>
        <w:rPr>
          <w:rFonts w:ascii="Times New Roman" w:hAnsi="Times New Roman" w:cs="Times New Roman"/>
          <w:noProof/>
          <w:sz w:val="24"/>
          <w:szCs w:val="24"/>
          <w:lang w:val="ru-RU"/>
        </w:rPr>
      </w:pPr>
      <w:r>
        <w:rPr>
          <w:rFonts w:ascii="Times New Roman" w:hAnsi="Times New Roman"/>
          <w:noProof/>
          <w:sz w:val="24"/>
          <w:lang w:val="ru-RU"/>
        </w:rPr>
        <w:t xml:space="preserve">Що се отнася до </w:t>
      </w:r>
      <w:r>
        <w:rPr>
          <w:rFonts w:ascii="Times New Roman" w:hAnsi="Times New Roman"/>
          <w:b/>
          <w:i/>
          <w:noProof/>
          <w:sz w:val="24"/>
          <w:lang w:val="ru-RU"/>
        </w:rPr>
        <w:t>външната съгласуваност</w:t>
      </w:r>
      <w:r>
        <w:rPr>
          <w:rFonts w:ascii="Times New Roman" w:hAnsi="Times New Roman"/>
          <w:noProof/>
          <w:sz w:val="24"/>
          <w:lang w:val="ru-RU"/>
        </w:rPr>
        <w:t>, програма „Митници</w:t>
      </w:r>
      <w:r>
        <w:rPr>
          <w:rFonts w:ascii="Times New Roman" w:hAnsi="Times New Roman"/>
          <w:noProof/>
          <w:sz w:val="24"/>
        </w:rPr>
        <w:t> </w:t>
      </w:r>
      <w:r>
        <w:rPr>
          <w:rFonts w:ascii="Times New Roman" w:hAnsi="Times New Roman"/>
          <w:noProof/>
          <w:sz w:val="24"/>
          <w:lang w:val="ru-RU"/>
        </w:rPr>
        <w:t>2020“ се вписва добре в стратегията „Европа</w:t>
      </w:r>
      <w:r>
        <w:rPr>
          <w:rFonts w:ascii="Times New Roman" w:hAnsi="Times New Roman"/>
          <w:noProof/>
          <w:sz w:val="24"/>
        </w:rPr>
        <w:t> </w:t>
      </w:r>
      <w:r>
        <w:rPr>
          <w:rFonts w:ascii="Times New Roman" w:hAnsi="Times New Roman"/>
          <w:noProof/>
          <w:sz w:val="24"/>
          <w:lang w:val="ru-RU"/>
        </w:rPr>
        <w:t>2020“, като спомага за постигането на интелигентен, устойчив и приобщаващ растеж чрез укрепване на функционирането на единния пазар. В този смисъл тя е неразделна част от по-широките политики на ЕС. Като подкрепя прилагането на МКС, програмата спомага за опростяването на съществуващите процедури, което би могло да доведе до улесняване на търговията и намаляване на разходите за предприятията. Ето защо тя напълно съответства на целта на ЕС за създаването на модерна среда без документи на хартиен носител за митниците и търговията, като в същото време се запазват финансовите, икономическите и обществените интереси на ЕС. Програма „Митници</w:t>
      </w:r>
      <w:r>
        <w:rPr>
          <w:rFonts w:ascii="Times New Roman" w:hAnsi="Times New Roman"/>
          <w:noProof/>
          <w:sz w:val="24"/>
        </w:rPr>
        <w:t> </w:t>
      </w:r>
      <w:r>
        <w:rPr>
          <w:rFonts w:ascii="Times New Roman" w:hAnsi="Times New Roman"/>
          <w:noProof/>
          <w:sz w:val="24"/>
          <w:lang w:val="ru-RU"/>
        </w:rPr>
        <w:t xml:space="preserve">2020“ спомага да се улесни движението на законните търговски потоци и дава възможност на надеждните търговци, които спазват изискванията, да се възползват в максимална степен от опростяването, като се повиши тяхната производителност и конкурентоспособност. Тя представлява основа на борбата срещу нарастващия обем на търговията с незаконни, фалшифицирани или опасни стоки, които са заплаха за работните места, растежа, иновациите, конкурентоспособността на предприятията от ЕС, сигурността и здравето на европейските граждани. </w:t>
      </w:r>
    </w:p>
    <w:p>
      <w:pPr>
        <w:jc w:val="both"/>
        <w:rPr>
          <w:rFonts w:ascii="Times New Roman" w:hAnsi="Times New Roman" w:cs="Times New Roman"/>
          <w:noProof/>
          <w:sz w:val="24"/>
          <w:szCs w:val="24"/>
          <w:lang w:val="ru-RU"/>
        </w:rPr>
      </w:pPr>
      <w:r>
        <w:rPr>
          <w:rFonts w:ascii="Times New Roman" w:hAnsi="Times New Roman"/>
          <w:noProof/>
          <w:sz w:val="24"/>
          <w:lang w:val="ru-RU"/>
        </w:rPr>
        <w:t>В Регламент</w:t>
      </w:r>
      <w:r>
        <w:rPr>
          <w:rFonts w:ascii="Times New Roman" w:hAnsi="Times New Roman"/>
          <w:noProof/>
          <w:sz w:val="24"/>
        </w:rPr>
        <w:t> </w:t>
      </w:r>
      <w:r>
        <w:rPr>
          <w:rFonts w:ascii="Times New Roman" w:hAnsi="Times New Roman"/>
          <w:noProof/>
          <w:sz w:val="24"/>
          <w:lang w:val="ru-RU"/>
        </w:rPr>
        <w:t>(ЕС)</w:t>
      </w:r>
      <w:r>
        <w:rPr>
          <w:rFonts w:ascii="Times New Roman" w:hAnsi="Times New Roman"/>
          <w:noProof/>
          <w:sz w:val="24"/>
        </w:rPr>
        <w:t> </w:t>
      </w:r>
      <w:r>
        <w:rPr>
          <w:rFonts w:ascii="Times New Roman" w:hAnsi="Times New Roman"/>
          <w:noProof/>
          <w:sz w:val="24"/>
          <w:lang w:val="ru-RU"/>
        </w:rPr>
        <w:t>№</w:t>
      </w:r>
      <w:r>
        <w:rPr>
          <w:rFonts w:ascii="Times New Roman" w:hAnsi="Times New Roman"/>
          <w:noProof/>
          <w:sz w:val="24"/>
        </w:rPr>
        <w:t> </w:t>
      </w:r>
      <w:r>
        <w:rPr>
          <w:rFonts w:ascii="Times New Roman" w:hAnsi="Times New Roman"/>
          <w:noProof/>
          <w:sz w:val="24"/>
          <w:lang w:val="ru-RU"/>
        </w:rPr>
        <w:t>1294/2013</w:t>
      </w:r>
      <w:r>
        <w:rPr>
          <w:noProof/>
          <w:lang w:val="ru-RU"/>
        </w:rPr>
        <w:t xml:space="preserve"> </w:t>
      </w:r>
      <w:r>
        <w:rPr>
          <w:rFonts w:ascii="Times New Roman" w:hAnsi="Times New Roman"/>
          <w:noProof/>
          <w:sz w:val="24"/>
          <w:lang w:val="ru-RU"/>
        </w:rPr>
        <w:t>се казва, че ресурсите следва да се споделят с други инструменти за финансиране, които са насочени към общи цели, както и че действията по програмата следва да гарантират съгласуваност при използването на ресурсите на ЕС в подкрепа на функционирането на митническия съюз. Съществуват и други финансови инструменти, които са на разположение за посрещането на специфичните потребности на националните митнически администрации. В оценката се посочва, че тези възможности за допълване не се използват в достатъчна степен. Те не се изтъкват достатъчно, което води до общата неосведоменост на митническите администрации.</w:t>
      </w:r>
    </w:p>
    <w:p>
      <w:pPr>
        <w:pStyle w:val="Heading1"/>
        <w:numPr>
          <w:ilvl w:val="0"/>
          <w:numId w:val="1"/>
        </w:numPr>
        <w:rPr>
          <w:noProof/>
        </w:rPr>
      </w:pPr>
      <w:r>
        <w:rPr>
          <w:noProof/>
        </w:rPr>
        <w:t>Добавена стойност на ЕС</w:t>
      </w:r>
    </w:p>
    <w:p>
      <w:pPr>
        <w:jc w:val="both"/>
        <w:rPr>
          <w:rFonts w:ascii="Times New Roman" w:hAnsi="Times New Roman" w:cs="Times New Roman"/>
          <w:noProof/>
          <w:sz w:val="24"/>
          <w:szCs w:val="24"/>
          <w:lang w:val="ru-RU"/>
        </w:rPr>
      </w:pPr>
      <w:r>
        <w:rPr>
          <w:rFonts w:ascii="Times New Roman" w:hAnsi="Times New Roman"/>
          <w:noProof/>
          <w:sz w:val="24"/>
          <w:lang w:val="ru-RU"/>
        </w:rPr>
        <w:t>Митническата политика попада в изключителната компетентност на ЕС. Все пак прилагането на митническото законодателство на ЕС, каквото представлява МКС, е в правомощията на отделните държави. Правната рамка на ЕС сама по себе си не гарантира в достатъчна степен правилното функциониране на митническия съюз. Тя трябва да се допълва от съпътстващи мерки, както се предвижда в програма „Митници</w:t>
      </w:r>
      <w:r>
        <w:rPr>
          <w:rFonts w:ascii="Times New Roman" w:hAnsi="Times New Roman"/>
          <w:noProof/>
          <w:sz w:val="24"/>
        </w:rPr>
        <w:t> </w:t>
      </w:r>
      <w:r>
        <w:rPr>
          <w:rFonts w:ascii="Times New Roman" w:hAnsi="Times New Roman"/>
          <w:noProof/>
          <w:sz w:val="24"/>
          <w:lang w:val="ru-RU"/>
        </w:rPr>
        <w:t>2020“, за да се гарантира, че митническото законодателство на ЕС се прилага по последователен и съгласуван начин на национално ниво.</w:t>
      </w:r>
    </w:p>
    <w:p>
      <w:pPr>
        <w:jc w:val="both"/>
        <w:rPr>
          <w:rFonts w:ascii="Times New Roman" w:hAnsi="Times New Roman" w:cs="Times New Roman"/>
          <w:noProof/>
          <w:sz w:val="24"/>
          <w:szCs w:val="24"/>
          <w:lang w:val="ru-RU"/>
        </w:rPr>
      </w:pPr>
      <w:r>
        <w:rPr>
          <w:rFonts w:ascii="Times New Roman" w:hAnsi="Times New Roman"/>
          <w:noProof/>
          <w:sz w:val="24"/>
          <w:lang w:val="ru-RU"/>
        </w:rPr>
        <w:t>Както е описано по-горе, много дейности в съвременните митници са от презгранично естество, като включват и засягат всички държави членки. Те налагат колективни действия на ниво ЕС, за да се постигне висока степен на сътрудничество, със съотношение на разходите и ползите, надвишаващо равнището, което би било реализирано, ако всяка държава членка създаваше отделни двустранни или многостранни рамки за сътрудничество. Сред заинтересованите страни имаше консенсус, че програмата е била ефективна в опита за предоставяне на решения по проблеми и въпроси, при които е налице ясно европейско измерение, като цяло допълвайки (а не дублирайки) инициативи на национално ниво.</w:t>
      </w:r>
    </w:p>
    <w:p>
      <w:pPr>
        <w:jc w:val="both"/>
        <w:rPr>
          <w:rFonts w:ascii="Times New Roman" w:hAnsi="Times New Roman" w:cs="Times New Roman"/>
          <w:noProof/>
          <w:sz w:val="24"/>
          <w:szCs w:val="24"/>
          <w:lang w:val="ru-RU"/>
        </w:rPr>
      </w:pPr>
      <w:r>
        <w:rPr>
          <w:rFonts w:ascii="Times New Roman" w:hAnsi="Times New Roman"/>
          <w:noProof/>
          <w:sz w:val="24"/>
          <w:lang w:val="ru-RU"/>
        </w:rPr>
        <w:t>Митническите органи в рамките на митническия съюз прилагат едни и същи правила. Всички държави членки зависят една от друга и се нуждаят от възможно най-пълна информация. Икономическите оператори, от своя страна, очакват еднакво равнище на обслужване, скорост и предвидимост на правилата и процедурите, когато им се налага да работят с митниците. За тази взаимозависимост се изисква сътрудничество и сближаване на практиките. Програма „Митници</w:t>
      </w:r>
      <w:r>
        <w:rPr>
          <w:rFonts w:ascii="Times New Roman" w:hAnsi="Times New Roman"/>
          <w:noProof/>
          <w:sz w:val="24"/>
        </w:rPr>
        <w:t> </w:t>
      </w:r>
      <w:r>
        <w:rPr>
          <w:rFonts w:ascii="Times New Roman" w:hAnsi="Times New Roman"/>
          <w:noProof/>
          <w:sz w:val="24"/>
          <w:lang w:val="ru-RU"/>
        </w:rPr>
        <w:t>2020“ има ключова роля за реализирането на това сближаване.</w:t>
      </w:r>
    </w:p>
    <w:p>
      <w:pPr>
        <w:jc w:val="both"/>
        <w:rPr>
          <w:rFonts w:ascii="Times New Roman" w:hAnsi="Times New Roman" w:cs="Times New Roman"/>
          <w:noProof/>
          <w:sz w:val="24"/>
          <w:szCs w:val="24"/>
          <w:lang w:val="ru-RU"/>
        </w:rPr>
      </w:pPr>
      <w:r>
        <w:rPr>
          <w:rFonts w:ascii="Times New Roman" w:hAnsi="Times New Roman"/>
          <w:noProof/>
          <w:sz w:val="24"/>
          <w:lang w:val="ru-RU"/>
        </w:rPr>
        <w:t>Както е посочено по-горе, програма „Митници</w:t>
      </w:r>
      <w:r>
        <w:rPr>
          <w:rFonts w:ascii="Times New Roman" w:hAnsi="Times New Roman"/>
          <w:noProof/>
          <w:sz w:val="24"/>
        </w:rPr>
        <w:t> </w:t>
      </w:r>
      <w:r>
        <w:rPr>
          <w:rFonts w:ascii="Times New Roman" w:hAnsi="Times New Roman"/>
          <w:noProof/>
          <w:sz w:val="24"/>
          <w:lang w:val="ru-RU"/>
        </w:rPr>
        <w:t>2020“ е допринесла по-специално за подпомагането на всички аспекти по прилагането на МКС. Вероятно МКС щеше да бъде приложен и без подкрепата по програмата, но това би отнело много повече време и би създало повече затруднения. Програма „Митници</w:t>
      </w:r>
      <w:r>
        <w:rPr>
          <w:rFonts w:ascii="Times New Roman" w:hAnsi="Times New Roman"/>
          <w:noProof/>
          <w:sz w:val="24"/>
        </w:rPr>
        <w:t> </w:t>
      </w:r>
      <w:r>
        <w:rPr>
          <w:rFonts w:ascii="Times New Roman" w:hAnsi="Times New Roman"/>
          <w:noProof/>
          <w:sz w:val="24"/>
          <w:lang w:val="ru-RU"/>
        </w:rPr>
        <w:t>2020“ е осигурила финансовата устойчивост на европейските информационни системи, а навременното им финансиране е решаващ фактор за гарантиране на наличието и споделянето на данни за веригата на доставки и информация относно риска. За тази цел с програма „Митници</w:t>
      </w:r>
      <w:r>
        <w:rPr>
          <w:rFonts w:ascii="Times New Roman" w:hAnsi="Times New Roman"/>
          <w:noProof/>
          <w:sz w:val="24"/>
        </w:rPr>
        <w:t> </w:t>
      </w:r>
      <w:r>
        <w:rPr>
          <w:rFonts w:ascii="Times New Roman" w:hAnsi="Times New Roman"/>
          <w:noProof/>
          <w:sz w:val="24"/>
          <w:lang w:val="ru-RU"/>
        </w:rPr>
        <w:t xml:space="preserve">2020“ са реализирани </w:t>
      </w:r>
      <w:r>
        <w:rPr>
          <w:rFonts w:ascii="Times New Roman" w:hAnsi="Times New Roman"/>
          <w:b/>
          <w:i/>
          <w:noProof/>
          <w:sz w:val="24"/>
          <w:lang w:val="ru-RU"/>
        </w:rPr>
        <w:t>икономии от мащаба</w:t>
      </w:r>
      <w:r>
        <w:rPr>
          <w:rFonts w:ascii="Times New Roman" w:hAnsi="Times New Roman"/>
          <w:noProof/>
          <w:sz w:val="24"/>
          <w:lang w:val="ru-RU"/>
        </w:rPr>
        <w:t xml:space="preserve"> и </w:t>
      </w:r>
      <w:r>
        <w:rPr>
          <w:rFonts w:ascii="Times New Roman" w:hAnsi="Times New Roman"/>
          <w:b/>
          <w:i/>
          <w:noProof/>
          <w:sz w:val="24"/>
          <w:lang w:val="ru-RU"/>
        </w:rPr>
        <w:t>повишаване на ефикасността</w:t>
      </w:r>
      <w:r>
        <w:rPr>
          <w:rFonts w:ascii="Times New Roman" w:hAnsi="Times New Roman"/>
          <w:noProof/>
          <w:sz w:val="24"/>
          <w:lang w:val="ru-RU"/>
        </w:rPr>
        <w:t>, което е помогнало на националните администрации, а в много случаи така също на икономическите оператори, да спестят време и средства, най-вече за участващите държави с по-малки митнически администрации и по-малко ресурси. Всичко свързано с оперативната съвместимост и взаимосвързаността на централните ИТ системи представлява добавена стойност на ЕС. Симбиотичните характеристики на централната архитектура на европейските информационни системи за митниците са без еквивалент и не може да бъдат възпроизведени на национално ниво.</w:t>
      </w:r>
    </w:p>
    <w:p>
      <w:pPr>
        <w:jc w:val="both"/>
        <w:rPr>
          <w:rFonts w:ascii="Times New Roman" w:hAnsi="Times New Roman" w:cs="Times New Roman"/>
          <w:noProof/>
          <w:sz w:val="24"/>
          <w:szCs w:val="24"/>
          <w:lang w:val="ru-RU"/>
        </w:rPr>
      </w:pPr>
      <w:r>
        <w:rPr>
          <w:rFonts w:ascii="Times New Roman" w:hAnsi="Times New Roman"/>
          <w:noProof/>
          <w:sz w:val="24"/>
          <w:lang w:val="ru-RU"/>
        </w:rPr>
        <w:t>Макар европейските информационни системи да подпомагат митническия съюз от техническа гледна точка на оперативно съвместими и взаимосвързани системи, те са станали неразделна част от ежедневната работа на митническите служители и икономическите оператори и вече не се разглеждат като крайни резултати от програма „Митници</w:t>
      </w:r>
      <w:r>
        <w:rPr>
          <w:rFonts w:ascii="Times New Roman" w:hAnsi="Times New Roman"/>
          <w:noProof/>
          <w:sz w:val="24"/>
        </w:rPr>
        <w:t> </w:t>
      </w:r>
      <w:r>
        <w:rPr>
          <w:rFonts w:ascii="Times New Roman" w:hAnsi="Times New Roman"/>
          <w:noProof/>
          <w:sz w:val="24"/>
          <w:lang w:val="ru-RU"/>
        </w:rPr>
        <w:t xml:space="preserve">2020“. Съвместните действия, от своя страна, са динамични и дават на администрациите </w:t>
      </w:r>
      <w:r>
        <w:rPr>
          <w:rFonts w:ascii="Times New Roman" w:hAnsi="Times New Roman"/>
          <w:b/>
          <w:i/>
          <w:noProof/>
          <w:sz w:val="24"/>
          <w:lang w:val="ru-RU"/>
        </w:rPr>
        <w:t>изключителни възможности за сътрудничество</w:t>
      </w:r>
      <w:r>
        <w:rPr>
          <w:rFonts w:ascii="Times New Roman" w:hAnsi="Times New Roman"/>
          <w:noProof/>
          <w:sz w:val="24"/>
          <w:lang w:val="ru-RU"/>
        </w:rPr>
        <w:t>, комуникация и работа в мрежа; в крайна сметка те изграждат доверие и водят до по-голямо сближаване на подходите и практиките. Същото важи за дейностите за обучение, които не само са помогнали на националните митнически администрации да разбират и прилагат по-добре митническото законодателство на ЕС и свързаните с него процедури, но също така, което е и по-важно — да го правят по еднакъв начин. Повишаването на ефикасността е било най-голямо при онези участващи държави, които към този момент още не са разполагали с добре развити национални програми за обучение. Да го постигнат самостоятелно би било трудно или изобщо не би се осъществило. В крайна сметка програма „Митници</w:t>
      </w:r>
      <w:r>
        <w:rPr>
          <w:rFonts w:ascii="Times New Roman" w:hAnsi="Times New Roman"/>
          <w:noProof/>
          <w:sz w:val="24"/>
        </w:rPr>
        <w:t> </w:t>
      </w:r>
      <w:r>
        <w:rPr>
          <w:rFonts w:ascii="Times New Roman" w:hAnsi="Times New Roman"/>
          <w:noProof/>
          <w:sz w:val="24"/>
          <w:lang w:val="ru-RU"/>
        </w:rPr>
        <w:t>2020“ е допринесла за сближаването на националните подходи, като е изградила доверие и е създала единна формулировка и обща визия.</w:t>
      </w:r>
    </w:p>
    <w:p>
      <w:pPr>
        <w:jc w:val="both"/>
        <w:rPr>
          <w:rFonts w:ascii="Times New Roman" w:hAnsi="Times New Roman" w:cs="Times New Roman"/>
          <w:noProof/>
          <w:sz w:val="24"/>
          <w:szCs w:val="24"/>
          <w:lang w:val="ru-RU"/>
        </w:rPr>
      </w:pPr>
      <w:r>
        <w:rPr>
          <w:rFonts w:ascii="Times New Roman" w:hAnsi="Times New Roman"/>
          <w:noProof/>
          <w:sz w:val="24"/>
          <w:lang w:val="ru-RU"/>
        </w:rPr>
        <w:t>Ако програмата не съществуваше, сътрудничеството между участващите държави би се основавало на неструктурирани отношения, официални и отнемащи много време канали и споразумения за реципрочност, чието практическо прилагане и поддържане би било значително по-трудно и скъпо. Като се има предвид мащабът на операциите по програма „Митници</w:t>
      </w:r>
      <w:r>
        <w:rPr>
          <w:rFonts w:ascii="Times New Roman" w:hAnsi="Times New Roman"/>
          <w:noProof/>
          <w:sz w:val="24"/>
        </w:rPr>
        <w:t> </w:t>
      </w:r>
      <w:r>
        <w:rPr>
          <w:rFonts w:ascii="Times New Roman" w:hAnsi="Times New Roman"/>
          <w:noProof/>
          <w:sz w:val="24"/>
          <w:lang w:val="ru-RU"/>
        </w:rPr>
        <w:t xml:space="preserve">2020“ от гледна точка на общия брой съвместни действия, разностранния характер на темите, тяхното европейско измерение или общоевропейското участие в действия и обучение, трудно може да се предположи, че подобни дейности биха били организирани на което и да е друго равнище. Що се отнася до европейските информационни системи, без бъдещо финансиране за продължаване на развитието и поддръжката, би било трудно използването им да продължи след междинния етап. Рискът те да престанат да са актуални би бил голям, а икономиите от мащаба и понижаването на общите разходи биха били изгубени. </w:t>
      </w:r>
    </w:p>
    <w:p>
      <w:pPr>
        <w:jc w:val="both"/>
        <w:rPr>
          <w:rFonts w:ascii="Times New Roman" w:hAnsi="Times New Roman" w:cs="Times New Roman"/>
          <w:noProof/>
          <w:sz w:val="24"/>
          <w:szCs w:val="24"/>
          <w:lang w:val="ru-RU"/>
        </w:rPr>
      </w:pPr>
      <w:r>
        <w:rPr>
          <w:rFonts w:ascii="Times New Roman" w:hAnsi="Times New Roman"/>
          <w:noProof/>
          <w:sz w:val="24"/>
          <w:lang w:val="ru-RU"/>
        </w:rPr>
        <w:t>В рамките на „Митници</w:t>
      </w:r>
      <w:r>
        <w:rPr>
          <w:rFonts w:ascii="Times New Roman" w:hAnsi="Times New Roman"/>
          <w:noProof/>
          <w:sz w:val="24"/>
        </w:rPr>
        <w:t> </w:t>
      </w:r>
      <w:r>
        <w:rPr>
          <w:rFonts w:ascii="Times New Roman" w:hAnsi="Times New Roman"/>
          <w:noProof/>
          <w:sz w:val="24"/>
          <w:lang w:val="ru-RU"/>
        </w:rPr>
        <w:t>2020“ са създадени осезаеми резултати и митническите служители са получили възможност да придобият умения и да обменят опит. Нито един от крайните резултати от програмата обаче не би продължил да съществува след междинния етап, ако програмата трябваше да бъде прекратена. Съществуващите разлики биха останали, а изградените и усъвършенствани мрежи в резултат на дългогодишното сътрудничество биха изчезнали.</w:t>
      </w:r>
    </w:p>
    <w:p>
      <w:pPr>
        <w:pStyle w:val="Heading1"/>
        <w:numPr>
          <w:ilvl w:val="0"/>
          <w:numId w:val="1"/>
        </w:numPr>
        <w:rPr>
          <w:noProof/>
        </w:rPr>
      </w:pPr>
      <w:r>
        <w:rPr>
          <w:noProof/>
        </w:rPr>
        <w:t>Заключения</w:t>
      </w:r>
    </w:p>
    <w:p>
      <w:pPr>
        <w:jc w:val="both"/>
        <w:rPr>
          <w:rFonts w:ascii="Times New Roman" w:hAnsi="Times New Roman" w:cs="Times New Roman"/>
          <w:noProof/>
          <w:sz w:val="24"/>
          <w:szCs w:val="24"/>
          <w:lang w:val="ru-RU"/>
        </w:rPr>
      </w:pPr>
      <w:r>
        <w:rPr>
          <w:rFonts w:ascii="Times New Roman" w:hAnsi="Times New Roman"/>
          <w:noProof/>
          <w:sz w:val="24"/>
          <w:lang w:val="ru-RU"/>
        </w:rPr>
        <w:t>Програма „Митници</w:t>
      </w:r>
      <w:r>
        <w:rPr>
          <w:rFonts w:ascii="Times New Roman" w:hAnsi="Times New Roman"/>
          <w:noProof/>
          <w:sz w:val="24"/>
        </w:rPr>
        <w:t> </w:t>
      </w:r>
      <w:r>
        <w:rPr>
          <w:rFonts w:ascii="Times New Roman" w:hAnsi="Times New Roman"/>
          <w:noProof/>
          <w:sz w:val="24"/>
          <w:lang w:val="ru-RU"/>
        </w:rPr>
        <w:t xml:space="preserve">2020“ доказа своята голяма </w:t>
      </w:r>
      <w:r>
        <w:rPr>
          <w:rFonts w:ascii="Times New Roman" w:hAnsi="Times New Roman"/>
          <w:b/>
          <w:i/>
          <w:noProof/>
          <w:sz w:val="24"/>
          <w:lang w:val="ru-RU"/>
        </w:rPr>
        <w:t xml:space="preserve">значимост </w:t>
      </w:r>
      <w:r>
        <w:rPr>
          <w:rFonts w:ascii="Times New Roman" w:hAnsi="Times New Roman"/>
          <w:noProof/>
          <w:sz w:val="24"/>
          <w:lang w:val="ru-RU"/>
        </w:rPr>
        <w:t xml:space="preserve">от гледна точка на удовлетворяването на нуждите на митническите администрации, икономическите оператори, европейските граждани и митническия съюз като цяло. През годините тя стана неразделна част от националните и европейските митнически реалности, политики, процеси и процедури, осигурявайки оперативно съвместими, взаимосвързани и надеждни европейски информационни системи. Тъй като държавите членки зависят една от друга за надлежното осъществяване на своите митнически функции, те се нуждаят от ефективни и ефикасни инструменти за комуникация, обмен на информация и цялостно сътрудничество, а всички тези аспекти са заложени като цел на програмата. </w:t>
      </w:r>
    </w:p>
    <w:p>
      <w:pPr>
        <w:jc w:val="both"/>
        <w:rPr>
          <w:rFonts w:ascii="Times New Roman" w:hAnsi="Times New Roman" w:cs="Times New Roman"/>
          <w:noProof/>
          <w:sz w:val="24"/>
          <w:szCs w:val="24"/>
          <w:lang w:val="ru-RU"/>
        </w:rPr>
      </w:pPr>
      <w:r>
        <w:rPr>
          <w:rFonts w:ascii="Times New Roman" w:hAnsi="Times New Roman"/>
          <w:noProof/>
          <w:sz w:val="24"/>
          <w:lang w:val="ru-RU"/>
        </w:rPr>
        <w:t xml:space="preserve">Програмата </w:t>
      </w:r>
      <w:r>
        <w:rPr>
          <w:rFonts w:ascii="Times New Roman" w:hAnsi="Times New Roman"/>
          <w:b/>
          <w:i/>
          <w:noProof/>
          <w:sz w:val="24"/>
          <w:lang w:val="ru-RU"/>
        </w:rPr>
        <w:t>ефективно</w:t>
      </w:r>
      <w:r>
        <w:rPr>
          <w:rFonts w:ascii="Times New Roman" w:hAnsi="Times New Roman"/>
          <w:noProof/>
          <w:sz w:val="24"/>
          <w:lang w:val="ru-RU"/>
        </w:rPr>
        <w:t xml:space="preserve"> е постигнала своите цели и е допринесла значително за надлежното функциониране и модернизирането на митническия съюз. Тя е насърчила сътрудничеството и обмена на информация, обхващайки спектъра от улесняване на сближаването на стратегическо равнище до хармонизиране на подходите, тълкуването, административните процедури, най-добрите практики и правилата на оперативно равнище. Благодарение на сигурната платформа за обмен на информация държавите членки и икономическите оператори са преодолели своето нежелание да споделят чувствителни данни и са изградили доверие помежду си. Ценните мрежи от хора и лични контакти са сред най-високо оценените ползи от програмата.</w:t>
      </w:r>
    </w:p>
    <w:p>
      <w:pPr>
        <w:jc w:val="both"/>
        <w:rPr>
          <w:rFonts w:ascii="Times New Roman" w:hAnsi="Times New Roman" w:cs="Times New Roman"/>
          <w:noProof/>
          <w:sz w:val="24"/>
          <w:szCs w:val="24"/>
          <w:lang w:val="ru-RU"/>
        </w:rPr>
      </w:pPr>
      <w:r>
        <w:rPr>
          <w:rFonts w:ascii="Times New Roman" w:hAnsi="Times New Roman"/>
          <w:b/>
          <w:i/>
          <w:noProof/>
          <w:sz w:val="24"/>
          <w:lang w:val="ru-RU"/>
        </w:rPr>
        <w:t>Засиленото сътрудничество</w:t>
      </w:r>
      <w:r>
        <w:rPr>
          <w:rFonts w:ascii="Times New Roman" w:hAnsi="Times New Roman"/>
          <w:noProof/>
          <w:sz w:val="24"/>
          <w:lang w:val="ru-RU"/>
        </w:rPr>
        <w:t xml:space="preserve"> и </w:t>
      </w:r>
      <w:r>
        <w:rPr>
          <w:rFonts w:ascii="Times New Roman" w:hAnsi="Times New Roman"/>
          <w:b/>
          <w:i/>
          <w:noProof/>
          <w:sz w:val="24"/>
          <w:lang w:val="ru-RU"/>
        </w:rPr>
        <w:t>доверието</w:t>
      </w:r>
      <w:r>
        <w:rPr>
          <w:rFonts w:ascii="Times New Roman" w:hAnsi="Times New Roman"/>
          <w:noProof/>
          <w:sz w:val="24"/>
          <w:lang w:val="ru-RU"/>
        </w:rPr>
        <w:t xml:space="preserve"> са спомогнали държавите членки да се подкрепят взаимно в защита на финансовите и икономическите интереси на ЕС и неговите държави членки, както и да се повиши безопасността и сигурността благодарение на ефикасния обмен на надеждна информация. Що се отнася до повишаването на административния капацитет на митническите органи, програма „Митници</w:t>
      </w:r>
      <w:r>
        <w:rPr>
          <w:rFonts w:ascii="Times New Roman" w:hAnsi="Times New Roman"/>
          <w:noProof/>
          <w:sz w:val="24"/>
        </w:rPr>
        <w:t> </w:t>
      </w:r>
      <w:r>
        <w:rPr>
          <w:rFonts w:ascii="Times New Roman" w:hAnsi="Times New Roman"/>
          <w:noProof/>
          <w:sz w:val="24"/>
          <w:lang w:val="ru-RU"/>
        </w:rPr>
        <w:t>2020“ изигра важна роля, като помогна на митническите администрации да се подготвят за официалното приемане на МКС, благодарение на общото разбиране на правните изисквания, хармонизираното тълкуване на митническите разпоредби, стандартизирането на терминологията и по-голямото еднообразие в прилагането на работните методи на МКС.</w:t>
      </w:r>
    </w:p>
    <w:p>
      <w:pPr>
        <w:jc w:val="both"/>
        <w:rPr>
          <w:rFonts w:ascii="Times New Roman" w:hAnsi="Times New Roman" w:cs="Times New Roman"/>
          <w:noProof/>
          <w:sz w:val="24"/>
          <w:szCs w:val="24"/>
          <w:lang w:val="ru-RU"/>
        </w:rPr>
      </w:pPr>
      <w:r>
        <w:rPr>
          <w:rFonts w:ascii="Times New Roman" w:hAnsi="Times New Roman"/>
          <w:noProof/>
          <w:sz w:val="24"/>
          <w:lang w:val="ru-RU"/>
        </w:rPr>
        <w:t xml:space="preserve">Що се отнася до </w:t>
      </w:r>
      <w:r>
        <w:rPr>
          <w:rFonts w:ascii="Times New Roman" w:hAnsi="Times New Roman"/>
          <w:b/>
          <w:i/>
          <w:noProof/>
          <w:sz w:val="24"/>
          <w:lang w:val="ru-RU"/>
        </w:rPr>
        <w:t>ефикасността</w:t>
      </w:r>
      <w:r>
        <w:rPr>
          <w:rFonts w:ascii="Times New Roman" w:hAnsi="Times New Roman"/>
          <w:noProof/>
          <w:sz w:val="24"/>
          <w:lang w:val="ru-RU"/>
        </w:rPr>
        <w:t>, компонентът, за който са необходими най-много средства — европейските информационни системи — е така също най-полезният, тъй като осигурява широк диапазон от ползи във всички области на митническите дейности, в това число стандартизиране на митническите процедури, еднакво прилагане на митническото законодателство, споделяне на информация и генериране на икономии от мащаба, по-специално чрез централизирани системи. Те се използват в ежедневните операции на митническите органи и икономическите оператори, а тяхното значение за модернизирането на митниците, чрез създаването на среда без документи на хартиен носител, е безценно. Разнообразни са ползите от съвместните действия и дейностите за обучение, които осигуряват рамка за широко и приобщаващо постоянно сътрудничество, водят до подобряване на разбирането, знанията и капацитета, създават професионални отношения и служат като катализатор. Общите ИТ системи и бази данни, които се поддържат от програмата, водят пряко до по-опростена, по-стабилна и по-надеждна технологична рамка, която лесно се обслужва и поддържа.</w:t>
      </w:r>
    </w:p>
    <w:p>
      <w:pPr>
        <w:jc w:val="both"/>
        <w:rPr>
          <w:rFonts w:ascii="Times New Roman" w:hAnsi="Times New Roman" w:cs="Times New Roman"/>
          <w:noProof/>
          <w:sz w:val="24"/>
          <w:szCs w:val="24"/>
          <w:lang w:val="ru-RU"/>
        </w:rPr>
      </w:pPr>
      <w:r>
        <w:rPr>
          <w:rFonts w:ascii="Times New Roman" w:hAnsi="Times New Roman"/>
          <w:noProof/>
          <w:sz w:val="24"/>
          <w:lang w:val="ru-RU"/>
        </w:rPr>
        <w:t>Програма „Митници</w:t>
      </w:r>
      <w:r>
        <w:rPr>
          <w:rFonts w:ascii="Times New Roman" w:hAnsi="Times New Roman"/>
          <w:noProof/>
          <w:sz w:val="24"/>
        </w:rPr>
        <w:t> </w:t>
      </w:r>
      <w:r>
        <w:rPr>
          <w:rFonts w:ascii="Times New Roman" w:hAnsi="Times New Roman"/>
          <w:noProof/>
          <w:sz w:val="24"/>
          <w:lang w:val="ru-RU"/>
        </w:rPr>
        <w:t xml:space="preserve">2020“ е неразделна част от политиките на ЕС в по-широк план и е </w:t>
      </w:r>
      <w:r>
        <w:rPr>
          <w:rFonts w:ascii="Times New Roman" w:hAnsi="Times New Roman"/>
          <w:b/>
          <w:i/>
          <w:noProof/>
          <w:sz w:val="24"/>
          <w:lang w:val="ru-RU"/>
        </w:rPr>
        <w:t>съгласувана</w:t>
      </w:r>
      <w:r>
        <w:rPr>
          <w:rFonts w:ascii="Times New Roman" w:hAnsi="Times New Roman"/>
          <w:noProof/>
          <w:sz w:val="24"/>
          <w:lang w:val="ru-RU"/>
        </w:rPr>
        <w:t xml:space="preserve"> с целта на ЕС за създаването на модерна среда без документи на хартиен носител за митниците и търговията, като в същото време се защитават финансовите, икономическите и обществените интереси и благосъстоянието на ЕС. Като подкрепя прилагането на МКС, програмата спомага за улесняване на търговията и намаляване на разходите за предприятията, което води до повишаване на тяхната производителност и конкурентоспособност. </w:t>
      </w:r>
    </w:p>
    <w:p>
      <w:pPr>
        <w:jc w:val="both"/>
        <w:rPr>
          <w:noProof/>
          <w:lang w:val="ru-RU"/>
        </w:rPr>
      </w:pPr>
      <w:r>
        <w:rPr>
          <w:rFonts w:ascii="Times New Roman" w:hAnsi="Times New Roman"/>
          <w:noProof/>
          <w:sz w:val="24"/>
          <w:lang w:val="ru-RU"/>
        </w:rPr>
        <w:t xml:space="preserve">Най-сериозната </w:t>
      </w:r>
      <w:r>
        <w:rPr>
          <w:rFonts w:ascii="Times New Roman" w:hAnsi="Times New Roman"/>
          <w:b/>
          <w:i/>
          <w:noProof/>
          <w:sz w:val="24"/>
          <w:lang w:val="ru-RU"/>
        </w:rPr>
        <w:t>добавена стойност на ЕС</w:t>
      </w:r>
      <w:r>
        <w:rPr>
          <w:rFonts w:ascii="Times New Roman" w:hAnsi="Times New Roman"/>
          <w:noProof/>
          <w:sz w:val="24"/>
          <w:lang w:val="ru-RU"/>
        </w:rPr>
        <w:t xml:space="preserve"> от програма „Митници</w:t>
      </w:r>
      <w:r>
        <w:rPr>
          <w:rFonts w:ascii="Times New Roman" w:hAnsi="Times New Roman"/>
          <w:noProof/>
          <w:sz w:val="24"/>
        </w:rPr>
        <w:t> </w:t>
      </w:r>
      <w:r>
        <w:rPr>
          <w:rFonts w:ascii="Times New Roman" w:hAnsi="Times New Roman"/>
          <w:noProof/>
          <w:sz w:val="24"/>
          <w:lang w:val="ru-RU"/>
        </w:rPr>
        <w:t>2020“ представлява подпомагането на всички аспекти по прилагането на МКС, за което са нужни решения на ниво ЕС за проблеми с европейска величина и тясно сътрудничество между държавите членки; те трябва да прилагат едни и същи правила и да си помагат за постигането на целите на митническия съюз. Програмата е осигурила финансовата устойчивост на оперативно съвместимите и взаимосвързани европейски информационни системи, като са изпълнени изискванията на МКС с по-големи икономии от мащаба и ефикасност. Симбиотичните характеристики на централната общоевропейска ИТ архитектура за митниците са без еквивалент и не може да бъдат възпроизведени на национално ниво. Съвместните действия са осигурили на администрациите така също изключителни възможности за сътрудничество, комуникация и работа в мрежа, изграждайки доверие и водейки по-голямо сближаване на подходите и практиките. Като се имат предвид мащабът на операциите по програма „Митници</w:t>
      </w:r>
      <w:r>
        <w:rPr>
          <w:rFonts w:ascii="Times New Roman" w:hAnsi="Times New Roman"/>
          <w:noProof/>
          <w:sz w:val="24"/>
        </w:rPr>
        <w:t> </w:t>
      </w:r>
      <w:r>
        <w:rPr>
          <w:rFonts w:ascii="Times New Roman" w:hAnsi="Times New Roman"/>
          <w:noProof/>
          <w:sz w:val="24"/>
          <w:lang w:val="ru-RU"/>
        </w:rPr>
        <w:t>2020“, разностранният характер на темите и тяхното европейско или общоевропейско измерение, трудно може да се предположи, че подобни дейности биха били организирани на което и да е друго равнище. Нито един от крайните резултати от програмата не би продължил да съществува след междинния етап, ако програмата бъде прекратена. Съществуващите разлики биха останали, а изградените и усъвършенствани мрежи в резултат на дългогодишното години сътрудничество биха изчезнали. Функционирането на митническия съюз и по-нататъшната интеграция на националните митническите органи, които го осъществяват, остават изцяло зависими от програмата „Митници“. С оглед на бързите промени и предизвикателствата, пред които е изправен митническият съюз, от съществена важност е подпомагането по линия на програмата да продължи</w:t>
      </w:r>
      <w:r>
        <w:rPr>
          <w:rFonts w:ascii="Times New Roman" w:hAnsi="Times New Roman" w:cs="Times New Roman"/>
          <w:noProof/>
          <w:sz w:val="24"/>
          <w:szCs w:val="24"/>
          <w:lang w:val="ru-RU"/>
        </w:rPr>
        <w:t>.</w:t>
      </w:r>
    </w:p>
    <w:sectPr>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597209"/>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rPr>
          <w:lang w:val="ru-RU"/>
        </w:rPr>
      </w:pPr>
      <w:r>
        <w:rPr>
          <w:vertAlign w:val="superscript"/>
        </w:rPr>
        <w:footnoteRef/>
      </w:r>
      <w:r>
        <w:rPr>
          <w:lang w:val="ru-RU"/>
        </w:rPr>
        <w:t xml:space="preserve"> Албания, Босна и Херцеговина, бивша югославска република Македония, Черна гора, Сърбия и Турция.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D266108E"/>
    <w:lvl w:ilvl="0">
      <w:start w:val="1"/>
      <w:numFmt w:val="decimal"/>
      <w:lvlText w:val="%1."/>
      <w:lvlJc w:val="left"/>
      <w:pPr>
        <w:tabs>
          <w:tab w:val="num" w:pos="480"/>
        </w:tabs>
        <w:ind w:left="480" w:hanging="480"/>
      </w:pPr>
    </w:lvl>
    <w:lvl w:ilvl="1">
      <w:start w:val="1"/>
      <w:numFmt w:val="decimal"/>
      <w:pStyle w:val="NumPar2"/>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pStyle w:val="NumPa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0F14290"/>
    <w:multiLevelType w:val="hybridMultilevel"/>
    <w:tmpl w:val="0A720C3C"/>
    <w:lvl w:ilvl="0" w:tplc="A50088E0">
      <w:start w:val="1"/>
      <w:numFmt w:val="bullet"/>
      <w:lvlText w:val="►"/>
      <w:lvlJc w:val="left"/>
      <w:pPr>
        <w:ind w:left="720" w:hanging="360"/>
      </w:pPr>
      <w:rPr>
        <w:rFonts w:ascii="Times New Roman" w:hAnsi="Times New Roman" w:cs="Times New Roman"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CD7FEB"/>
    <w:multiLevelType w:val="hybridMultilevel"/>
    <w:tmpl w:val="6CFC8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oNotTrackFormatting/>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070966A-1851-4E41-BD7E-0F70953B5169"/>
    <w:docVar w:name="LW_COVERPAGE_TYPE" w:val="1"/>
    <w:docVar w:name="LW_CROSSREFERENCE" w:val="{SWD(2019) 14 final}"/>
    <w:docVar w:name="LW_DocType" w:val="NORMAL"/>
    <w:docVar w:name="LW_EMISSION" w:val="7.2.2019"/>
    <w:docVar w:name="LW_EMISSION_ISODATE" w:val="2019-02-07"/>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1086?\u1090?\u1085?\u1086?\u1089?\u1085?\u1086? \u1084?\u1077?\u1078?\u1076?\u1080?\u1085?\u1085?\u1072?\u1090?\u1072? \u1086?\u1094?\u1077?\u1085?\u1082?\u1072? \u1085?\u1072? \u1087?\u1088?\u1086?\u1075?\u1088?\u1072?\u1084?\u1072? \u8222?\u1052?\u1080?\u1090?\u1085?\u1080?\u1094?\u1080? 2020\u8220?"/>
    <w:docVar w:name="LW_TYPE.DOC.CP" w:val="\u1044?\u1054?\u1050?\u1051?\u1040?\u1044? \u1053?\u1040? \u1050?\u1054?\u1052?\u1048?\u1057?\u1048?\u1071?\u1058?\u1040? \u1044?\u1054? \u1045?\u1042?\u1056?\u1054?\u1055?\u1045?\u1049?\u1057?\u1050?\u1048?\u1071? \u1055?\u1040?\u1056?\u1051?\u1040?\u1052?\u1045?\u1053?\u1058? \u1048? \u1057?\u1066?\u1042?\u1045?\u1058?\u1040?"/>
    <w:docVar w:name="Stamp" w:val="\\dossiers.dgt.cec.eu.int\dossiers\TAXUD\TAXUD-2018-00682\TAXUD-2018-00682-00-00-EN-EDT-00.201811161135065483469.DOCX"/>
  </w:docVar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ROW H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aliases w:val="GROW H2,TEP Sub-heading 1.1,Überschrift 2 Anhang,Überschrift 2 Anhang1,Überschrift 2 Anhang2,Überschrift 2 Anhang11,Überschrift 2 Anhang21,subhead 1,h2,l2,2,Header 2,numéroté  1.1.,Chapter Number/Appendix Letter,chn,Titolo 2 Carattere"/>
    <w:basedOn w:val="Normal"/>
    <w:next w:val="Normal"/>
    <w:link w:val="Heading2Char"/>
    <w:uiPriority w:val="99"/>
    <w:qFormat/>
    <w:pPr>
      <w:keepNext/>
      <w:spacing w:after="240" w:line="240" w:lineRule="auto"/>
      <w:jc w:val="both"/>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aliases w:val="GROW H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aliases w:val="GROW H2 Char,TEP Sub-heading 1.1 Char,Überschrift 2 Anhang Char,Überschrift 2 Anhang1 Char,Überschrift 2 Anhang2 Char,Überschrift 2 Anhang11 Char,Überschrift 2 Anhang21 Char,subhead 1 Char,h2 Char,l2 Char,2 Char,Header 2 Char,chn Char"/>
    <w:basedOn w:val="DefaultParagraphFont"/>
    <w:link w:val="Heading2"/>
    <w:uiPriority w:val="99"/>
    <w:rPr>
      <w:rFonts w:ascii="Times New Roman" w:eastAsia="Times New Roman" w:hAnsi="Times New Roman" w:cs="Times New Roman"/>
      <w:b/>
      <w:sz w:val="24"/>
      <w:szCs w:val="20"/>
    </w:rPr>
  </w:style>
  <w:style w:type="paragraph" w:styleId="FootnoteText">
    <w:name w:val="footnote text"/>
    <w:basedOn w:val="Normal"/>
    <w:uiPriority w:val="99"/>
    <w:qFormat/>
    <w:pPr>
      <w:spacing w:after="240" w:line="240" w:lineRule="auto"/>
      <w:ind w:left="357" w:hanging="357"/>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aliases w:val="Char2"/>
    <w:basedOn w:val="Normal"/>
    <w:link w:val="CommentTextChar"/>
    <w:uiPriority w:val="99"/>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aliases w:val="Char2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Pr>
      <w:sz w:val="16"/>
      <w:szCs w:val="16"/>
    </w:rPr>
  </w:style>
  <w:style w:type="paragraph" w:customStyle="1" w:styleId="NumPar2">
    <w:name w:val="NumPar 2"/>
    <w:basedOn w:val="Heading2"/>
    <w:next w:val="Normal"/>
    <w:pPr>
      <w:keepNext w:val="0"/>
      <w:numPr>
        <w:ilvl w:val="1"/>
        <w:numId w:val="1"/>
      </w:numPr>
      <w:outlineLvl w:val="9"/>
    </w:pPr>
    <w:rPr>
      <w:b w:val="0"/>
    </w:rPr>
  </w:style>
  <w:style w:type="paragraph" w:customStyle="1" w:styleId="NumPar4">
    <w:name w:val="NumPar 4"/>
    <w:basedOn w:val="Heading4"/>
    <w:next w:val="Normal"/>
    <w:pPr>
      <w:keepNext w:val="0"/>
      <w:keepLines w:val="0"/>
      <w:numPr>
        <w:ilvl w:val="3"/>
        <w:numId w:val="1"/>
      </w:numPr>
      <w:tabs>
        <w:tab w:val="clear" w:pos="1920"/>
        <w:tab w:val="num" w:pos="360"/>
      </w:tabs>
      <w:spacing w:before="0" w:after="240" w:line="240" w:lineRule="auto"/>
      <w:ind w:left="0" w:firstLine="0"/>
      <w:jc w:val="both"/>
      <w:outlineLvl w:val="9"/>
    </w:pPr>
    <w:rPr>
      <w:rFonts w:ascii="Times New Roman" w:eastAsia="Times New Roman" w:hAnsi="Times New Roman" w:cs="Times New Roman"/>
      <w:b w:val="0"/>
      <w:bCs w:val="0"/>
      <w:i w:val="0"/>
      <w:iCs w:val="0"/>
      <w:color w:val="auto"/>
      <w:sz w:val="24"/>
      <w:szCs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aliases w:val="Bullet list,1st level - Bullet List Paragraph,List Paragraph11,Lettre d'introduction,Medium Grid 1 - Accent 21,Normal bullet 2,Numbered List,Paragraphe de liste 2,Reference list,Paragraph,Bullet EY,List1,Paragrafo elenco,FooterText,List11"/>
    <w:basedOn w:val="Normal"/>
    <w:link w:val="ListParagraphChar"/>
    <w:uiPriority w:val="34"/>
    <w:qFormat/>
    <w:pPr>
      <w:spacing w:after="240" w:line="240" w:lineRule="auto"/>
      <w:ind w:left="720"/>
      <w:contextualSpacing/>
      <w:jc w:val="both"/>
    </w:pPr>
    <w:rPr>
      <w:rFonts w:ascii="Times New Roman" w:eastAsia="Times New Roman" w:hAnsi="Times New Roman" w:cs="Times New Roman"/>
      <w:sz w:val="24"/>
      <w:szCs w:val="20"/>
    </w:rPr>
  </w:style>
  <w:style w:type="character" w:customStyle="1" w:styleId="ListParagraphChar">
    <w:name w:val="List Paragraph Char"/>
    <w:aliases w:val="Bullet list Char,1st level - Bullet List Paragraph Char,List Paragraph11 Char,Lettre d'introduction Char,Medium Grid 1 - Accent 21 Char,Normal bullet 2 Char,Numbered List Char,Paragraphe de liste 2 Char,Reference list Char,List1 Char"/>
    <w:basedOn w:val="DefaultParagraphFont"/>
    <w:link w:val="ListParagraph"/>
    <w:uiPriority w:val="34"/>
    <w:qFormat/>
    <w:rPr>
      <w:rFonts w:ascii="Times New Roman" w:eastAsia="Times New Roman" w:hAnsi="Times New Roman" w:cs="Times New Roman"/>
      <w:sz w:val="24"/>
      <w:szCs w:val="20"/>
    </w:rPr>
  </w:style>
  <w:style w:type="paragraph" w:styleId="Caption">
    <w:name w:val="caption"/>
    <w:aliases w:val="GROW Caption,Char Char Char,Caption1 Char Char Char Char Char Char Char Char Tegn Tegn Tegn Tegn Tegn,Caption1 Char Char Char Char Char Char Char Char Tegn Tegn Tegn,Caption1 Char Char Char Char Char Char Char Char Tegn Tegn,Ch,Char Car, Char"/>
    <w:basedOn w:val="Normal"/>
    <w:next w:val="Normal"/>
    <w:link w:val="CaptionChar"/>
    <w:uiPriority w:val="99"/>
    <w:unhideWhenUsed/>
    <w:qFormat/>
    <w:pPr>
      <w:spacing w:line="240" w:lineRule="auto"/>
    </w:pPr>
    <w:rPr>
      <w:i/>
      <w:iCs/>
      <w:color w:val="1F497D" w:themeColor="text2"/>
      <w:sz w:val="18"/>
      <w:szCs w:val="18"/>
      <w:lang w:val="fr-BE"/>
    </w:rPr>
  </w:style>
  <w:style w:type="character" w:customStyle="1" w:styleId="CaptionChar">
    <w:name w:val="Caption Char"/>
    <w:aliases w:val="GROW Caption Char,Char Char Char Char,Caption1 Char Char Char Char Char Char Char Char Tegn Tegn Tegn Tegn Tegn Char,Caption1 Char Char Char Char Char Char Char Char Tegn Tegn Tegn Char,Ch Char,Char Car Char, Char Char"/>
    <w:basedOn w:val="DefaultParagraphFont"/>
    <w:link w:val="Caption"/>
    <w:uiPriority w:val="99"/>
    <w:locked/>
    <w:rPr>
      <w:i/>
      <w:iCs/>
      <w:color w:val="1F497D" w:themeColor="text2"/>
      <w:sz w:val="18"/>
      <w:szCs w:val="18"/>
      <w:lang w:val="fr-BE"/>
    </w:rPr>
  </w:style>
  <w:style w:type="paragraph" w:customStyle="1" w:styleId="Tabletext">
    <w:name w:val="Table text"/>
    <w:basedOn w:val="Normal"/>
    <w:link w:val="TabletextChar"/>
    <w:qFormat/>
    <w:pPr>
      <w:autoSpaceDE w:val="0"/>
      <w:autoSpaceDN w:val="0"/>
      <w:adjustRightInd w:val="0"/>
      <w:spacing w:before="60" w:after="120" w:line="240" w:lineRule="auto"/>
    </w:pPr>
    <w:rPr>
      <w:rFonts w:ascii="Times New Roman" w:eastAsia="Times New Roman" w:hAnsi="Times New Roman" w:cs="Times New Roman"/>
      <w:sz w:val="20"/>
      <w:szCs w:val="20"/>
      <w:lang w:eastAsia="it-IT"/>
    </w:rPr>
  </w:style>
  <w:style w:type="character" w:customStyle="1" w:styleId="TabletextChar">
    <w:name w:val="Table text Char"/>
    <w:basedOn w:val="DefaultParagraphFont"/>
    <w:link w:val="Tabletext"/>
    <w:rPr>
      <w:rFonts w:ascii="Times New Roman" w:eastAsia="Times New Roman" w:hAnsi="Times New Roman" w:cs="Times New Roman"/>
      <w:sz w:val="20"/>
      <w:szCs w:val="20"/>
      <w:lang w:eastAsia="it-IT"/>
    </w:rPr>
  </w:style>
  <w:style w:type="table" w:customStyle="1" w:styleId="ListTable3-Accent11">
    <w:name w:val="List Table 3 - Accent 11"/>
    <w:basedOn w:val="TableNormal"/>
    <w:uiPriority w:val="48"/>
    <w:pPr>
      <w:spacing w:after="0" w:line="240" w:lineRule="auto"/>
    </w:pPr>
    <w:rPr>
      <w:lang w:val="fr-BE"/>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ody">
    <w:name w:val="Body"/>
    <w:basedOn w:val="Normal"/>
    <w:link w:val="BodyChar"/>
    <w:qFormat/>
    <w:pPr>
      <w:spacing w:after="240" w:line="240" w:lineRule="auto"/>
    </w:pPr>
    <w:rPr>
      <w:rFonts w:ascii="Verdana" w:eastAsia="Times New Roman" w:hAnsi="Verdana" w:cs="Times New Roman"/>
      <w:sz w:val="18"/>
      <w:szCs w:val="20"/>
    </w:rPr>
  </w:style>
  <w:style w:type="character" w:customStyle="1" w:styleId="BodyChar">
    <w:name w:val="Body Char"/>
    <w:link w:val="Body"/>
    <w:rPr>
      <w:rFonts w:ascii="Verdana" w:eastAsia="Times New Roman" w:hAnsi="Verdana" w:cs="Times New Roman"/>
      <w:sz w:val="18"/>
      <w:szCs w:val="20"/>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PSParagraphText">
    <w:name w:val="PS_Paragraph_Text"/>
    <w:basedOn w:val="Normal"/>
    <w:link w:val="PSParagraphTextChar"/>
    <w:qFormat/>
    <w:pPr>
      <w:spacing w:after="120" w:line="240" w:lineRule="auto"/>
      <w:jc w:val="both"/>
    </w:pPr>
    <w:rPr>
      <w:rFonts w:ascii="Times New Roman" w:eastAsia="Times New Roman" w:hAnsi="Times New Roman" w:cs="Times New Roman"/>
      <w:sz w:val="20"/>
      <w:szCs w:val="20"/>
      <w:lang w:eastAsia="en-GB"/>
    </w:rPr>
  </w:style>
  <w:style w:type="character" w:customStyle="1" w:styleId="PSParagraphTextChar">
    <w:name w:val="PS_Paragraph_Text Char"/>
    <w:basedOn w:val="DefaultParagraphFont"/>
    <w:link w:val="PSParagraphText"/>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unhideWhenUsed/>
    <w:qFormat/>
    <w:rPr>
      <w:vertAlign w:val="superscript"/>
    </w:rPr>
  </w:style>
  <w:style w:type="character" w:customStyle="1" w:styleId="ind">
    <w:name w:val="ind"/>
    <w:basedOn w:val="DefaultParagraphFont"/>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ROW H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aliases w:val="GROW H2,TEP Sub-heading 1.1,Überschrift 2 Anhang,Überschrift 2 Anhang1,Überschrift 2 Anhang2,Überschrift 2 Anhang11,Überschrift 2 Anhang21,subhead 1,h2,l2,2,Header 2,numéroté  1.1.,Chapter Number/Appendix Letter,chn,Titolo 2 Carattere"/>
    <w:basedOn w:val="Normal"/>
    <w:next w:val="Normal"/>
    <w:link w:val="Heading2Char"/>
    <w:uiPriority w:val="99"/>
    <w:qFormat/>
    <w:pPr>
      <w:keepNext/>
      <w:spacing w:after="240" w:line="240" w:lineRule="auto"/>
      <w:jc w:val="both"/>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aliases w:val="GROW H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aliases w:val="GROW H2 Char,TEP Sub-heading 1.1 Char,Überschrift 2 Anhang Char,Überschrift 2 Anhang1 Char,Überschrift 2 Anhang2 Char,Überschrift 2 Anhang11 Char,Überschrift 2 Anhang21 Char,subhead 1 Char,h2 Char,l2 Char,2 Char,Header 2 Char,chn Char"/>
    <w:basedOn w:val="DefaultParagraphFont"/>
    <w:link w:val="Heading2"/>
    <w:uiPriority w:val="99"/>
    <w:rPr>
      <w:rFonts w:ascii="Times New Roman" w:eastAsia="Times New Roman" w:hAnsi="Times New Roman" w:cs="Times New Roman"/>
      <w:b/>
      <w:sz w:val="24"/>
      <w:szCs w:val="20"/>
    </w:rPr>
  </w:style>
  <w:style w:type="paragraph" w:styleId="FootnoteText">
    <w:name w:val="footnote text"/>
    <w:basedOn w:val="Normal"/>
    <w:uiPriority w:val="99"/>
    <w:qFormat/>
    <w:pPr>
      <w:spacing w:after="240" w:line="240" w:lineRule="auto"/>
      <w:ind w:left="357" w:hanging="357"/>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aliases w:val="Char2"/>
    <w:basedOn w:val="Normal"/>
    <w:link w:val="CommentTextChar"/>
    <w:uiPriority w:val="99"/>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aliases w:val="Char2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Pr>
      <w:sz w:val="16"/>
      <w:szCs w:val="16"/>
    </w:rPr>
  </w:style>
  <w:style w:type="paragraph" w:customStyle="1" w:styleId="NumPar2">
    <w:name w:val="NumPar 2"/>
    <w:basedOn w:val="Heading2"/>
    <w:next w:val="Normal"/>
    <w:pPr>
      <w:keepNext w:val="0"/>
      <w:numPr>
        <w:ilvl w:val="1"/>
        <w:numId w:val="1"/>
      </w:numPr>
      <w:outlineLvl w:val="9"/>
    </w:pPr>
    <w:rPr>
      <w:b w:val="0"/>
    </w:rPr>
  </w:style>
  <w:style w:type="paragraph" w:customStyle="1" w:styleId="NumPar4">
    <w:name w:val="NumPar 4"/>
    <w:basedOn w:val="Heading4"/>
    <w:next w:val="Normal"/>
    <w:pPr>
      <w:keepNext w:val="0"/>
      <w:keepLines w:val="0"/>
      <w:numPr>
        <w:ilvl w:val="3"/>
        <w:numId w:val="1"/>
      </w:numPr>
      <w:tabs>
        <w:tab w:val="clear" w:pos="1920"/>
        <w:tab w:val="num" w:pos="360"/>
      </w:tabs>
      <w:spacing w:before="0" w:after="240" w:line="240" w:lineRule="auto"/>
      <w:ind w:left="0" w:firstLine="0"/>
      <w:jc w:val="both"/>
      <w:outlineLvl w:val="9"/>
    </w:pPr>
    <w:rPr>
      <w:rFonts w:ascii="Times New Roman" w:eastAsia="Times New Roman" w:hAnsi="Times New Roman" w:cs="Times New Roman"/>
      <w:b w:val="0"/>
      <w:bCs w:val="0"/>
      <w:i w:val="0"/>
      <w:iCs w:val="0"/>
      <w:color w:val="auto"/>
      <w:sz w:val="24"/>
      <w:szCs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aliases w:val="Bullet list,1st level - Bullet List Paragraph,List Paragraph11,Lettre d'introduction,Medium Grid 1 - Accent 21,Normal bullet 2,Numbered List,Paragraphe de liste 2,Reference list,Paragraph,Bullet EY,List1,Paragrafo elenco,FooterText,List11"/>
    <w:basedOn w:val="Normal"/>
    <w:link w:val="ListParagraphChar"/>
    <w:uiPriority w:val="34"/>
    <w:qFormat/>
    <w:pPr>
      <w:spacing w:after="240" w:line="240" w:lineRule="auto"/>
      <w:ind w:left="720"/>
      <w:contextualSpacing/>
      <w:jc w:val="both"/>
    </w:pPr>
    <w:rPr>
      <w:rFonts w:ascii="Times New Roman" w:eastAsia="Times New Roman" w:hAnsi="Times New Roman" w:cs="Times New Roman"/>
      <w:sz w:val="24"/>
      <w:szCs w:val="20"/>
    </w:rPr>
  </w:style>
  <w:style w:type="character" w:customStyle="1" w:styleId="ListParagraphChar">
    <w:name w:val="List Paragraph Char"/>
    <w:aliases w:val="Bullet list Char,1st level - Bullet List Paragraph Char,List Paragraph11 Char,Lettre d'introduction Char,Medium Grid 1 - Accent 21 Char,Normal bullet 2 Char,Numbered List Char,Paragraphe de liste 2 Char,Reference list Char,List1 Char"/>
    <w:basedOn w:val="DefaultParagraphFont"/>
    <w:link w:val="ListParagraph"/>
    <w:uiPriority w:val="34"/>
    <w:qFormat/>
    <w:rPr>
      <w:rFonts w:ascii="Times New Roman" w:eastAsia="Times New Roman" w:hAnsi="Times New Roman" w:cs="Times New Roman"/>
      <w:sz w:val="24"/>
      <w:szCs w:val="20"/>
    </w:rPr>
  </w:style>
  <w:style w:type="paragraph" w:styleId="Caption">
    <w:name w:val="caption"/>
    <w:aliases w:val="GROW Caption,Char Char Char,Caption1 Char Char Char Char Char Char Char Char Tegn Tegn Tegn Tegn Tegn,Caption1 Char Char Char Char Char Char Char Char Tegn Tegn Tegn,Caption1 Char Char Char Char Char Char Char Char Tegn Tegn,Ch,Char Car, Char"/>
    <w:basedOn w:val="Normal"/>
    <w:next w:val="Normal"/>
    <w:link w:val="CaptionChar"/>
    <w:uiPriority w:val="99"/>
    <w:unhideWhenUsed/>
    <w:qFormat/>
    <w:pPr>
      <w:spacing w:line="240" w:lineRule="auto"/>
    </w:pPr>
    <w:rPr>
      <w:i/>
      <w:iCs/>
      <w:color w:val="1F497D" w:themeColor="text2"/>
      <w:sz w:val="18"/>
      <w:szCs w:val="18"/>
      <w:lang w:val="fr-BE"/>
    </w:rPr>
  </w:style>
  <w:style w:type="character" w:customStyle="1" w:styleId="CaptionChar">
    <w:name w:val="Caption Char"/>
    <w:aliases w:val="GROW Caption Char,Char Char Char Char,Caption1 Char Char Char Char Char Char Char Char Tegn Tegn Tegn Tegn Tegn Char,Caption1 Char Char Char Char Char Char Char Char Tegn Tegn Tegn Char,Ch Char,Char Car Char, Char Char"/>
    <w:basedOn w:val="DefaultParagraphFont"/>
    <w:link w:val="Caption"/>
    <w:uiPriority w:val="99"/>
    <w:locked/>
    <w:rPr>
      <w:i/>
      <w:iCs/>
      <w:color w:val="1F497D" w:themeColor="text2"/>
      <w:sz w:val="18"/>
      <w:szCs w:val="18"/>
      <w:lang w:val="fr-BE"/>
    </w:rPr>
  </w:style>
  <w:style w:type="paragraph" w:customStyle="1" w:styleId="Tabletext">
    <w:name w:val="Table text"/>
    <w:basedOn w:val="Normal"/>
    <w:link w:val="TabletextChar"/>
    <w:qFormat/>
    <w:pPr>
      <w:autoSpaceDE w:val="0"/>
      <w:autoSpaceDN w:val="0"/>
      <w:adjustRightInd w:val="0"/>
      <w:spacing w:before="60" w:after="120" w:line="240" w:lineRule="auto"/>
    </w:pPr>
    <w:rPr>
      <w:rFonts w:ascii="Times New Roman" w:eastAsia="Times New Roman" w:hAnsi="Times New Roman" w:cs="Times New Roman"/>
      <w:sz w:val="20"/>
      <w:szCs w:val="20"/>
      <w:lang w:eastAsia="it-IT"/>
    </w:rPr>
  </w:style>
  <w:style w:type="character" w:customStyle="1" w:styleId="TabletextChar">
    <w:name w:val="Table text Char"/>
    <w:basedOn w:val="DefaultParagraphFont"/>
    <w:link w:val="Tabletext"/>
    <w:rPr>
      <w:rFonts w:ascii="Times New Roman" w:eastAsia="Times New Roman" w:hAnsi="Times New Roman" w:cs="Times New Roman"/>
      <w:sz w:val="20"/>
      <w:szCs w:val="20"/>
      <w:lang w:eastAsia="it-IT"/>
    </w:rPr>
  </w:style>
  <w:style w:type="table" w:customStyle="1" w:styleId="ListTable3-Accent11">
    <w:name w:val="List Table 3 - Accent 11"/>
    <w:basedOn w:val="TableNormal"/>
    <w:uiPriority w:val="48"/>
    <w:pPr>
      <w:spacing w:after="0" w:line="240" w:lineRule="auto"/>
    </w:pPr>
    <w:rPr>
      <w:lang w:val="fr-BE"/>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ody">
    <w:name w:val="Body"/>
    <w:basedOn w:val="Normal"/>
    <w:link w:val="BodyChar"/>
    <w:qFormat/>
    <w:pPr>
      <w:spacing w:after="240" w:line="240" w:lineRule="auto"/>
    </w:pPr>
    <w:rPr>
      <w:rFonts w:ascii="Verdana" w:eastAsia="Times New Roman" w:hAnsi="Verdana" w:cs="Times New Roman"/>
      <w:sz w:val="18"/>
      <w:szCs w:val="20"/>
    </w:rPr>
  </w:style>
  <w:style w:type="character" w:customStyle="1" w:styleId="BodyChar">
    <w:name w:val="Body Char"/>
    <w:link w:val="Body"/>
    <w:rPr>
      <w:rFonts w:ascii="Verdana" w:eastAsia="Times New Roman" w:hAnsi="Verdana" w:cs="Times New Roman"/>
      <w:sz w:val="18"/>
      <w:szCs w:val="20"/>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PSParagraphText">
    <w:name w:val="PS_Paragraph_Text"/>
    <w:basedOn w:val="Normal"/>
    <w:link w:val="PSParagraphTextChar"/>
    <w:qFormat/>
    <w:pPr>
      <w:spacing w:after="120" w:line="240" w:lineRule="auto"/>
      <w:jc w:val="both"/>
    </w:pPr>
    <w:rPr>
      <w:rFonts w:ascii="Times New Roman" w:eastAsia="Times New Roman" w:hAnsi="Times New Roman" w:cs="Times New Roman"/>
      <w:sz w:val="20"/>
      <w:szCs w:val="20"/>
      <w:lang w:eastAsia="en-GB"/>
    </w:rPr>
  </w:style>
  <w:style w:type="character" w:customStyle="1" w:styleId="PSParagraphTextChar">
    <w:name w:val="PS_Paragraph_Text Char"/>
    <w:basedOn w:val="DefaultParagraphFont"/>
    <w:link w:val="PSParagraphText"/>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unhideWhenUsed/>
    <w:qFormat/>
    <w:rPr>
      <w:vertAlign w:val="superscript"/>
    </w:rPr>
  </w:style>
  <w:style w:type="character" w:customStyle="1" w:styleId="ind">
    <w:name w:val="ind"/>
    <w:basedOn w:val="DefaultParagraphFont"/>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28791">
      <w:bodyDiv w:val="1"/>
      <w:marLeft w:val="0"/>
      <w:marRight w:val="0"/>
      <w:marTop w:val="0"/>
      <w:marBottom w:val="0"/>
      <w:divBdr>
        <w:top w:val="none" w:sz="0" w:space="0" w:color="auto"/>
        <w:left w:val="none" w:sz="0" w:space="0" w:color="auto"/>
        <w:bottom w:val="none" w:sz="0" w:space="0" w:color="auto"/>
        <w:right w:val="none" w:sz="0" w:space="0" w:color="auto"/>
      </w:divBdr>
    </w:div>
    <w:div w:id="293171732">
      <w:bodyDiv w:val="1"/>
      <w:marLeft w:val="0"/>
      <w:marRight w:val="0"/>
      <w:marTop w:val="0"/>
      <w:marBottom w:val="0"/>
      <w:divBdr>
        <w:top w:val="none" w:sz="0" w:space="0" w:color="auto"/>
        <w:left w:val="none" w:sz="0" w:space="0" w:color="auto"/>
        <w:bottom w:val="none" w:sz="0" w:space="0" w:color="auto"/>
        <w:right w:val="none" w:sz="0" w:space="0" w:color="auto"/>
      </w:divBdr>
      <w:divsChild>
        <w:div w:id="1356885852">
          <w:marLeft w:val="0"/>
          <w:marRight w:val="0"/>
          <w:marTop w:val="0"/>
          <w:marBottom w:val="0"/>
          <w:divBdr>
            <w:top w:val="none" w:sz="0" w:space="0" w:color="auto"/>
            <w:left w:val="none" w:sz="0" w:space="0" w:color="auto"/>
            <w:bottom w:val="none" w:sz="0" w:space="0" w:color="auto"/>
            <w:right w:val="none" w:sz="0" w:space="0" w:color="auto"/>
          </w:divBdr>
        </w:div>
        <w:div w:id="1056271391">
          <w:marLeft w:val="0"/>
          <w:marRight w:val="0"/>
          <w:marTop w:val="0"/>
          <w:marBottom w:val="0"/>
          <w:divBdr>
            <w:top w:val="none" w:sz="0" w:space="0" w:color="auto"/>
            <w:left w:val="none" w:sz="0" w:space="0" w:color="auto"/>
            <w:bottom w:val="none" w:sz="0" w:space="0" w:color="auto"/>
            <w:right w:val="none" w:sz="0" w:space="0" w:color="auto"/>
          </w:divBdr>
        </w:div>
        <w:div w:id="471366745">
          <w:marLeft w:val="0"/>
          <w:marRight w:val="0"/>
          <w:marTop w:val="0"/>
          <w:marBottom w:val="0"/>
          <w:divBdr>
            <w:top w:val="none" w:sz="0" w:space="0" w:color="auto"/>
            <w:left w:val="none" w:sz="0" w:space="0" w:color="auto"/>
            <w:bottom w:val="none" w:sz="0" w:space="0" w:color="auto"/>
            <w:right w:val="none" w:sz="0" w:space="0" w:color="auto"/>
          </w:divBdr>
        </w:div>
        <w:div w:id="120074179">
          <w:marLeft w:val="0"/>
          <w:marRight w:val="0"/>
          <w:marTop w:val="0"/>
          <w:marBottom w:val="0"/>
          <w:divBdr>
            <w:top w:val="none" w:sz="0" w:space="0" w:color="auto"/>
            <w:left w:val="none" w:sz="0" w:space="0" w:color="auto"/>
            <w:bottom w:val="none" w:sz="0" w:space="0" w:color="auto"/>
            <w:right w:val="none" w:sz="0" w:space="0" w:color="auto"/>
          </w:divBdr>
        </w:div>
        <w:div w:id="1594392000">
          <w:marLeft w:val="0"/>
          <w:marRight w:val="0"/>
          <w:marTop w:val="0"/>
          <w:marBottom w:val="0"/>
          <w:divBdr>
            <w:top w:val="none" w:sz="0" w:space="0" w:color="auto"/>
            <w:left w:val="none" w:sz="0" w:space="0" w:color="auto"/>
            <w:bottom w:val="none" w:sz="0" w:space="0" w:color="auto"/>
            <w:right w:val="none" w:sz="0" w:space="0" w:color="auto"/>
          </w:divBdr>
        </w:div>
        <w:div w:id="1833452139">
          <w:marLeft w:val="0"/>
          <w:marRight w:val="0"/>
          <w:marTop w:val="0"/>
          <w:marBottom w:val="0"/>
          <w:divBdr>
            <w:top w:val="none" w:sz="0" w:space="0" w:color="auto"/>
            <w:left w:val="none" w:sz="0" w:space="0" w:color="auto"/>
            <w:bottom w:val="none" w:sz="0" w:space="0" w:color="auto"/>
            <w:right w:val="none" w:sz="0" w:space="0" w:color="auto"/>
          </w:divBdr>
        </w:div>
        <w:div w:id="311251346">
          <w:marLeft w:val="0"/>
          <w:marRight w:val="0"/>
          <w:marTop w:val="0"/>
          <w:marBottom w:val="0"/>
          <w:divBdr>
            <w:top w:val="none" w:sz="0" w:space="0" w:color="auto"/>
            <w:left w:val="none" w:sz="0" w:space="0" w:color="auto"/>
            <w:bottom w:val="none" w:sz="0" w:space="0" w:color="auto"/>
            <w:right w:val="none" w:sz="0" w:space="0" w:color="auto"/>
          </w:divBdr>
        </w:div>
        <w:div w:id="2069961148">
          <w:marLeft w:val="0"/>
          <w:marRight w:val="0"/>
          <w:marTop w:val="0"/>
          <w:marBottom w:val="0"/>
          <w:divBdr>
            <w:top w:val="none" w:sz="0" w:space="0" w:color="auto"/>
            <w:left w:val="none" w:sz="0" w:space="0" w:color="auto"/>
            <w:bottom w:val="none" w:sz="0" w:space="0" w:color="auto"/>
            <w:right w:val="none" w:sz="0" w:space="0" w:color="auto"/>
          </w:divBdr>
        </w:div>
        <w:div w:id="1602953801">
          <w:marLeft w:val="0"/>
          <w:marRight w:val="0"/>
          <w:marTop w:val="0"/>
          <w:marBottom w:val="0"/>
          <w:divBdr>
            <w:top w:val="none" w:sz="0" w:space="0" w:color="auto"/>
            <w:left w:val="none" w:sz="0" w:space="0" w:color="auto"/>
            <w:bottom w:val="none" w:sz="0" w:space="0" w:color="auto"/>
            <w:right w:val="none" w:sz="0" w:space="0" w:color="auto"/>
          </w:divBdr>
        </w:div>
        <w:div w:id="1768961488">
          <w:marLeft w:val="0"/>
          <w:marRight w:val="0"/>
          <w:marTop w:val="0"/>
          <w:marBottom w:val="0"/>
          <w:divBdr>
            <w:top w:val="none" w:sz="0" w:space="0" w:color="auto"/>
            <w:left w:val="none" w:sz="0" w:space="0" w:color="auto"/>
            <w:bottom w:val="none" w:sz="0" w:space="0" w:color="auto"/>
            <w:right w:val="none" w:sz="0" w:space="0" w:color="auto"/>
          </w:divBdr>
        </w:div>
        <w:div w:id="191774343">
          <w:marLeft w:val="0"/>
          <w:marRight w:val="0"/>
          <w:marTop w:val="0"/>
          <w:marBottom w:val="0"/>
          <w:divBdr>
            <w:top w:val="none" w:sz="0" w:space="0" w:color="auto"/>
            <w:left w:val="none" w:sz="0" w:space="0" w:color="auto"/>
            <w:bottom w:val="none" w:sz="0" w:space="0" w:color="auto"/>
            <w:right w:val="none" w:sz="0" w:space="0" w:color="auto"/>
          </w:divBdr>
        </w:div>
        <w:div w:id="1218514268">
          <w:marLeft w:val="0"/>
          <w:marRight w:val="0"/>
          <w:marTop w:val="0"/>
          <w:marBottom w:val="0"/>
          <w:divBdr>
            <w:top w:val="none" w:sz="0" w:space="0" w:color="auto"/>
            <w:left w:val="none" w:sz="0" w:space="0" w:color="auto"/>
            <w:bottom w:val="none" w:sz="0" w:space="0" w:color="auto"/>
            <w:right w:val="none" w:sz="0" w:space="0" w:color="auto"/>
          </w:divBdr>
        </w:div>
        <w:div w:id="2073036036">
          <w:marLeft w:val="0"/>
          <w:marRight w:val="0"/>
          <w:marTop w:val="0"/>
          <w:marBottom w:val="0"/>
          <w:divBdr>
            <w:top w:val="none" w:sz="0" w:space="0" w:color="auto"/>
            <w:left w:val="none" w:sz="0" w:space="0" w:color="auto"/>
            <w:bottom w:val="none" w:sz="0" w:space="0" w:color="auto"/>
            <w:right w:val="none" w:sz="0" w:space="0" w:color="auto"/>
          </w:divBdr>
        </w:div>
        <w:div w:id="2071923299">
          <w:marLeft w:val="0"/>
          <w:marRight w:val="0"/>
          <w:marTop w:val="0"/>
          <w:marBottom w:val="0"/>
          <w:divBdr>
            <w:top w:val="none" w:sz="0" w:space="0" w:color="auto"/>
            <w:left w:val="none" w:sz="0" w:space="0" w:color="auto"/>
            <w:bottom w:val="none" w:sz="0" w:space="0" w:color="auto"/>
            <w:right w:val="none" w:sz="0" w:space="0" w:color="auto"/>
          </w:divBdr>
        </w:div>
        <w:div w:id="1877303983">
          <w:marLeft w:val="0"/>
          <w:marRight w:val="0"/>
          <w:marTop w:val="0"/>
          <w:marBottom w:val="0"/>
          <w:divBdr>
            <w:top w:val="none" w:sz="0" w:space="0" w:color="auto"/>
            <w:left w:val="none" w:sz="0" w:space="0" w:color="auto"/>
            <w:bottom w:val="none" w:sz="0" w:space="0" w:color="auto"/>
            <w:right w:val="none" w:sz="0" w:space="0" w:color="auto"/>
          </w:divBdr>
        </w:div>
        <w:div w:id="1818758834">
          <w:marLeft w:val="0"/>
          <w:marRight w:val="0"/>
          <w:marTop w:val="0"/>
          <w:marBottom w:val="0"/>
          <w:divBdr>
            <w:top w:val="none" w:sz="0" w:space="0" w:color="auto"/>
            <w:left w:val="none" w:sz="0" w:space="0" w:color="auto"/>
            <w:bottom w:val="none" w:sz="0" w:space="0" w:color="auto"/>
            <w:right w:val="none" w:sz="0" w:space="0" w:color="auto"/>
          </w:divBdr>
        </w:div>
        <w:div w:id="1221290328">
          <w:marLeft w:val="0"/>
          <w:marRight w:val="0"/>
          <w:marTop w:val="0"/>
          <w:marBottom w:val="0"/>
          <w:divBdr>
            <w:top w:val="none" w:sz="0" w:space="0" w:color="auto"/>
            <w:left w:val="none" w:sz="0" w:space="0" w:color="auto"/>
            <w:bottom w:val="none" w:sz="0" w:space="0" w:color="auto"/>
            <w:right w:val="none" w:sz="0" w:space="0" w:color="auto"/>
          </w:divBdr>
        </w:div>
        <w:div w:id="1821194385">
          <w:marLeft w:val="0"/>
          <w:marRight w:val="0"/>
          <w:marTop w:val="0"/>
          <w:marBottom w:val="0"/>
          <w:divBdr>
            <w:top w:val="none" w:sz="0" w:space="0" w:color="auto"/>
            <w:left w:val="none" w:sz="0" w:space="0" w:color="auto"/>
            <w:bottom w:val="none" w:sz="0" w:space="0" w:color="auto"/>
            <w:right w:val="none" w:sz="0" w:space="0" w:color="auto"/>
          </w:divBdr>
        </w:div>
        <w:div w:id="544565030">
          <w:marLeft w:val="0"/>
          <w:marRight w:val="0"/>
          <w:marTop w:val="0"/>
          <w:marBottom w:val="0"/>
          <w:divBdr>
            <w:top w:val="none" w:sz="0" w:space="0" w:color="auto"/>
            <w:left w:val="none" w:sz="0" w:space="0" w:color="auto"/>
            <w:bottom w:val="none" w:sz="0" w:space="0" w:color="auto"/>
            <w:right w:val="none" w:sz="0" w:space="0" w:color="auto"/>
          </w:divBdr>
        </w:div>
        <w:div w:id="1077089877">
          <w:marLeft w:val="0"/>
          <w:marRight w:val="0"/>
          <w:marTop w:val="0"/>
          <w:marBottom w:val="0"/>
          <w:divBdr>
            <w:top w:val="none" w:sz="0" w:space="0" w:color="auto"/>
            <w:left w:val="none" w:sz="0" w:space="0" w:color="auto"/>
            <w:bottom w:val="none" w:sz="0" w:space="0" w:color="auto"/>
            <w:right w:val="none" w:sz="0" w:space="0" w:color="auto"/>
          </w:divBdr>
        </w:div>
        <w:div w:id="1192719491">
          <w:marLeft w:val="0"/>
          <w:marRight w:val="0"/>
          <w:marTop w:val="0"/>
          <w:marBottom w:val="0"/>
          <w:divBdr>
            <w:top w:val="none" w:sz="0" w:space="0" w:color="auto"/>
            <w:left w:val="none" w:sz="0" w:space="0" w:color="auto"/>
            <w:bottom w:val="none" w:sz="0" w:space="0" w:color="auto"/>
            <w:right w:val="none" w:sz="0" w:space="0" w:color="auto"/>
          </w:divBdr>
        </w:div>
        <w:div w:id="55979486">
          <w:marLeft w:val="0"/>
          <w:marRight w:val="0"/>
          <w:marTop w:val="0"/>
          <w:marBottom w:val="0"/>
          <w:divBdr>
            <w:top w:val="none" w:sz="0" w:space="0" w:color="auto"/>
            <w:left w:val="none" w:sz="0" w:space="0" w:color="auto"/>
            <w:bottom w:val="none" w:sz="0" w:space="0" w:color="auto"/>
            <w:right w:val="none" w:sz="0" w:space="0" w:color="auto"/>
          </w:divBdr>
        </w:div>
        <w:div w:id="608320294">
          <w:marLeft w:val="0"/>
          <w:marRight w:val="0"/>
          <w:marTop w:val="0"/>
          <w:marBottom w:val="0"/>
          <w:divBdr>
            <w:top w:val="none" w:sz="0" w:space="0" w:color="auto"/>
            <w:left w:val="none" w:sz="0" w:space="0" w:color="auto"/>
            <w:bottom w:val="none" w:sz="0" w:space="0" w:color="auto"/>
            <w:right w:val="none" w:sz="0" w:space="0" w:color="auto"/>
          </w:divBdr>
        </w:div>
        <w:div w:id="1207716593">
          <w:marLeft w:val="0"/>
          <w:marRight w:val="0"/>
          <w:marTop w:val="0"/>
          <w:marBottom w:val="0"/>
          <w:divBdr>
            <w:top w:val="none" w:sz="0" w:space="0" w:color="auto"/>
            <w:left w:val="none" w:sz="0" w:space="0" w:color="auto"/>
            <w:bottom w:val="none" w:sz="0" w:space="0" w:color="auto"/>
            <w:right w:val="none" w:sz="0" w:space="0" w:color="auto"/>
          </w:divBdr>
        </w:div>
        <w:div w:id="460613667">
          <w:marLeft w:val="0"/>
          <w:marRight w:val="0"/>
          <w:marTop w:val="0"/>
          <w:marBottom w:val="0"/>
          <w:divBdr>
            <w:top w:val="none" w:sz="0" w:space="0" w:color="auto"/>
            <w:left w:val="none" w:sz="0" w:space="0" w:color="auto"/>
            <w:bottom w:val="none" w:sz="0" w:space="0" w:color="auto"/>
            <w:right w:val="none" w:sz="0" w:space="0" w:color="auto"/>
          </w:divBdr>
        </w:div>
        <w:div w:id="543060972">
          <w:marLeft w:val="0"/>
          <w:marRight w:val="0"/>
          <w:marTop w:val="0"/>
          <w:marBottom w:val="0"/>
          <w:divBdr>
            <w:top w:val="none" w:sz="0" w:space="0" w:color="auto"/>
            <w:left w:val="none" w:sz="0" w:space="0" w:color="auto"/>
            <w:bottom w:val="none" w:sz="0" w:space="0" w:color="auto"/>
            <w:right w:val="none" w:sz="0" w:space="0" w:color="auto"/>
          </w:divBdr>
        </w:div>
        <w:div w:id="1444612785">
          <w:marLeft w:val="0"/>
          <w:marRight w:val="0"/>
          <w:marTop w:val="0"/>
          <w:marBottom w:val="0"/>
          <w:divBdr>
            <w:top w:val="none" w:sz="0" w:space="0" w:color="auto"/>
            <w:left w:val="none" w:sz="0" w:space="0" w:color="auto"/>
            <w:bottom w:val="none" w:sz="0" w:space="0" w:color="auto"/>
            <w:right w:val="none" w:sz="0" w:space="0" w:color="auto"/>
          </w:divBdr>
        </w:div>
        <w:div w:id="1096826591">
          <w:marLeft w:val="0"/>
          <w:marRight w:val="0"/>
          <w:marTop w:val="0"/>
          <w:marBottom w:val="0"/>
          <w:divBdr>
            <w:top w:val="none" w:sz="0" w:space="0" w:color="auto"/>
            <w:left w:val="none" w:sz="0" w:space="0" w:color="auto"/>
            <w:bottom w:val="none" w:sz="0" w:space="0" w:color="auto"/>
            <w:right w:val="none" w:sz="0" w:space="0" w:color="auto"/>
          </w:divBdr>
        </w:div>
        <w:div w:id="507596639">
          <w:marLeft w:val="0"/>
          <w:marRight w:val="0"/>
          <w:marTop w:val="0"/>
          <w:marBottom w:val="0"/>
          <w:divBdr>
            <w:top w:val="none" w:sz="0" w:space="0" w:color="auto"/>
            <w:left w:val="none" w:sz="0" w:space="0" w:color="auto"/>
            <w:bottom w:val="none" w:sz="0" w:space="0" w:color="auto"/>
            <w:right w:val="none" w:sz="0" w:space="0" w:color="auto"/>
          </w:divBdr>
        </w:div>
        <w:div w:id="33047895">
          <w:marLeft w:val="0"/>
          <w:marRight w:val="0"/>
          <w:marTop w:val="0"/>
          <w:marBottom w:val="0"/>
          <w:divBdr>
            <w:top w:val="none" w:sz="0" w:space="0" w:color="auto"/>
            <w:left w:val="none" w:sz="0" w:space="0" w:color="auto"/>
            <w:bottom w:val="none" w:sz="0" w:space="0" w:color="auto"/>
            <w:right w:val="none" w:sz="0" w:space="0" w:color="auto"/>
          </w:divBdr>
        </w:div>
        <w:div w:id="799877833">
          <w:marLeft w:val="0"/>
          <w:marRight w:val="0"/>
          <w:marTop w:val="0"/>
          <w:marBottom w:val="0"/>
          <w:divBdr>
            <w:top w:val="none" w:sz="0" w:space="0" w:color="auto"/>
            <w:left w:val="none" w:sz="0" w:space="0" w:color="auto"/>
            <w:bottom w:val="none" w:sz="0" w:space="0" w:color="auto"/>
            <w:right w:val="none" w:sz="0" w:space="0" w:color="auto"/>
          </w:divBdr>
        </w:div>
        <w:div w:id="1992559661">
          <w:marLeft w:val="0"/>
          <w:marRight w:val="0"/>
          <w:marTop w:val="0"/>
          <w:marBottom w:val="0"/>
          <w:divBdr>
            <w:top w:val="none" w:sz="0" w:space="0" w:color="auto"/>
            <w:left w:val="none" w:sz="0" w:space="0" w:color="auto"/>
            <w:bottom w:val="none" w:sz="0" w:space="0" w:color="auto"/>
            <w:right w:val="none" w:sz="0" w:space="0" w:color="auto"/>
          </w:divBdr>
        </w:div>
        <w:div w:id="528104257">
          <w:marLeft w:val="0"/>
          <w:marRight w:val="0"/>
          <w:marTop w:val="0"/>
          <w:marBottom w:val="0"/>
          <w:divBdr>
            <w:top w:val="none" w:sz="0" w:space="0" w:color="auto"/>
            <w:left w:val="none" w:sz="0" w:space="0" w:color="auto"/>
            <w:bottom w:val="none" w:sz="0" w:space="0" w:color="auto"/>
            <w:right w:val="none" w:sz="0" w:space="0" w:color="auto"/>
          </w:divBdr>
        </w:div>
        <w:div w:id="1175922444">
          <w:marLeft w:val="0"/>
          <w:marRight w:val="0"/>
          <w:marTop w:val="0"/>
          <w:marBottom w:val="0"/>
          <w:divBdr>
            <w:top w:val="none" w:sz="0" w:space="0" w:color="auto"/>
            <w:left w:val="none" w:sz="0" w:space="0" w:color="auto"/>
            <w:bottom w:val="none" w:sz="0" w:space="0" w:color="auto"/>
            <w:right w:val="none" w:sz="0" w:space="0" w:color="auto"/>
          </w:divBdr>
        </w:div>
      </w:divsChild>
    </w:div>
    <w:div w:id="692532490">
      <w:bodyDiv w:val="1"/>
      <w:marLeft w:val="0"/>
      <w:marRight w:val="0"/>
      <w:marTop w:val="0"/>
      <w:marBottom w:val="0"/>
      <w:divBdr>
        <w:top w:val="none" w:sz="0" w:space="0" w:color="auto"/>
        <w:left w:val="none" w:sz="0" w:space="0" w:color="auto"/>
        <w:bottom w:val="none" w:sz="0" w:space="0" w:color="auto"/>
        <w:right w:val="none" w:sz="0" w:space="0" w:color="auto"/>
      </w:divBdr>
      <w:divsChild>
        <w:div w:id="949513157">
          <w:marLeft w:val="0"/>
          <w:marRight w:val="0"/>
          <w:marTop w:val="0"/>
          <w:marBottom w:val="0"/>
          <w:divBdr>
            <w:top w:val="none" w:sz="0" w:space="0" w:color="auto"/>
            <w:left w:val="none" w:sz="0" w:space="0" w:color="auto"/>
            <w:bottom w:val="none" w:sz="0" w:space="0" w:color="auto"/>
            <w:right w:val="none" w:sz="0" w:space="0" w:color="auto"/>
          </w:divBdr>
        </w:div>
        <w:div w:id="2055688082">
          <w:marLeft w:val="0"/>
          <w:marRight w:val="0"/>
          <w:marTop w:val="0"/>
          <w:marBottom w:val="0"/>
          <w:divBdr>
            <w:top w:val="none" w:sz="0" w:space="0" w:color="auto"/>
            <w:left w:val="none" w:sz="0" w:space="0" w:color="auto"/>
            <w:bottom w:val="none" w:sz="0" w:space="0" w:color="auto"/>
            <w:right w:val="none" w:sz="0" w:space="0" w:color="auto"/>
          </w:divBdr>
        </w:div>
        <w:div w:id="1069428453">
          <w:marLeft w:val="0"/>
          <w:marRight w:val="0"/>
          <w:marTop w:val="0"/>
          <w:marBottom w:val="0"/>
          <w:divBdr>
            <w:top w:val="none" w:sz="0" w:space="0" w:color="auto"/>
            <w:left w:val="none" w:sz="0" w:space="0" w:color="auto"/>
            <w:bottom w:val="none" w:sz="0" w:space="0" w:color="auto"/>
            <w:right w:val="none" w:sz="0" w:space="0" w:color="auto"/>
          </w:divBdr>
        </w:div>
      </w:divsChild>
    </w:div>
    <w:div w:id="866329435">
      <w:bodyDiv w:val="1"/>
      <w:marLeft w:val="0"/>
      <w:marRight w:val="0"/>
      <w:marTop w:val="0"/>
      <w:marBottom w:val="0"/>
      <w:divBdr>
        <w:top w:val="none" w:sz="0" w:space="0" w:color="auto"/>
        <w:left w:val="none" w:sz="0" w:space="0" w:color="auto"/>
        <w:bottom w:val="none" w:sz="0" w:space="0" w:color="auto"/>
        <w:right w:val="none" w:sz="0" w:space="0" w:color="auto"/>
      </w:divBdr>
    </w:div>
    <w:div w:id="880022728">
      <w:bodyDiv w:val="1"/>
      <w:marLeft w:val="0"/>
      <w:marRight w:val="0"/>
      <w:marTop w:val="0"/>
      <w:marBottom w:val="0"/>
      <w:divBdr>
        <w:top w:val="none" w:sz="0" w:space="0" w:color="auto"/>
        <w:left w:val="none" w:sz="0" w:space="0" w:color="auto"/>
        <w:bottom w:val="none" w:sz="0" w:space="0" w:color="auto"/>
        <w:right w:val="none" w:sz="0" w:space="0" w:color="auto"/>
      </w:divBdr>
      <w:divsChild>
        <w:div w:id="1423334931">
          <w:marLeft w:val="0"/>
          <w:marRight w:val="0"/>
          <w:marTop w:val="0"/>
          <w:marBottom w:val="0"/>
          <w:divBdr>
            <w:top w:val="none" w:sz="0" w:space="0" w:color="auto"/>
            <w:left w:val="none" w:sz="0" w:space="0" w:color="auto"/>
            <w:bottom w:val="none" w:sz="0" w:space="0" w:color="auto"/>
            <w:right w:val="none" w:sz="0" w:space="0" w:color="auto"/>
          </w:divBdr>
        </w:div>
        <w:div w:id="552497523">
          <w:marLeft w:val="0"/>
          <w:marRight w:val="0"/>
          <w:marTop w:val="0"/>
          <w:marBottom w:val="0"/>
          <w:divBdr>
            <w:top w:val="none" w:sz="0" w:space="0" w:color="auto"/>
            <w:left w:val="none" w:sz="0" w:space="0" w:color="auto"/>
            <w:bottom w:val="none" w:sz="0" w:space="0" w:color="auto"/>
            <w:right w:val="none" w:sz="0" w:space="0" w:color="auto"/>
          </w:divBdr>
        </w:div>
        <w:div w:id="57090922">
          <w:marLeft w:val="0"/>
          <w:marRight w:val="0"/>
          <w:marTop w:val="0"/>
          <w:marBottom w:val="0"/>
          <w:divBdr>
            <w:top w:val="none" w:sz="0" w:space="0" w:color="auto"/>
            <w:left w:val="none" w:sz="0" w:space="0" w:color="auto"/>
            <w:bottom w:val="none" w:sz="0" w:space="0" w:color="auto"/>
            <w:right w:val="none" w:sz="0" w:space="0" w:color="auto"/>
          </w:divBdr>
        </w:div>
        <w:div w:id="515114488">
          <w:marLeft w:val="0"/>
          <w:marRight w:val="0"/>
          <w:marTop w:val="0"/>
          <w:marBottom w:val="0"/>
          <w:divBdr>
            <w:top w:val="none" w:sz="0" w:space="0" w:color="auto"/>
            <w:left w:val="none" w:sz="0" w:space="0" w:color="auto"/>
            <w:bottom w:val="none" w:sz="0" w:space="0" w:color="auto"/>
            <w:right w:val="none" w:sz="0" w:space="0" w:color="auto"/>
          </w:divBdr>
        </w:div>
        <w:div w:id="315570101">
          <w:marLeft w:val="0"/>
          <w:marRight w:val="0"/>
          <w:marTop w:val="0"/>
          <w:marBottom w:val="0"/>
          <w:divBdr>
            <w:top w:val="none" w:sz="0" w:space="0" w:color="auto"/>
            <w:left w:val="none" w:sz="0" w:space="0" w:color="auto"/>
            <w:bottom w:val="none" w:sz="0" w:space="0" w:color="auto"/>
            <w:right w:val="none" w:sz="0" w:space="0" w:color="auto"/>
          </w:divBdr>
        </w:div>
        <w:div w:id="666133409">
          <w:marLeft w:val="0"/>
          <w:marRight w:val="0"/>
          <w:marTop w:val="0"/>
          <w:marBottom w:val="0"/>
          <w:divBdr>
            <w:top w:val="none" w:sz="0" w:space="0" w:color="auto"/>
            <w:left w:val="none" w:sz="0" w:space="0" w:color="auto"/>
            <w:bottom w:val="none" w:sz="0" w:space="0" w:color="auto"/>
            <w:right w:val="none" w:sz="0" w:space="0" w:color="auto"/>
          </w:divBdr>
        </w:div>
        <w:div w:id="978418763">
          <w:marLeft w:val="0"/>
          <w:marRight w:val="0"/>
          <w:marTop w:val="0"/>
          <w:marBottom w:val="0"/>
          <w:divBdr>
            <w:top w:val="none" w:sz="0" w:space="0" w:color="auto"/>
            <w:left w:val="none" w:sz="0" w:space="0" w:color="auto"/>
            <w:bottom w:val="none" w:sz="0" w:space="0" w:color="auto"/>
            <w:right w:val="none" w:sz="0" w:space="0" w:color="auto"/>
          </w:divBdr>
        </w:div>
        <w:div w:id="1882017775">
          <w:marLeft w:val="0"/>
          <w:marRight w:val="0"/>
          <w:marTop w:val="0"/>
          <w:marBottom w:val="0"/>
          <w:divBdr>
            <w:top w:val="none" w:sz="0" w:space="0" w:color="auto"/>
            <w:left w:val="none" w:sz="0" w:space="0" w:color="auto"/>
            <w:bottom w:val="none" w:sz="0" w:space="0" w:color="auto"/>
            <w:right w:val="none" w:sz="0" w:space="0" w:color="auto"/>
          </w:divBdr>
        </w:div>
      </w:divsChild>
    </w:div>
    <w:div w:id="1114517227">
      <w:bodyDiv w:val="1"/>
      <w:marLeft w:val="0"/>
      <w:marRight w:val="0"/>
      <w:marTop w:val="0"/>
      <w:marBottom w:val="0"/>
      <w:divBdr>
        <w:top w:val="none" w:sz="0" w:space="0" w:color="auto"/>
        <w:left w:val="none" w:sz="0" w:space="0" w:color="auto"/>
        <w:bottom w:val="none" w:sz="0" w:space="0" w:color="auto"/>
        <w:right w:val="none" w:sz="0" w:space="0" w:color="auto"/>
      </w:divBdr>
      <w:divsChild>
        <w:div w:id="1845515631">
          <w:marLeft w:val="0"/>
          <w:marRight w:val="0"/>
          <w:marTop w:val="0"/>
          <w:marBottom w:val="0"/>
          <w:divBdr>
            <w:top w:val="none" w:sz="0" w:space="0" w:color="auto"/>
            <w:left w:val="none" w:sz="0" w:space="0" w:color="auto"/>
            <w:bottom w:val="none" w:sz="0" w:space="0" w:color="auto"/>
            <w:right w:val="none" w:sz="0" w:space="0" w:color="auto"/>
          </w:divBdr>
        </w:div>
        <w:div w:id="892158767">
          <w:marLeft w:val="0"/>
          <w:marRight w:val="0"/>
          <w:marTop w:val="0"/>
          <w:marBottom w:val="0"/>
          <w:divBdr>
            <w:top w:val="none" w:sz="0" w:space="0" w:color="auto"/>
            <w:left w:val="none" w:sz="0" w:space="0" w:color="auto"/>
            <w:bottom w:val="none" w:sz="0" w:space="0" w:color="auto"/>
            <w:right w:val="none" w:sz="0" w:space="0" w:color="auto"/>
          </w:divBdr>
        </w:div>
        <w:div w:id="204800732">
          <w:marLeft w:val="0"/>
          <w:marRight w:val="0"/>
          <w:marTop w:val="0"/>
          <w:marBottom w:val="0"/>
          <w:divBdr>
            <w:top w:val="none" w:sz="0" w:space="0" w:color="auto"/>
            <w:left w:val="none" w:sz="0" w:space="0" w:color="auto"/>
            <w:bottom w:val="none" w:sz="0" w:space="0" w:color="auto"/>
            <w:right w:val="none" w:sz="0" w:space="0" w:color="auto"/>
          </w:divBdr>
        </w:div>
        <w:div w:id="873231212">
          <w:marLeft w:val="0"/>
          <w:marRight w:val="0"/>
          <w:marTop w:val="0"/>
          <w:marBottom w:val="0"/>
          <w:divBdr>
            <w:top w:val="none" w:sz="0" w:space="0" w:color="auto"/>
            <w:left w:val="none" w:sz="0" w:space="0" w:color="auto"/>
            <w:bottom w:val="none" w:sz="0" w:space="0" w:color="auto"/>
            <w:right w:val="none" w:sz="0" w:space="0" w:color="auto"/>
          </w:divBdr>
        </w:div>
        <w:div w:id="379325359">
          <w:marLeft w:val="0"/>
          <w:marRight w:val="0"/>
          <w:marTop w:val="0"/>
          <w:marBottom w:val="0"/>
          <w:divBdr>
            <w:top w:val="none" w:sz="0" w:space="0" w:color="auto"/>
            <w:left w:val="none" w:sz="0" w:space="0" w:color="auto"/>
            <w:bottom w:val="none" w:sz="0" w:space="0" w:color="auto"/>
            <w:right w:val="none" w:sz="0" w:space="0" w:color="auto"/>
          </w:divBdr>
        </w:div>
        <w:div w:id="1015689962">
          <w:marLeft w:val="0"/>
          <w:marRight w:val="0"/>
          <w:marTop w:val="0"/>
          <w:marBottom w:val="0"/>
          <w:divBdr>
            <w:top w:val="none" w:sz="0" w:space="0" w:color="auto"/>
            <w:left w:val="none" w:sz="0" w:space="0" w:color="auto"/>
            <w:bottom w:val="none" w:sz="0" w:space="0" w:color="auto"/>
            <w:right w:val="none" w:sz="0" w:space="0" w:color="auto"/>
          </w:divBdr>
        </w:div>
        <w:div w:id="1303852976">
          <w:marLeft w:val="0"/>
          <w:marRight w:val="0"/>
          <w:marTop w:val="0"/>
          <w:marBottom w:val="0"/>
          <w:divBdr>
            <w:top w:val="none" w:sz="0" w:space="0" w:color="auto"/>
            <w:left w:val="none" w:sz="0" w:space="0" w:color="auto"/>
            <w:bottom w:val="none" w:sz="0" w:space="0" w:color="auto"/>
            <w:right w:val="none" w:sz="0" w:space="0" w:color="auto"/>
          </w:divBdr>
        </w:div>
        <w:div w:id="1646351658">
          <w:marLeft w:val="0"/>
          <w:marRight w:val="0"/>
          <w:marTop w:val="0"/>
          <w:marBottom w:val="0"/>
          <w:divBdr>
            <w:top w:val="none" w:sz="0" w:space="0" w:color="auto"/>
            <w:left w:val="none" w:sz="0" w:space="0" w:color="auto"/>
            <w:bottom w:val="none" w:sz="0" w:space="0" w:color="auto"/>
            <w:right w:val="none" w:sz="0" w:space="0" w:color="auto"/>
          </w:divBdr>
        </w:div>
      </w:divsChild>
    </w:div>
    <w:div w:id="1353339930">
      <w:bodyDiv w:val="1"/>
      <w:marLeft w:val="0"/>
      <w:marRight w:val="0"/>
      <w:marTop w:val="0"/>
      <w:marBottom w:val="0"/>
      <w:divBdr>
        <w:top w:val="none" w:sz="0" w:space="0" w:color="auto"/>
        <w:left w:val="none" w:sz="0" w:space="0" w:color="auto"/>
        <w:bottom w:val="none" w:sz="0" w:space="0" w:color="auto"/>
        <w:right w:val="none" w:sz="0" w:space="0" w:color="auto"/>
      </w:divBdr>
      <w:divsChild>
        <w:div w:id="1394889793">
          <w:marLeft w:val="0"/>
          <w:marRight w:val="0"/>
          <w:marTop w:val="0"/>
          <w:marBottom w:val="0"/>
          <w:divBdr>
            <w:top w:val="none" w:sz="0" w:space="0" w:color="auto"/>
            <w:left w:val="none" w:sz="0" w:space="0" w:color="auto"/>
            <w:bottom w:val="none" w:sz="0" w:space="0" w:color="auto"/>
            <w:right w:val="none" w:sz="0" w:space="0" w:color="auto"/>
          </w:divBdr>
        </w:div>
        <w:div w:id="1891334095">
          <w:marLeft w:val="0"/>
          <w:marRight w:val="0"/>
          <w:marTop w:val="0"/>
          <w:marBottom w:val="0"/>
          <w:divBdr>
            <w:top w:val="none" w:sz="0" w:space="0" w:color="auto"/>
            <w:left w:val="none" w:sz="0" w:space="0" w:color="auto"/>
            <w:bottom w:val="none" w:sz="0" w:space="0" w:color="auto"/>
            <w:right w:val="none" w:sz="0" w:space="0" w:color="auto"/>
          </w:divBdr>
        </w:div>
        <w:div w:id="1565069850">
          <w:marLeft w:val="0"/>
          <w:marRight w:val="0"/>
          <w:marTop w:val="0"/>
          <w:marBottom w:val="0"/>
          <w:divBdr>
            <w:top w:val="none" w:sz="0" w:space="0" w:color="auto"/>
            <w:left w:val="none" w:sz="0" w:space="0" w:color="auto"/>
            <w:bottom w:val="none" w:sz="0" w:space="0" w:color="auto"/>
            <w:right w:val="none" w:sz="0" w:space="0" w:color="auto"/>
          </w:divBdr>
        </w:div>
        <w:div w:id="80376031">
          <w:marLeft w:val="0"/>
          <w:marRight w:val="0"/>
          <w:marTop w:val="0"/>
          <w:marBottom w:val="0"/>
          <w:divBdr>
            <w:top w:val="none" w:sz="0" w:space="0" w:color="auto"/>
            <w:left w:val="none" w:sz="0" w:space="0" w:color="auto"/>
            <w:bottom w:val="none" w:sz="0" w:space="0" w:color="auto"/>
            <w:right w:val="none" w:sz="0" w:space="0" w:color="auto"/>
          </w:divBdr>
        </w:div>
        <w:div w:id="1156383005">
          <w:marLeft w:val="0"/>
          <w:marRight w:val="0"/>
          <w:marTop w:val="0"/>
          <w:marBottom w:val="0"/>
          <w:divBdr>
            <w:top w:val="none" w:sz="0" w:space="0" w:color="auto"/>
            <w:left w:val="none" w:sz="0" w:space="0" w:color="auto"/>
            <w:bottom w:val="none" w:sz="0" w:space="0" w:color="auto"/>
            <w:right w:val="none" w:sz="0" w:space="0" w:color="auto"/>
          </w:divBdr>
        </w:div>
        <w:div w:id="874660308">
          <w:marLeft w:val="0"/>
          <w:marRight w:val="0"/>
          <w:marTop w:val="0"/>
          <w:marBottom w:val="0"/>
          <w:divBdr>
            <w:top w:val="none" w:sz="0" w:space="0" w:color="auto"/>
            <w:left w:val="none" w:sz="0" w:space="0" w:color="auto"/>
            <w:bottom w:val="none" w:sz="0" w:space="0" w:color="auto"/>
            <w:right w:val="none" w:sz="0" w:space="0" w:color="auto"/>
          </w:divBdr>
        </w:div>
        <w:div w:id="259025840">
          <w:marLeft w:val="0"/>
          <w:marRight w:val="0"/>
          <w:marTop w:val="0"/>
          <w:marBottom w:val="0"/>
          <w:divBdr>
            <w:top w:val="none" w:sz="0" w:space="0" w:color="auto"/>
            <w:left w:val="none" w:sz="0" w:space="0" w:color="auto"/>
            <w:bottom w:val="none" w:sz="0" w:space="0" w:color="auto"/>
            <w:right w:val="none" w:sz="0" w:space="0" w:color="auto"/>
          </w:divBdr>
        </w:div>
        <w:div w:id="1510829735">
          <w:marLeft w:val="0"/>
          <w:marRight w:val="0"/>
          <w:marTop w:val="0"/>
          <w:marBottom w:val="0"/>
          <w:divBdr>
            <w:top w:val="none" w:sz="0" w:space="0" w:color="auto"/>
            <w:left w:val="none" w:sz="0" w:space="0" w:color="auto"/>
            <w:bottom w:val="none" w:sz="0" w:space="0" w:color="auto"/>
            <w:right w:val="none" w:sz="0" w:space="0" w:color="auto"/>
          </w:divBdr>
        </w:div>
        <w:div w:id="486821619">
          <w:marLeft w:val="0"/>
          <w:marRight w:val="0"/>
          <w:marTop w:val="0"/>
          <w:marBottom w:val="0"/>
          <w:divBdr>
            <w:top w:val="none" w:sz="0" w:space="0" w:color="auto"/>
            <w:left w:val="none" w:sz="0" w:space="0" w:color="auto"/>
            <w:bottom w:val="none" w:sz="0" w:space="0" w:color="auto"/>
            <w:right w:val="none" w:sz="0" w:space="0" w:color="auto"/>
          </w:divBdr>
        </w:div>
        <w:div w:id="1373459978">
          <w:marLeft w:val="0"/>
          <w:marRight w:val="0"/>
          <w:marTop w:val="0"/>
          <w:marBottom w:val="0"/>
          <w:divBdr>
            <w:top w:val="none" w:sz="0" w:space="0" w:color="auto"/>
            <w:left w:val="none" w:sz="0" w:space="0" w:color="auto"/>
            <w:bottom w:val="none" w:sz="0" w:space="0" w:color="auto"/>
            <w:right w:val="none" w:sz="0" w:space="0" w:color="auto"/>
          </w:divBdr>
        </w:div>
        <w:div w:id="1280801951">
          <w:marLeft w:val="0"/>
          <w:marRight w:val="0"/>
          <w:marTop w:val="0"/>
          <w:marBottom w:val="0"/>
          <w:divBdr>
            <w:top w:val="none" w:sz="0" w:space="0" w:color="auto"/>
            <w:left w:val="none" w:sz="0" w:space="0" w:color="auto"/>
            <w:bottom w:val="none" w:sz="0" w:space="0" w:color="auto"/>
            <w:right w:val="none" w:sz="0" w:space="0" w:color="auto"/>
          </w:divBdr>
        </w:div>
        <w:div w:id="514802693">
          <w:marLeft w:val="0"/>
          <w:marRight w:val="0"/>
          <w:marTop w:val="0"/>
          <w:marBottom w:val="0"/>
          <w:divBdr>
            <w:top w:val="none" w:sz="0" w:space="0" w:color="auto"/>
            <w:left w:val="none" w:sz="0" w:space="0" w:color="auto"/>
            <w:bottom w:val="none" w:sz="0" w:space="0" w:color="auto"/>
            <w:right w:val="none" w:sz="0" w:space="0" w:color="auto"/>
          </w:divBdr>
        </w:div>
        <w:div w:id="249900074">
          <w:marLeft w:val="0"/>
          <w:marRight w:val="0"/>
          <w:marTop w:val="0"/>
          <w:marBottom w:val="0"/>
          <w:divBdr>
            <w:top w:val="none" w:sz="0" w:space="0" w:color="auto"/>
            <w:left w:val="none" w:sz="0" w:space="0" w:color="auto"/>
            <w:bottom w:val="none" w:sz="0" w:space="0" w:color="auto"/>
            <w:right w:val="none" w:sz="0" w:space="0" w:color="auto"/>
          </w:divBdr>
        </w:div>
        <w:div w:id="1501190673">
          <w:marLeft w:val="0"/>
          <w:marRight w:val="0"/>
          <w:marTop w:val="0"/>
          <w:marBottom w:val="0"/>
          <w:divBdr>
            <w:top w:val="none" w:sz="0" w:space="0" w:color="auto"/>
            <w:left w:val="none" w:sz="0" w:space="0" w:color="auto"/>
            <w:bottom w:val="none" w:sz="0" w:space="0" w:color="auto"/>
            <w:right w:val="none" w:sz="0" w:space="0" w:color="auto"/>
          </w:divBdr>
        </w:div>
        <w:div w:id="1784765492">
          <w:marLeft w:val="0"/>
          <w:marRight w:val="0"/>
          <w:marTop w:val="0"/>
          <w:marBottom w:val="0"/>
          <w:divBdr>
            <w:top w:val="none" w:sz="0" w:space="0" w:color="auto"/>
            <w:left w:val="none" w:sz="0" w:space="0" w:color="auto"/>
            <w:bottom w:val="none" w:sz="0" w:space="0" w:color="auto"/>
            <w:right w:val="none" w:sz="0" w:space="0" w:color="auto"/>
          </w:divBdr>
        </w:div>
      </w:divsChild>
    </w:div>
    <w:div w:id="1722947052">
      <w:bodyDiv w:val="1"/>
      <w:marLeft w:val="0"/>
      <w:marRight w:val="0"/>
      <w:marTop w:val="0"/>
      <w:marBottom w:val="0"/>
      <w:divBdr>
        <w:top w:val="none" w:sz="0" w:space="0" w:color="auto"/>
        <w:left w:val="none" w:sz="0" w:space="0" w:color="auto"/>
        <w:bottom w:val="none" w:sz="0" w:space="0" w:color="auto"/>
        <w:right w:val="none" w:sz="0" w:space="0" w:color="auto"/>
      </w:divBdr>
    </w:div>
    <w:div w:id="1733581552">
      <w:bodyDiv w:val="1"/>
      <w:marLeft w:val="0"/>
      <w:marRight w:val="0"/>
      <w:marTop w:val="0"/>
      <w:marBottom w:val="0"/>
      <w:divBdr>
        <w:top w:val="none" w:sz="0" w:space="0" w:color="auto"/>
        <w:left w:val="none" w:sz="0" w:space="0" w:color="auto"/>
        <w:bottom w:val="none" w:sz="0" w:space="0" w:color="auto"/>
        <w:right w:val="none" w:sz="0" w:space="0" w:color="auto"/>
      </w:divBdr>
    </w:div>
    <w:div w:id="1795634441">
      <w:bodyDiv w:val="1"/>
      <w:marLeft w:val="0"/>
      <w:marRight w:val="0"/>
      <w:marTop w:val="0"/>
      <w:marBottom w:val="0"/>
      <w:divBdr>
        <w:top w:val="none" w:sz="0" w:space="0" w:color="auto"/>
        <w:left w:val="none" w:sz="0" w:space="0" w:color="auto"/>
        <w:bottom w:val="none" w:sz="0" w:space="0" w:color="auto"/>
        <w:right w:val="none" w:sz="0" w:space="0" w:color="auto"/>
      </w:divBdr>
    </w:div>
    <w:div w:id="2106225271">
      <w:bodyDiv w:val="1"/>
      <w:marLeft w:val="0"/>
      <w:marRight w:val="0"/>
      <w:marTop w:val="0"/>
      <w:marBottom w:val="0"/>
      <w:divBdr>
        <w:top w:val="none" w:sz="0" w:space="0" w:color="auto"/>
        <w:left w:val="none" w:sz="0" w:space="0" w:color="auto"/>
        <w:bottom w:val="none" w:sz="0" w:space="0" w:color="auto"/>
        <w:right w:val="none" w:sz="0" w:space="0" w:color="auto"/>
      </w:divBdr>
      <w:divsChild>
        <w:div w:id="892230777">
          <w:marLeft w:val="0"/>
          <w:marRight w:val="0"/>
          <w:marTop w:val="0"/>
          <w:marBottom w:val="0"/>
          <w:divBdr>
            <w:top w:val="none" w:sz="0" w:space="0" w:color="auto"/>
            <w:left w:val="none" w:sz="0" w:space="0" w:color="auto"/>
            <w:bottom w:val="none" w:sz="0" w:space="0" w:color="auto"/>
            <w:right w:val="none" w:sz="0" w:space="0" w:color="auto"/>
          </w:divBdr>
        </w:div>
        <w:div w:id="913734271">
          <w:marLeft w:val="0"/>
          <w:marRight w:val="0"/>
          <w:marTop w:val="0"/>
          <w:marBottom w:val="0"/>
          <w:divBdr>
            <w:top w:val="none" w:sz="0" w:space="0" w:color="auto"/>
            <w:left w:val="none" w:sz="0" w:space="0" w:color="auto"/>
            <w:bottom w:val="none" w:sz="0" w:space="0" w:color="auto"/>
            <w:right w:val="none" w:sz="0" w:space="0" w:color="auto"/>
          </w:divBdr>
        </w:div>
        <w:div w:id="1973630147">
          <w:marLeft w:val="0"/>
          <w:marRight w:val="0"/>
          <w:marTop w:val="0"/>
          <w:marBottom w:val="0"/>
          <w:divBdr>
            <w:top w:val="none" w:sz="0" w:space="0" w:color="auto"/>
            <w:left w:val="none" w:sz="0" w:space="0" w:color="auto"/>
            <w:bottom w:val="none" w:sz="0" w:space="0" w:color="auto"/>
            <w:right w:val="none" w:sz="0" w:space="0" w:color="auto"/>
          </w:divBdr>
        </w:div>
        <w:div w:id="723219727">
          <w:marLeft w:val="0"/>
          <w:marRight w:val="0"/>
          <w:marTop w:val="0"/>
          <w:marBottom w:val="0"/>
          <w:divBdr>
            <w:top w:val="none" w:sz="0" w:space="0" w:color="auto"/>
            <w:left w:val="none" w:sz="0" w:space="0" w:color="auto"/>
            <w:bottom w:val="none" w:sz="0" w:space="0" w:color="auto"/>
            <w:right w:val="none" w:sz="0" w:space="0" w:color="auto"/>
          </w:divBdr>
        </w:div>
        <w:div w:id="1645772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ur-lex.europa.eu/legal-content/BG/TXT/PDF/?uri=CELEX:02013R0952-20161224&amp;qid=1546516232258&amp;from=B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ur-lex.europa.eu/legal-content/BG/TXT/?qid=1546514020196&amp;uri=CELEX:32013R129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FFE06BD03081E4B8084BA8EA1CE3582" ma:contentTypeVersion="6" ma:contentTypeDescription="Create a new document in this library." ma:contentTypeScope="" ma:versionID="4a330234375b321ae18a0df45602944d">
  <xsd:schema xmlns:xsd="http://www.w3.org/2001/XMLSchema" xmlns:xs="http://www.w3.org/2001/XMLSchema" xmlns:p="http://schemas.microsoft.com/office/2006/metadata/properties" xmlns:ns3="2e66423e-a4e6-4f9c-8c07-6bdbd9408a0f" targetNamespace="http://schemas.microsoft.com/office/2006/metadata/properties" ma:root="true" ma:fieldsID="e928f8a04c1c9b5364291105c926001f" ns3:_="">
    <xsd:import namespace="2e66423e-a4e6-4f9c-8c07-6bdbd9408a0f"/>
    <xsd:element name="properties">
      <xsd:complexType>
        <xsd:sequence>
          <xsd:element name="documentManagement">
            <xsd:complexType>
              <xsd:all>
                <xsd:element ref="ns3:EC_Collab_Reference" minOccurs="0"/>
                <xsd:element ref="ns3:EC_Collab_DocumentLanguage"/>
                <xsd:element ref="ns3:EC_Collab_Status"/>
                <xsd:element ref="ns3:Programme" minOccurs="0"/>
                <xsd:element ref="ns3:Topic" minOccurs="0"/>
                <xsd:element ref="ns3:Budget_x0020_Year" minOccurs="0"/>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6423e-a4e6-4f9c-8c07-6bdbd9408a0f" elementFormDefault="qualified">
    <xsd:import namespace="http://schemas.microsoft.com/office/2006/documentManagement/types"/>
    <xsd:import namespace="http://schemas.microsoft.com/office/infopath/2007/PartnerControls"/>
    <xsd:element name="EC_Collab_Reference" ma:index="10" nillable="true" ma:displayName="Reference" ma:internalName="EC_Collab_Reference">
      <xsd:simpleType>
        <xsd:restriction base="dms:Text"/>
      </xsd:simpleType>
    </xsd:element>
    <xsd:element name="EC_Collab_DocumentLanguage" ma:index="11"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2"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Programme" ma:index="13" nillable="true" ma:displayName="Programme" ma:default="Customs" ma:description="Select one keyword" ma:format="Dropdown" ma:internalName="Programme">
      <xsd:simpleType>
        <xsd:restriction base="dms:Choice">
          <xsd:enumeration value="Customs"/>
          <xsd:enumeration value="Fiscalis"/>
          <xsd:enumeration value="Common"/>
        </xsd:restriction>
      </xsd:simpleType>
    </xsd:element>
    <xsd:element name="Topic" ma:index="14" nillable="true" ma:displayName="Topic" ma:default="Programming" ma:description="Choose topic: multiple choice is possible" ma:internalName="Topic">
      <xsd:complexType>
        <xsd:complexContent>
          <xsd:extension base="dms:MultiChoice">
            <xsd:sequence>
              <xsd:element name="Value" maxOccurs="unbounded" minOccurs="0" nillable="true">
                <xsd:simpleType>
                  <xsd:restriction base="dms:Choice">
                    <xsd:enumeration value="Programming"/>
                    <xsd:enumeration value="Performance Measurement"/>
                    <xsd:enumeration value="Implementation"/>
                    <xsd:enumeration value="IT System"/>
                    <xsd:enumeration value="PCG"/>
                    <xsd:enumeration value="Midterm Evaluation"/>
                    <xsd:enumeration value="New Programme"/>
                  </xsd:restriction>
                </xsd:simpleType>
              </xsd:element>
            </xsd:sequence>
          </xsd:extension>
        </xsd:complexContent>
      </xsd:complexType>
    </xsd:element>
    <xsd:element name="Budget_x0020_Year" ma:index="15" nillable="true" ma:displayName="Budget Year" ma:description="Indicate year in 4 digits (if applicable)" ma:internalName="Budget_x0020_Year">
      <xsd:simpleType>
        <xsd:restriction base="dms:Text">
          <xsd:maxLength value="255"/>
        </xsd:restriction>
      </xsd:simpleType>
    </xsd:element>
    <xsd:element name="Meeting_x0020_date" ma:index="16"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2e66423e-a4e6-4f9c-8c07-6bdbd9408a0f">EN</EC_Collab_DocumentLanguage>
    <Topic xmlns="2e66423e-a4e6-4f9c-8c07-6bdbd9408a0f">
      <Value>Programming</Value>
      <Value>Midterm Evaluation</Value>
    </Topic>
    <Meeting_x0020_date xmlns="2e66423e-a4e6-4f9c-8c07-6bdbd9408a0f" xsi:nil="true"/>
    <EC_Collab_Status xmlns="2e66423e-a4e6-4f9c-8c07-6bdbd9408a0f">Not Started</EC_Collab_Status>
    <EC_Collab_Reference xmlns="2e66423e-a4e6-4f9c-8c07-6bdbd9408a0f" xsi:nil="true"/>
    <Budget_x0020_Year xmlns="2e66423e-a4e6-4f9c-8c07-6bdbd9408a0f" xsi:nil="true"/>
    <Programme xmlns="2e66423e-a4e6-4f9c-8c07-6bdbd9408a0f">Customs</Program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5B0D-4448-45E8-B3CF-656374EF86E0}">
  <ds:schemaRefs>
    <ds:schemaRef ds:uri="http://schemas.microsoft.com/sharepoint/v3/contenttype/forms"/>
  </ds:schemaRefs>
</ds:datastoreItem>
</file>

<file path=customXml/itemProps2.xml><?xml version="1.0" encoding="utf-8"?>
<ds:datastoreItem xmlns:ds="http://schemas.openxmlformats.org/officeDocument/2006/customXml" ds:itemID="{93932C03-605A-4BE5-A191-DEB77D379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6423e-a4e6-4f9c-8c07-6bdbd9408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E2748-8087-40C1-9F4F-B98E4CDCF9F0}">
  <ds:schemaRefs>
    <ds:schemaRef ds:uri="http://purl.org/dc/elements/1.1/"/>
    <ds:schemaRef ds:uri="http://schemas.microsoft.com/office/2006/documentManagement/types"/>
    <ds:schemaRef ds:uri="http://www.w3.org/XML/1998/namespace"/>
    <ds:schemaRef ds:uri="2e66423e-a4e6-4f9c-8c07-6bdbd9408a0f"/>
    <ds:schemaRef ds:uri="http://schemas.openxmlformats.org/package/2006/metadata/core-properties"/>
    <ds:schemaRef ds:uri="http://schemas.microsoft.com/office/infopath/2007/PartnerControls"/>
    <ds:schemaRef ds:uri="http://purl.org/dc/term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ACACCFD9-1706-443C-AC21-BEFC67EE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4021</Words>
  <Characters>24609</Characters>
  <Application>Microsoft Office Word</Application>
  <DocSecurity>0</DocSecurity>
  <Lines>384</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2019-01-18T11:46:00Z</dcterms:created>
  <dcterms:modified xsi:type="dcterms:W3CDTF">2019-02-01T09:07:00Z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0x010100258AA79CEB83498886A3A08681123250008FFE06BD03081E4B8084BA8EA1CE3582</vt:lpwstr>
  </property>
</Properties>
</file>