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FDB2FE2-35E7-4A32-9535-B6DBBF3A18E4" style="width:450.75pt;height:406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Ewropea fil-Kumitat tal-FSE stabbilit skont il-Ftehim Interim li jistabbilixxi qafas għal Ftehim ta’ Sħubija Ekonomika bejn l-Istati tal-Afrika tal-Lvant u tan-Nofsinhar, minn naħa, u l-Komunità Ewropea u l-Istati Membri tagħha, min-naħa l-oħra, rigward l-adozzjoni prevista tad-Deċiżjoni li temenda ċerti dispożizzjonijiet tal-Protokoll 1 għall-Ftehim.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 Interim li jistabbilixxi qafas għal Ftehim ta' Sħubija Ekonomika bejn l-Istati tal-Afrika tal-Lvant u tan-Nofsinhar, min-naħa, u l-Komunità Ewropea u l-Istati Membri tagħha, min-naħa l-oħra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Il-Ftehim Interim li jistabbilixxi qafas għal Ftehim ta’ Sħubija Ekonomika bejn l-Istati tal-Afrika tal-Lvant u tan-Nofsinhar, minn naħa, u l-Komunità Ewropea u l-Istati Membri tagħha, min-naħa l-oħra (“il-Ftehim”) għandu l-għan li (a) jagħti aċċess aħjar lill-Istati tal-ESA għas-suq li toffri l-Unjoni Ewropea (“l-UE”); (b) jippromwovu żvilupp ekonomiku sostenibbli u l-integrazzjoni gradwali tal-Istati tal-ESA fl-ekonomija dinjija; (c) jistabbilixxi żoni ta’ kummerċ ħieles bejn l-Unjoni Ewropea u Stati tal-Afrika tal-Lvant u tan-Nofsinhar (“Stati tal-ESA”) ibbażati fuq interess komuni, permezz tal-liberalizzazzjoni progressiva tal-kummerċ b’mod konformi mar-regoli applikabbli tad-WTO u mal-prinċipju tal-asimetrija, filwaqt li jitqiesu l-ħtiġijiet speċifiċi u l-limitazzjonijiet tal-kapaċità tal-Istati tal-ESA, mil-lat ta’ livelli u żmien magħżul għall-impenji; (d) joħloq l-arranġamenti xierqa tar-riżoluzzjoni tat-tilwim; u (e) jistabbilixxi l-arranġamenti istituzzjonali xierqa. </w:t>
      </w:r>
    </w:p>
    <w:p>
      <w:pPr>
        <w:rPr>
          <w:noProof/>
        </w:rPr>
      </w:pPr>
      <w:r>
        <w:rPr>
          <w:noProof/>
        </w:rPr>
        <w:t>Fit-13 ta’ Lulju 2009, l-UE ffirmat il-Ftehim</w:t>
      </w:r>
      <w:r>
        <w:rPr>
          <w:rStyle w:val="FootnoteReference"/>
          <w:noProof/>
        </w:rPr>
        <w:footnoteReference w:id="1"/>
      </w:r>
      <w:r>
        <w:rPr>
          <w:noProof/>
        </w:rPr>
        <w:t>, li Madagascar, Mauritius, is-Seychelles u ż-Żimbabwe ilhom mill-14 ta’ Mejju 2012 japplikawh b’mod proviżorju.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tal-FSE</w:t>
      </w:r>
    </w:p>
    <w:p>
      <w:pPr>
        <w:rPr>
          <w:noProof/>
        </w:rPr>
      </w:pPr>
      <w:r>
        <w:rPr>
          <w:noProof/>
        </w:rPr>
        <w:t xml:space="preserve">Il-Kumitat tal-FSE huwa korp imwaqqaf skont l-Artikolu 64 tal-Ftehim. Dan magħmul minn rappreżentanti tal-UE u tal-Istati tal-ESA (Madagascar, Mauritius, is-Seychelles u ż-Żimbabwe). Il-Kumitat tal-FSE jadotta r-regoli ta’ proċedura tiegħu stess, u hu kopresedut minn rappreżentant tal-UE u minn rappreżentant mill-Istati tal-ESA. </w:t>
      </w:r>
    </w:p>
    <w:p>
      <w:pPr>
        <w:rPr>
          <w:rFonts w:eastAsia="Arial Unicode MS"/>
          <w:noProof/>
        </w:rPr>
      </w:pPr>
      <w:r>
        <w:rPr>
          <w:noProof/>
        </w:rPr>
        <w:t>Il-Kumitat tal-FSE jittratta mal-kwistjonijiet kollha meħtieġa għall-implimentazzjoni tal-Ftehim, inkluż il-koperazzjoni għall-iżvilupp. Fit-twettiq tal-funzjonijiet tiegħu, il-Kumitat tal-FSE jista’ (a) jistabbilixxi u jissorvelja kwalunkwe kumitati jew entitajiet speċjali meħtieġa għall-implimentazzjoni tal-Ftehim, (b) jiltaqa’ fi kwalunkwe ħin miftiehem mill-Partijiet, (c) iqis kwalunkwe kwistjonijiet skont dan il-Ftehim u jieħu azzjoni xierqa fit-twettiq tal-funzjonijiet tiegħu, (d) jieħu deċiżjonijiet jew jagħmel rakkomandazzjonijiet fil-każijiet previsti f’dan il-Ftehim, u (e) jadotta emendi għal dan il-Ftehim, inkluż għall-lista ta’ Stati Firmatarji tal-ESA elenkati fl-Anness II u d-dispożizzjonijiet tal-Protokoll 1.</w:t>
      </w:r>
    </w:p>
    <w:p>
      <w:pPr>
        <w:rPr>
          <w:rFonts w:eastAsia="Arial Unicode MS"/>
          <w:noProof/>
        </w:rPr>
      </w:pPr>
      <w:r>
        <w:rPr>
          <w:noProof/>
        </w:rPr>
        <w:t>Il-Kumitat tal-FSE jista’ jirrevedi dan il-Ftehim, l-implimentazzjoni, it-tħaddim u t-twettiq tiegħu meta meħtieġ u jagħmel suġġerimenti xierqa lill-Partijiet biex jiġi emendat.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</w:t>
      </w:r>
    </w:p>
    <w:p>
      <w:pPr>
        <w:rPr>
          <w:rFonts w:eastAsia="Arial Unicode MS"/>
          <w:noProof/>
        </w:rPr>
      </w:pPr>
      <w:r>
        <w:rPr>
          <w:noProof/>
        </w:rPr>
        <w:t>F’Mejju/Ġunju 2019, waqt it-tmien laqgħa tiegħu, il-Kumitat tal-FSE se jadotta Deċiżjoni rigward l-emenda ta’ ċerti dispożizzjonijiet tal-Protokoll 1 dwar id-definizzjoni tal-kunċett ta’ “prodotti li joriġinaw” u l-metodi ta’ koperazzjoni amministrattiva (“l-att previst”).</w:t>
      </w:r>
    </w:p>
    <w:p>
      <w:pPr>
        <w:rPr>
          <w:rFonts w:eastAsia="Arial Unicode MS"/>
          <w:noProof/>
        </w:rPr>
      </w:pPr>
      <w:r>
        <w:rPr>
          <w:noProof/>
        </w:rPr>
        <w:t>L-att previst għandu l-għan li jaġġorna d-dispożizzjonijiet dwar ir-regoli tal-oriġini skont l-aktar żviluppi riċenti u li jipprovdi regoli tal-oriġini ssimplifikati u aktar flessibbli lill-operaturi ekonomiċi billi jadotta l-emendi li ġejjin:</w:t>
      </w:r>
    </w:p>
    <w:p>
      <w:pPr>
        <w:pStyle w:val="Bullet0"/>
        <w:numPr>
          <w:ilvl w:val="0"/>
          <w:numId w:val="12"/>
        </w:numPr>
        <w:rPr>
          <w:rFonts w:eastAsia="Arial Unicode MS"/>
          <w:noProof/>
        </w:rPr>
      </w:pPr>
      <w:r>
        <w:rPr>
          <w:noProof/>
        </w:rPr>
        <w:t>Rettifika għall-paragrafu 2 tal-Artikolu 6 tal-Protokoll 1 għall-Ftehim dwar id-definizzjoni tat-termini “bastimenti tagħhom” u “bastimenti fabbrika tagħhom”;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 xml:space="preserve">Introduzzjoni ta’ Artikolu 13 ġdid bit-titolu “Segregazzjoni tal-kontabbiltà” fit-Titolu III tal-Protokoll 1 tal-Ftehim, biex l-operaturi ekonomiċi jkunu jistgħu jiffrankaw l-ispejjeż billi jużaw dan il-metodu ta’ ġestjoni tal-istokkijiet; </w:t>
      </w:r>
    </w:p>
    <w:p>
      <w:pPr>
        <w:pStyle w:val="Bullet0"/>
        <w:rPr>
          <w:noProof/>
        </w:rPr>
      </w:pPr>
      <w:r>
        <w:rPr>
          <w:noProof/>
        </w:rPr>
        <w:t>Sostituzzjoni tal-Artikolu 14 “Trasport dirett” b’Artikolu 15 ġdid bit-titolu “Nonalterazzjoni”, biex l-operaturi ekonomiċi jkollhom aktar flessibbiltà fir-rigward tal-evidenzi li għandhom jiġu pprovduti lill-awtoritajiet doganali tal-pajjiż importatur meta t-trażbord jew il-ħażna doganali tal-merkanzija oriġinarja jsiru f’pajjiż terz;</w:t>
      </w:r>
    </w:p>
    <w:p>
      <w:pPr>
        <w:pStyle w:val="Bullet0"/>
        <w:rPr>
          <w:noProof/>
        </w:rPr>
      </w:pPr>
      <w:r>
        <w:rPr>
          <w:noProof/>
        </w:rPr>
        <w:t>Introduzzjoni ta’ Artikolu 17 ġdid fit-Titolu III tal-Protokoll 1 għall-Ftehim, biex l-operaturi ekonomiċi jkunu jistgħu jittrasportaw bil-baħar iz-zokkor ta’ oriġini differenti mingħajr ma z-zokkor jitqiegħed fi mħażen separati;</w:t>
      </w:r>
    </w:p>
    <w:p>
      <w:pPr>
        <w:pStyle w:val="Bullet0"/>
        <w:rPr>
          <w:noProof/>
        </w:rPr>
      </w:pPr>
      <w:r>
        <w:rPr>
          <w:noProof/>
        </w:rPr>
        <w:t>Emenda għall-Artikolu 16 tat-Titolu IV tal-Protokoll 1 għall-Ftehim, li issa hu nnumerat mill-ġdid bħala Artikolu 18, biex l-operaturi ekonomiċi jkollhom aktar flessibbiltà ħalli jikkonformaw mar-rekwiżiti tal-provi tal-oriġini;</w:t>
      </w:r>
    </w:p>
    <w:p>
      <w:pPr>
        <w:pStyle w:val="Bullet0"/>
        <w:rPr>
          <w:noProof/>
        </w:rPr>
      </w:pPr>
      <w:r>
        <w:rPr>
          <w:noProof/>
        </w:rPr>
        <w:t>Emendi għall-Anness II tal-Protokoll 1 biex jirrifletti l-aġġornamenti introdotti mill-1 ta’ Jannar 2012 u mill-1 ta’ Jannar 2017 fin-Nomenklatura rregolata mill-Konvenzjoni dwar is-Sistema Armonizzata ta’ Deskrizzjoni u Kodifikazzjoni tal-Merkanzija (is-Sistema Armonizzata) tal-Organizzazzjoni Doganali Dinjija. Dawn il-modifiki ma jbiddlux ir-regoli tal-oriġini. L-intestaturi HS modifikati jew aġġornati: ex Kapitolu 12, ex1211, ex121190, ex3002, 4104 sa 4106, 4107, 4109 (imħassar), ex4114, 8485 (imħassar), ex8486 u 8487;</w:t>
      </w:r>
    </w:p>
    <w:p>
      <w:pPr>
        <w:pStyle w:val="Bullet0"/>
        <w:rPr>
          <w:noProof/>
        </w:rPr>
      </w:pPr>
      <w:r>
        <w:rPr>
          <w:noProof/>
        </w:rPr>
        <w:t>Wara l-adeżjoni tal-Kroazja mal-UE, jeħtieġ isiru bidliet fl-Anness IV tal-Protokoll 1 li jintroduċu l-verżjoni Kroata tad-dikjarazzjoni tal-Anness IV dwar dan;</w:t>
      </w:r>
    </w:p>
    <w:p>
      <w:pPr>
        <w:pStyle w:val="Bullet0"/>
        <w:rPr>
          <w:noProof/>
        </w:rPr>
      </w:pPr>
      <w:r>
        <w:rPr>
          <w:noProof/>
        </w:rPr>
        <w:t>L-emenda għall-Anness IX tal-Protokoll 1 għall-Ftehim, li jelenka l-pajjiżi u t-territorji extra-Ewropej tal-UE, biex jirrifletti l-bidliet fil-lista ta’ pajjiżi u territorji extra-Ewropej b’konformità mal-Anness II tat-TFUE, filwaqt li jitqiesu l-bidliet riċenti fl-istatus ta’ wħud mit-territorji fil-lista; b’hekk tiġi ffaċilitata l-applikazzjoni tad-dispożizzjonijiet dwar il-kumulazzjoni tal-oriġini.</w:t>
      </w:r>
    </w:p>
    <w:p>
      <w:pPr>
        <w:rPr>
          <w:rFonts w:eastAsia="Arial Unicode MS"/>
          <w:noProof/>
        </w:rPr>
      </w:pPr>
      <w:r>
        <w:rPr>
          <w:noProof/>
        </w:rPr>
        <w:t>Minħabba l-għadd ta’ bidliet li jridu jsiru fil-Protokoll 1 għall-Ftehim u l-Annessi tiegħu, iċ-ċarezza teżiġi li l-Protokoll jiġi sostitwit fl-intier tiegħu.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Il-Protokoll 1 dwar id-definizzjoni tal-kunċett ta’ “prodotti li joriġinaw” u l-metodi ta’ koperazzjoni amministrattiva ġie konkluż fl-2007. Ċerti dispożizzjonijiet tal-Protokoll 1 oriġinali mhumiex aġġornati skont l-aktar żviluppi riċenti dwar ir-regoli tal-oriġini u dan iwassal biex l-impedimenti jibbenefikaw mit-trattament preferenzjali previst fil-Ftehim. L-emendi se jissimplifikaw u jipprovdu flessibbiltà biex jissodisfaw ir-rekwiżiti u l-proċeduri tar-regoli tal-oriġini. Din is-simplifikazzjoni se tiffaċilita l-kummerċ u tottimizza l-użu tat-trattament preferenzjali għall-operaturi ekonomiċi. Barra minn hekk, l-emendi proposti se jħeġġu l-integrazzjoni reġjonali u l-iżvilupp ekonomiku fl-Istati tal-ESA billi joffru aktar opportunitajiet biex l-operaturi jissodisfaw ir-regoli tal-oriġini.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L-emendi għall-prodotti (intestaturi u deskrizzjonijiet) imsemmija fl-Anness II tal-Protokoll 1 għall-Ftehim huma meħtieġa biex dawn jiġu allinjati mal-aġġornamenti li jsiru mid-WCO fuq in-Nomenklatura HS tal-2012 u tal-2017 u jżomm id-deskrizzjonijiet tal-prodotti u l-klassifikazzjoni HS konsistenti mas-sistema armonizzata.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Fl-aħħar nett, l-Anness IX tal-Protokoll 1 għall-Ftehim jelenka l-pajjiżi u t-territorji extra-Ewropej tal-UE. Fi ħdan il-Protokoll, “pajjiżi u territorji extra-Ewropej” tfisser il-pajjiżi u t-territorji msemmija fl-Anness II tat-Trattat dwar il-Funzjonament tal-Unjoni Ewropea. Jenħtieġ li l-lista tiġi aġġornata biex tqis il-bidla riċenti fl-istatus ta’ ċerti pajjiżi u territorji extra-Ewropej.</w:t>
      </w:r>
    </w:p>
    <w:p>
      <w:pPr>
        <w:rPr>
          <w:rFonts w:eastAsia="Arial Unicode MS"/>
          <w:noProof/>
          <w:color w:val="000000"/>
        </w:rPr>
      </w:pPr>
      <w:r>
        <w:rPr>
          <w:noProof/>
          <w:color w:val="000000"/>
        </w:rPr>
        <w:t>Id-Deċiżjoni proposta tissodisfa l-obbligi tal-UE skont id-dispożizzjonijiet tal-Ftehim.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(it-TFUE) jipprovdi għal deċiżjonijiet li jistabbilixxu “</w:t>
      </w:r>
      <w:r>
        <w:rPr>
          <w:i/>
          <w:noProof/>
        </w:rPr>
        <w:t>il-pożizzjonijiet li għandhom jiġu adottati f’isem l-Unjoni f’sede stabbilita bi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għandhom effetti ġuridiċi skont ir-regoli tad-dritt internazzjonali li jirregola l-korp ikkonċernat. Dan jinkludi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L-att li l-Kumitat qed jintalab jadotta, jikkostitwixxi att li għandu effetti ġuridiċi u se jkun vinkolanti skont id-dritt internazzjonali b’konformità mal-Artikoli 13, 64 u 68 tal-Ftehim. 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tad-Deċiżjoni proposta hi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qabelxejn mill-objettiv u mill-kontenut tal-att previst li dwarhom tiġi adottata pożizzjoni f’isem l-Unjoni. Jekk l-att previst ikollu żewġ għanijiet jew żewġ komponenti, u jekk wieħed minn dawn l-għanijiet jew il-komponenti jkun jista’ jiġi identifikat bħala dak ewlieni, filwaqt li l-ieħor ikun sempliċiment inċidentali, id-Deċiżjoni skont l-Artikolu 218(9) tat-TFUE trid tissejjes fuq bażi ġuridika sostantiva waħda, jiġifieri dik mitluba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L-għan ewlieni u l-kontenut tal-att previst għandhom x’jaqsmu mal-politika kummerċjali komuni.</w:t>
      </w:r>
    </w:p>
    <w:p>
      <w:pPr>
        <w:rPr>
          <w:i/>
          <w:noProof/>
        </w:rPr>
      </w:pPr>
      <w:r>
        <w:rPr>
          <w:noProof/>
        </w:rPr>
        <w:t>Għalhekk, il-bażi ġuridika sostantiva tad-Deċiżjoni proposta hija l-Artikolu 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tkun l-Artikolu 207, flimkien mal-Artikolu 218(9) tat-TFUE.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Billi l-att tal-Kumitat tal-FSE se jemenda l-Ftehim Interim li jistabbilixxi qafas għal Ftehim ta’ Sħubija Ekonomika bejn l-Istati tal-Afrika tal-Lvant u tan-Nofsinhar, minn naħa, u l-Komunità Ewropea u l-Istati Membri tagħha, min-naħa l-oħra, jixraq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2019/0029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fil-Kumitat tal-FSE stabbilit skont il-Ftehim Interim li jistabbilixxi qafas għal Ftehim ta’ Sħubija Ekonomika bejn l-Istati tal-Afrika tal-Lvant u tan-Nofsinhar, min-naħa, u l-Komunità Ewropea u l-Istati Membri tagħha, min-naħa l-oħra, rigward l-emenda ta’ ċerti dispożizzjonijiet tal-Protokoll 1 dwar id-definizzjoni tal-kunċett ta’ “prodotti li joriġinaw” u l-metodi ta’ koperazzjoni amministrattiva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207,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Interim li jistabbilixxi qafas għal Ftehim ta’ Sħubija Ekonomika bejn l-Istati tal-Afrika tal-Lvant u tan-Nofsinhar, minn naħa, u l-Komunità Ewropea u l-Istati Membri tagħha, min-naħa l-oħra (“il-Ftehim”) ġie konkluż mill-Unjoni bid-Deċiżjoni tal-Kunsill 2012/196/KE tat-13 ta’ Lulju 2009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beda jiġi applikat b’mod proviżorju fl-14 ta’ Mejju 2012.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B’konformità mal-Artikoli 13 u 68 tal-Ftehim u mal-Artikolu 44 tal-Protokoll 1 għall-Ftehim, il-Kumitat tal-FSE jista’ jadotta emendi għad-dispożizzjonijiet tal-Protokoll 1 għall-Ftehim.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Il-Kumitat, waqt it-tmien sessjoni/laqgħa tiegħu f’*Mejju/Ġunju 2019*, għandu jadotta Deċiżjoni li temenda ċerti dispożizzjonijiet tal-Protokoll 1 dwar id-definizzjoni tal-kunċett ta’ “prodotti li joriġinaw” u l-metodi ta’ kooperazzjoni amministrattiva.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Jixraq li tiġi stabbilita l-pożizzjoni li għandha tittieħed f’isem l-Unjoni fil-Kumitat tal-FSE, għax id-Deċiżjoni se tkun vinkolanti għall-Unjoni.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Il-Protokoll 1 dwar id-definizzjoni tal-kunċett ta’ “prodotti li joriġinaw” u l-metodi ta’ kooperazzjoni amministrattiva konkluż fl-2007 jeħtieġ l-emendi ta’ ċerti dispożizzjonijiet biex jiġu aġġornati r-regoli tal-oriġini skont l-aktar żviluppi riċenti biex jingħataw regoli tal-oriġini aktar flessibbli u aktar sempliċi bil-għan li jiġi ffaċilitat il-kummerċ għall-operaturi ekonomiċi u l-ottimizzazzjoni tar-rata ta’ użu tat-trattament preferenzjali.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L-emendi għall-prodotti (intestaturi u deskrizzjonijiet) imsemmija fl-Anness II tal-Protokoll 1 għall-Ftehim huma meħtieġa biex dawn jiġu allinjati mal-aġġornamenti li jsiru mid-WCO fuq in-Nomenklatura HS tal-2012 u tal-2017 u jżomm id-deskrizzjonijiet tal-prodotti u l-klassifikazzjoni HS konsistenti mas-sistema armonizzata.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L-Anness IX tal-Protokoll 1 għall-Ftehim jelenka l-pajjiżi u t-territorji extra-Ewropej tal-UE. Fi ħdan il-Protokoll, “pajjiżi u territorji extra-Ewropej” tfisser il-pajjiżi u t-territorji msemmija fl-Anness II tat-Trattat dwar il-Funzjonament tal-Unjoni Ewropea. Jenħtieġ li l-lista tiġi aġġornata biex tqis il-bidla riċenti fl-istatus ta’ ċerti pajjiżi u territorji extra-Ewropej,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jc w:val="left"/>
        <w:rPr>
          <w:i/>
          <w:noProof/>
        </w:rPr>
      </w:pPr>
      <w:r>
        <w:rPr>
          <w:noProof/>
        </w:rPr>
        <w:t>Il-pożizzjoni li għandha tittieħed f’isem l-Unjoni waqt it-tmien laqgħa tal-Kumitat għandha tkun ibbażata fuq l-abbozz tal-att tal-Kumitat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Id-Deċiżjoni tal-Kunsill 2012/196/KE tat-13 ta’ Lulju 2009 dwar l-iffirmar u l-applikazzjoni proviżorja tal-Ftehim Interim li jistabbilixxi qafas għal Ftehim ta’ Sħubija Ekonomika bejn l-Istati Afrikani tal-Lvant u tan-Nofsinhar fuq naħa u l-Komunità Ewropea u l-Istati Membri tagħha, fuq in-naħa l-oħra (ĠU L 111, 24.4.2012, p. 1-1172)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Is-Sentenza tal-Qorti tal-Ġustizzja tas-7 ta’ Ottubru 2014, Il-Ġermanja vs Il-Kunsill, C-399/12, ECLI:EU:C:2014:2258, il-paragrafi 61 sa 64.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 111, 24.4.2012, p.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4E52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0725F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D5E84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94E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EE80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6D41B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75688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03E9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4 09:12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FDB2FE2-35E7-4A32-9535-B6DBBF3A18E4"/>
    <w:docVar w:name="LW_COVERPAGE_TYPE" w:val="1"/>
    <w:docVar w:name="LW_CROSSREFERENCE" w:val="&lt;UNUSED&gt;"/>
    <w:docVar w:name="LW_DocType" w:val="COM"/>
    <w:docVar w:name="LW_EMISSION" w:val="7.2.2019"/>
    <w:docVar w:name="LW_EMISSION_ISODATE" w:val="2019-02-07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9"/>
    <w:docVar w:name="LW_REF.II.NEW.CP_YEAR" w:val="2019"/>
    <w:docVar w:name="LW_REF.INST.NEW" w:val="COM"/>
    <w:docVar w:name="LW_REF.INST.NEW_ADOPTED" w:val="final"/>
    <w:docVar w:name="LW_REF.INST.NEW_TEXT" w:val="(2019) 5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mitat tal-FSE stabbilit skont il-Ftehim Interim li jistabbilixxi qafas g\u295?al Ftehim ta\u8217? S\u295?ubija Ekonomika bejn l-Istati tal-Afrika tal-Lvant u tan-Nofsinhar, min-na\u295?a, u l-Komunità Ewropea u l-Istati Membri tag\u295?ha, min-na\u295?a l-o\u295?ra, rigward l-emenda ta\u8217? \u267?erti dispo\u380?izzjonijiet tal-Protokoll 1 dwar id-definizzjoni tal-kun\u267?ett ta\u8217? \u8220?prodotti li jori\u289?inaw\u8221? u l-metodi ta\u8217? koperazzjoni amministrattiv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2AB113-B51F-4964-AE98-8F92D98C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1616</Words>
  <Characters>12028</Characters>
  <Application>Microsoft Office Word</Application>
  <DocSecurity>0</DocSecurity>
  <Lines>194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2019-01-28T09:58:00Z</dcterms:created>
  <dcterms:modified xsi:type="dcterms:W3CDTF">2019-02-04T08:12:00Z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