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048DD1A8-7BFA-4A81-A9FC-50AE166E81BA" style="width:450.45pt;height:406.6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MOTIVERING</w:t>
      </w:r>
    </w:p>
    <w:p>
      <w:pPr>
        <w:pStyle w:val="ManualHeading1"/>
        <w:rPr>
          <w:rFonts w:eastAsia="Arial Unicode MS"/>
          <w:noProof/>
        </w:rPr>
      </w:pPr>
      <w:r>
        <w:t>1.</w:t>
      </w:r>
      <w:r>
        <w:tab/>
      </w:r>
      <w:r>
        <w:rPr>
          <w:noProof/>
        </w:rPr>
        <w:t>Fråga som behandlas i förslaget</w:t>
      </w:r>
    </w:p>
    <w:p>
      <w:pPr>
        <w:rPr>
          <w:rFonts w:eastAsia="Arial Unicode MS"/>
          <w:noProof/>
        </w:rPr>
      </w:pPr>
      <w:r>
        <w:rPr>
          <w:noProof/>
        </w:rPr>
        <w:t>Detta förslag avser ett beslut om fastställande av den ståndpunkt som ska intas på Europeiska unionens vägnar i AEP-kommittén som inrättats genom interimsavtalet om upprättande av en ram för ett avtal om ekonomiskt partnerskap mellan stater i östra och södra Afrika, å ena sidan, och Europeiska gemenskapen och dess medlemsstater, å andra sidan, vad gäller det planerade antagandet av ett beslut om ändring av vissa bestämmelser i protokoll 1 till avtalet.</w:t>
      </w:r>
    </w:p>
    <w:p>
      <w:pPr>
        <w:pStyle w:val="ManualHeading1"/>
        <w:rPr>
          <w:noProof/>
        </w:rPr>
      </w:pPr>
      <w:r>
        <w:t>2.</w:t>
      </w:r>
      <w:r>
        <w:tab/>
      </w:r>
      <w:r>
        <w:rPr>
          <w:noProof/>
        </w:rPr>
        <w:t>Bakgrund till förslaget</w:t>
      </w:r>
    </w:p>
    <w:p>
      <w:pPr>
        <w:pStyle w:val="ManualHeading2"/>
        <w:rPr>
          <w:noProof/>
        </w:rPr>
      </w:pPr>
      <w:r>
        <w:t>2.1.</w:t>
      </w:r>
      <w:r>
        <w:tab/>
      </w:r>
      <w:r>
        <w:rPr>
          <w:noProof/>
        </w:rPr>
        <w:t>Interimsavtalet om upprättande av en ram för ett avtal om ekonomiskt partnerskap mellan stater i östra och södra Afrika, å ena sidan, och Europeiska gemenskapen och dess medlemsstater, å andra sidan</w:t>
      </w:r>
    </w:p>
    <w:p>
      <w:pPr>
        <w:rPr>
          <w:rFonts w:eastAsia="Arial Unicode MS"/>
          <w:noProof/>
        </w:rPr>
      </w:pPr>
      <w:r>
        <w:rPr>
          <w:noProof/>
        </w:rPr>
        <w:t xml:space="preserve">Syftet med interimsavtalet om upprättande av en ram för ett avtal om ekonomiskt partnerskap mellan stater i östra och södra Afrika, å ena sidan, och Europeiska gemenskapen och dess medlemsstater, å andra sidan (nedan kallat </w:t>
      </w:r>
      <w:r>
        <w:rPr>
          <w:i/>
          <w:noProof/>
        </w:rPr>
        <w:t>avtalet</w:t>
      </w:r>
      <w:r>
        <w:rPr>
          <w:noProof/>
        </w:rPr>
        <w:t xml:space="preserve">) är a) att göra det möjligt för ESA-staterna att dra nytta av det förbättrade marknadstillträde som Europeiska unionen (nedan kallad </w:t>
      </w:r>
      <w:r>
        <w:rPr>
          <w:i/>
          <w:noProof/>
        </w:rPr>
        <w:t>EU</w:t>
      </w:r>
      <w:r>
        <w:rPr>
          <w:noProof/>
        </w:rPr>
        <w:t xml:space="preserve">) erbjuder, b) att främja hållbar ekonomisk utveckling och en successiv integration av ESA-staterna i den globala ekonomin, c) att utifrån parternas gemensamma intressen upprätta ett frihandelsområde mellan Europeiska unionen och stater i östra och södra Afrika (nedan kallade </w:t>
      </w:r>
      <w:r>
        <w:rPr>
          <w:i/>
          <w:noProof/>
        </w:rPr>
        <w:t>ESA-staterna</w:t>
      </w:r>
      <w:r>
        <w:rPr>
          <w:noProof/>
        </w:rPr>
        <w:t xml:space="preserve">), genom en gradvis liberalisering av handeln på ett sätt som är förenligt med tillämpliga WTO-regler och principen om asymmetri, med beaktande av ESA-staternas särskilda behov och kapacitetsbegränsningar, vad gäller tidsplanen för och omfattningen av de åtaganden som görs, d) att skapa lämpliga arrangemang för tvistlösning, samt e) att sörja för lämpliga institutionella arrangemang. </w:t>
      </w:r>
    </w:p>
    <w:p>
      <w:pPr>
        <w:rPr>
          <w:noProof/>
        </w:rPr>
      </w:pPr>
      <w:r>
        <w:rPr>
          <w:noProof/>
        </w:rPr>
        <w:t>Avtalet undertecknades av EU den 13 juli 2009</w:t>
      </w:r>
      <w:r>
        <w:rPr>
          <w:rStyle w:val="FootnoteReference"/>
          <w:noProof/>
        </w:rPr>
        <w:footnoteReference w:id="1"/>
      </w:r>
      <w:r>
        <w:rPr>
          <w:noProof/>
        </w:rPr>
        <w:t xml:space="preserve"> och har tillämpats provisoriskt av Madagaskar, Mauritius, Seychellerna och Zimbabwe sedan den 14 maj 2012.</w:t>
      </w:r>
    </w:p>
    <w:p>
      <w:pPr>
        <w:pStyle w:val="ManualHeading2"/>
        <w:rPr>
          <w:noProof/>
        </w:rPr>
      </w:pPr>
      <w:r>
        <w:t>2.2.</w:t>
      </w:r>
      <w:r>
        <w:tab/>
      </w:r>
      <w:r>
        <w:rPr>
          <w:noProof/>
        </w:rPr>
        <w:t>AEP-kommittén</w:t>
      </w:r>
    </w:p>
    <w:p>
      <w:pPr>
        <w:rPr>
          <w:noProof/>
        </w:rPr>
      </w:pPr>
      <w:r>
        <w:rPr>
          <w:noProof/>
        </w:rPr>
        <w:t xml:space="preserve">AEP-kommittén är ett organ som inrättats i enlighet med artikel 64 i avtalet. Den består av företrädare för EU och ESA-staterna (Madagaskar, Mauritius, Seychellerna och Zimbabwe). AEP-kommittén antar sin arbetsordning, och ordförandeskapet innehas gemensamt av en företrädare för EU och en företrädare för ESA-staterna. </w:t>
      </w:r>
    </w:p>
    <w:p>
      <w:pPr>
        <w:rPr>
          <w:rFonts w:eastAsia="Arial Unicode MS"/>
          <w:noProof/>
        </w:rPr>
      </w:pPr>
      <w:r>
        <w:rPr>
          <w:noProof/>
        </w:rPr>
        <w:t>AEP-kommittén behandlar alla frågor som är nödvändiga för genomförandet av avtalet, inbegripet utvecklingssamarbetet. Vid utförandet av sina uppgifter får AEP-kommittén a) inrätta och övervaka särskilda kommittéer eller organ som krävs för genomförandet av avtalet, b) sammanträda vid vilken tidpunkt som helst som parterna enas om, c) behandla alla frågor som omfattas av avtalet och vidta lämpliga åtgärder i samband med utövandet av kommitténs funktioner, d) fatta beslut eller utfärda rekommendationer i de fall som föreskrivs i avtalet, och e) anta ändringar av avtalet, inbegripet av förteckningen över de avtalsslutande ESA-stater som förtecknas i bilaga II samt bestämmelserna i protokoll 1.</w:t>
      </w:r>
    </w:p>
    <w:p>
      <w:pPr>
        <w:rPr>
          <w:rFonts w:eastAsia="Arial Unicode MS"/>
          <w:noProof/>
        </w:rPr>
      </w:pPr>
      <w:r>
        <w:rPr>
          <w:noProof/>
        </w:rPr>
        <w:t>AEP-kommittén får se över avtalet, dess genomförande, tillämpning och resultat och vid behov lägga fram förslag till lämpliga ändringar av avtalet för parterna.</w:t>
      </w:r>
    </w:p>
    <w:p>
      <w:pPr>
        <w:pStyle w:val="ManualHeading2"/>
        <w:rPr>
          <w:noProof/>
        </w:rPr>
      </w:pPr>
      <w:r>
        <w:lastRenderedPageBreak/>
        <w:t>2.3.</w:t>
      </w:r>
      <w:r>
        <w:tab/>
      </w:r>
      <w:r>
        <w:rPr>
          <w:noProof/>
        </w:rPr>
        <w:t>Akt som planeras av kommittén</w:t>
      </w:r>
    </w:p>
    <w:p>
      <w:pPr>
        <w:rPr>
          <w:rFonts w:eastAsia="Arial Unicode MS"/>
          <w:noProof/>
        </w:rPr>
      </w:pPr>
      <w:r>
        <w:rPr>
          <w:noProof/>
        </w:rPr>
        <w:t>I maj–juni 2019 kommer AEP-kommittén, vid sitt åttonde möte, att anta ett beslut om ändring av vissa bestämmelser i protokoll 1 om definitionen av begreppet ”ursprungsprodukter” och om metoder för administrativt samarbete (nedan kallad</w:t>
      </w:r>
      <w:r>
        <w:rPr>
          <w:i/>
          <w:noProof/>
        </w:rPr>
        <w:t xml:space="preserve"> den planerade akten</w:t>
      </w:r>
      <w:r>
        <w:rPr>
          <w:noProof/>
        </w:rPr>
        <w:t>).</w:t>
      </w:r>
    </w:p>
    <w:p>
      <w:pPr>
        <w:rPr>
          <w:rFonts w:eastAsia="Arial Unicode MS"/>
          <w:noProof/>
        </w:rPr>
      </w:pPr>
      <w:r>
        <w:rPr>
          <w:noProof/>
        </w:rPr>
        <w:t>Syftet med den planerade akten är att aktualisera bestämmelserna om ursprungsregler efter den senaste utvecklingen och förse de ekonomiska aktörerna med enklare och mer flexibla ursprungsregler, genom att följande ändringsförslag antas:</w:t>
      </w:r>
    </w:p>
    <w:p>
      <w:pPr>
        <w:pStyle w:val="Bullet0"/>
        <w:numPr>
          <w:ilvl w:val="0"/>
          <w:numId w:val="12"/>
        </w:numPr>
        <w:rPr>
          <w:rFonts w:eastAsia="Arial Unicode MS"/>
          <w:noProof/>
        </w:rPr>
      </w:pPr>
      <w:r>
        <w:rPr>
          <w:noProof/>
        </w:rPr>
        <w:t>Rättelse av protokoll 1 artikel 6.2 om definitionen av begreppen ”deras fartyg” och ”deras fabriksfartyg”.</w:t>
      </w:r>
    </w:p>
    <w:p>
      <w:pPr>
        <w:pStyle w:val="Bullet0"/>
        <w:numPr>
          <w:ilvl w:val="0"/>
          <w:numId w:val="11"/>
        </w:numPr>
        <w:rPr>
          <w:noProof/>
        </w:rPr>
      </w:pPr>
      <w:r>
        <w:rPr>
          <w:noProof/>
        </w:rPr>
        <w:t xml:space="preserve">En ny artikel 13 med titeln ”Bokföringsmässig uppdelning” införs i protokoll 1 avdelning III, i syfte att göra det möjligt för de ekonomiska aktörerna att minska kostnaderna genom att använda denna metod för lagerhållning. </w:t>
      </w:r>
    </w:p>
    <w:p>
      <w:pPr>
        <w:pStyle w:val="Bullet0"/>
        <w:rPr>
          <w:noProof/>
        </w:rPr>
      </w:pPr>
      <w:r>
        <w:rPr>
          <w:noProof/>
        </w:rPr>
        <w:t xml:space="preserve">Artikel 14 med titeln </w:t>
      </w:r>
      <w:r>
        <w:rPr>
          <w:i/>
          <w:noProof/>
        </w:rPr>
        <w:t>Direkttransport</w:t>
      </w:r>
      <w:r>
        <w:rPr>
          <w:noProof/>
        </w:rPr>
        <w:t xml:space="preserve">ersätts med en ny artikel 15 med titeln </w:t>
      </w:r>
      <w:r>
        <w:rPr>
          <w:i/>
          <w:noProof/>
        </w:rPr>
        <w:t>Oförändrat skick</w:t>
      </w:r>
      <w:r>
        <w:rPr>
          <w:noProof/>
        </w:rPr>
        <w:t>, i syfte att möjliggöra mer flexibilitet för de ekonomiska aktörerna vad gäller de bevis som måste lämnas in till tullmyndigheten i importlandet då omlastning eller lagring av ursprungsvaror äger rum i ett tredjeland.</w:t>
      </w:r>
    </w:p>
    <w:p>
      <w:pPr>
        <w:pStyle w:val="Bullet0"/>
        <w:rPr>
          <w:noProof/>
        </w:rPr>
      </w:pPr>
      <w:r>
        <w:rPr>
          <w:noProof/>
        </w:rPr>
        <w:t>En ny artikel 17 införs i protokoll 1 avdelning III, i syfte att göra det möjligt för de ekonomiska aktörerna att frakta socker med olika ursprung utan att behöva lagra det i olika lager.</w:t>
      </w:r>
    </w:p>
    <w:p>
      <w:pPr>
        <w:pStyle w:val="Bullet0"/>
        <w:rPr>
          <w:noProof/>
        </w:rPr>
      </w:pPr>
      <w:r>
        <w:rPr>
          <w:noProof/>
        </w:rPr>
        <w:t>Artikel 16 i protokoll 1 avdelning IV ändras och numreras om till artikel 18, i syfte att möjliggöra mer flexibilitet för de ekonomiska aktörerna vad gäller att uppfylla kraven på ursprungsbevis.</w:t>
      </w:r>
    </w:p>
    <w:p>
      <w:pPr>
        <w:pStyle w:val="Bullet0"/>
        <w:rPr>
          <w:noProof/>
        </w:rPr>
      </w:pPr>
      <w:r>
        <w:rPr>
          <w:noProof/>
        </w:rPr>
        <w:t>Ändringar av bilaga II till protokoll 1 för att avspegla de uppdateringar som gjordes den 1 januari 2012 och den 1 januari 2017 i Världstullorganisationens nomenklatur, som regleras av den nomenklatur som upprättats i enlighet med den internationella konventionen om systemet för harmoniserad varubeskrivning och kodifiering (Harmoniserade systemet). Ändringarna ändrar inte ursprungsreglerna. Följande HS-nummer ändras eller aktualiseras: ex kapitel 12, ex 1211, ex 121190, ex 3002, 4104–4106, 4107, 4109 (utgår), ex 4114, 8485 (utgår), ex 8486 och 8487.</w:t>
      </w:r>
    </w:p>
    <w:p>
      <w:pPr>
        <w:pStyle w:val="Bullet0"/>
        <w:rPr>
          <w:noProof/>
        </w:rPr>
      </w:pPr>
      <w:r>
        <w:rPr>
          <w:noProof/>
        </w:rPr>
        <w:t>Till följd av Kroatiens anslutning till EU är det nödvändigt att göra ändringar i bilaga IV till protokoll 1 i syfte att införa den kroatiska språkversionen av fakturadeklarationen i bilaga IV.</w:t>
      </w:r>
    </w:p>
    <w:p>
      <w:pPr>
        <w:pStyle w:val="Bullet0"/>
        <w:rPr>
          <w:noProof/>
        </w:rPr>
      </w:pPr>
      <w:r>
        <w:rPr>
          <w:noProof/>
        </w:rPr>
        <w:t>Ändring av bilaga IX till protokoll 1 till avtalet, vilken innehåller en förteckning över EU:s utomeuropeiska länder och territorier, i enlighet med de ändringar som gjorts av den förteckning över utomeuropeiska länder och territorier som finns i bilaga II till EUF-fördraget, varvid hänsyn tas till den ändrade statusen för vissa av territorierna i förteckningen, vilket väntas förenkla tillämpningen av bestämmelserna om ursprungskumulering.</w:t>
      </w:r>
    </w:p>
    <w:p>
      <w:pPr>
        <w:rPr>
          <w:rFonts w:eastAsia="Arial Unicode MS"/>
          <w:noProof/>
        </w:rPr>
      </w:pPr>
      <w:r>
        <w:rPr>
          <w:noProof/>
        </w:rPr>
        <w:t>Mot bakgrund av hur många ändringar som måste göras i protokoll 1 till avtalet och i dess bilagor är det av tydlighetsskäl nödvändigt att ersätta hela protokollet.</w:t>
      </w:r>
    </w:p>
    <w:p>
      <w:pPr>
        <w:pStyle w:val="ManualHeading1"/>
        <w:rPr>
          <w:rFonts w:eastAsia="Arial Unicode MS"/>
          <w:noProof/>
        </w:rPr>
      </w:pPr>
      <w:r>
        <w:t>3.</w:t>
      </w:r>
      <w:r>
        <w:tab/>
      </w:r>
      <w:r>
        <w:rPr>
          <w:noProof/>
        </w:rPr>
        <w:t>Den ståndpunkt som ska intas på unionens vägnar</w:t>
      </w:r>
    </w:p>
    <w:p>
      <w:pPr>
        <w:rPr>
          <w:rFonts w:eastAsia="Arial Unicode MS"/>
          <w:noProof/>
          <w:color w:val="000000"/>
        </w:rPr>
      </w:pPr>
      <w:r>
        <w:rPr>
          <w:noProof/>
          <w:color w:val="000000"/>
        </w:rPr>
        <w:t xml:space="preserve">Protokoll 1 om definition av begreppet ”ursprungsprodukter” och om metoder för administrativt samarbete ingicks 2007. Vissa bestämmelser i det ursprungliga protokoll 1 är inte längre i linje med den senaste utvecklingen vad gäller ursprungsregler, vilket gör att </w:t>
      </w:r>
      <w:r>
        <w:rPr>
          <w:noProof/>
          <w:color w:val="000000"/>
        </w:rPr>
        <w:lastRenderedPageBreak/>
        <w:t>aktörerna förhindras att omfattas av den förmånsbehandling som föreskrivs i avtalet. Ändringarna kommer att förenkla och skapa flexibilitet som gör att det blir lättare att uppfylla kraven och förfarandena för ursprungsregler. Förenklingen kommer att underlätta handeln och optimera de ekonomiska aktörernas utnyttjande av förmånsbehandlingen. De föreslagna ändringarna kommer dessutom att främja regional integration och ekonomisk utveckling i ESA-staterna genom att de ekonomiska aktörerna ges fler möjligheter att uppfylla ursprungsreglerna.</w:t>
      </w:r>
    </w:p>
    <w:p>
      <w:pPr>
        <w:rPr>
          <w:rFonts w:eastAsia="Arial Unicode MS"/>
          <w:noProof/>
          <w:color w:val="000000"/>
        </w:rPr>
      </w:pPr>
      <w:r>
        <w:rPr>
          <w:noProof/>
          <w:color w:val="000000"/>
        </w:rPr>
        <w:t>De ändringar som görs beträffande produkter (rubriker och varuslag) i bilaga II till protokoll 1 till avtalet är nödvändiga för att anpassa bilagan till de uppdateringar som Världstullorganisationen har gjort av nomenklaturen för Harmoniserade systemet i 2012 och 2017 års upplagor och att sörja för att beskrivningarna under varuslag och HS-klassificeringarna är förenliga med Harmoniserade systemet.</w:t>
      </w:r>
    </w:p>
    <w:p>
      <w:pPr>
        <w:rPr>
          <w:rFonts w:eastAsia="Arial Unicode MS"/>
          <w:noProof/>
          <w:color w:val="000000"/>
        </w:rPr>
      </w:pPr>
      <w:r>
        <w:rPr>
          <w:noProof/>
          <w:color w:val="000000"/>
        </w:rPr>
        <w:t xml:space="preserve">I bilaga IX till protokoll 1 till avtalet finns en förteckning över de utomeuropeiska länderna och territorierna i EU. I den mening som avses i protokollet avses med </w:t>
      </w:r>
      <w:r>
        <w:rPr>
          <w:i/>
          <w:noProof/>
          <w:color w:val="000000"/>
        </w:rPr>
        <w:t>utomeuropeiska länder och territorier</w:t>
      </w:r>
      <w:r>
        <w:rPr>
          <w:noProof/>
          <w:color w:val="000000"/>
        </w:rPr>
        <w:t xml:space="preserve"> de länder och territorier som avses i bilaga II till fördraget om Europeiska unionens funktionssätt. Förteckningen bör uppdateras mot bakgrund av nyligen gjorda ändringar av vissa av de utomeuropeiska ländernas och territoriernas status.</w:t>
      </w:r>
    </w:p>
    <w:p>
      <w:pPr>
        <w:rPr>
          <w:rFonts w:eastAsia="Arial Unicode MS"/>
          <w:noProof/>
          <w:color w:val="000000"/>
        </w:rPr>
      </w:pPr>
      <w:r>
        <w:rPr>
          <w:noProof/>
          <w:color w:val="000000"/>
        </w:rPr>
        <w:t>Det föreslagna beslutet uppfyller EU:s skyldigheter enligt bestämmelserna i avtalet.</w:t>
      </w:r>
    </w:p>
    <w:p>
      <w:pPr>
        <w:pStyle w:val="ManualHeading1"/>
        <w:rPr>
          <w:noProof/>
        </w:rPr>
      </w:pPr>
      <w:r>
        <w:t>4.</w:t>
      </w:r>
      <w:r>
        <w:tab/>
      </w:r>
      <w:r>
        <w:rPr>
          <w:noProof/>
        </w:rPr>
        <w:t>Rättslig grund</w:t>
      </w:r>
    </w:p>
    <w:p>
      <w:pPr>
        <w:pStyle w:val="ManualHeading2"/>
        <w:rPr>
          <w:noProof/>
        </w:rPr>
      </w:pPr>
      <w:r>
        <w:t>4.1.</w:t>
      </w:r>
      <w:r>
        <w:tab/>
      </w:r>
      <w:r>
        <w:rPr>
          <w:noProof/>
        </w:rPr>
        <w:t>Förfarandemässig rättslig grund</w:t>
      </w:r>
    </w:p>
    <w:p>
      <w:pPr>
        <w:pStyle w:val="ManualHeading3"/>
        <w:rPr>
          <w:noProof/>
        </w:rPr>
      </w:pPr>
      <w:r>
        <w:t>4.1.1.</w:t>
      </w:r>
      <w:r>
        <w:tab/>
      </w:r>
      <w:r>
        <w:rPr>
          <w:noProof/>
        </w:rPr>
        <w:t>Principer</w:t>
      </w:r>
    </w:p>
    <w:p>
      <w:pPr>
        <w:rPr>
          <w:noProof/>
        </w:rPr>
      </w:pPr>
      <w:r>
        <w:rPr>
          <w:noProof/>
        </w:rPr>
        <w:t xml:space="preserve">I artikel 218.9 i fördraget om Europeiska unionens funktionssätt (nedan kallat </w:t>
      </w:r>
      <w:r>
        <w:rPr>
          <w:i/>
          <w:noProof/>
        </w:rPr>
        <w:t>EUF-fördraget</w:t>
      </w:r>
      <w:r>
        <w:rPr>
          <w:noProof/>
        </w:rPr>
        <w:t>) föreskrivs att beslut ska antas ”om fastställande av vilka ståndpunkter som på unionens vägnar ska intas i ett organ som inrättas genom ett avtal, om detta organ ska anta akter med rättslig verkan, med undantag av sådana akter som kompletterar eller ändrar avtalets institutionella ram.”.</w:t>
      </w:r>
    </w:p>
    <w:p>
      <w:pPr>
        <w:rPr>
          <w:noProof/>
        </w:rPr>
      </w:pPr>
      <w:r>
        <w:rPr>
          <w:noProof/>
        </w:rPr>
        <w:t xml:space="preserve">Begreppet </w:t>
      </w:r>
      <w:r>
        <w:rPr>
          <w:i/>
          <w:noProof/>
        </w:rPr>
        <w:t>akter med rättslig verkan</w:t>
      </w:r>
      <w:r>
        <w:rPr>
          <w:noProof/>
        </w:rPr>
        <w:t xml:space="preserve"> omfattar akter som har rättslig verkan med stöd av de regler i internationell rätt som tillämpas på organet i fråga. Det omfattar även instrument som inte har bindande verkan enligt internationell rätt, men som är ”ägnade att på ett avgörande sätt påverka innehållet i de bestämmelser som antas av unionslagstiftaren”</w:t>
      </w:r>
      <w:r>
        <w:rPr>
          <w:rStyle w:val="FootnoteReference"/>
          <w:noProof/>
        </w:rPr>
        <w:footnoteReference w:id="2"/>
      </w:r>
      <w:r>
        <w:rPr>
          <w:noProof/>
        </w:rPr>
        <w:t>.</w:t>
      </w:r>
    </w:p>
    <w:p>
      <w:pPr>
        <w:pStyle w:val="ManualHeading3"/>
        <w:rPr>
          <w:noProof/>
        </w:rPr>
      </w:pPr>
      <w:r>
        <w:t>4.1.2.</w:t>
      </w:r>
      <w:r>
        <w:tab/>
      </w:r>
      <w:r>
        <w:rPr>
          <w:noProof/>
        </w:rPr>
        <w:t>Tillämpning i det aktuella fallet</w:t>
      </w:r>
    </w:p>
    <w:p>
      <w:pPr>
        <w:rPr>
          <w:noProof/>
        </w:rPr>
      </w:pPr>
      <w:r>
        <w:rPr>
          <w:noProof/>
        </w:rPr>
        <w:t>Den akt som kommittén uppmanas anta är en akt med rättslig verkan och den kommer att vara bindande enligt internationell rätt i enlighet med artiklarna 13, 64 och 68 i avtalet. Den planerade akten varken kompletterar eller ändrar avtalets institutionella ram.</w:t>
      </w:r>
    </w:p>
    <w:p>
      <w:pPr>
        <w:rPr>
          <w:noProof/>
        </w:rPr>
      </w:pPr>
      <w:r>
        <w:rPr>
          <w:noProof/>
        </w:rPr>
        <w:t>Den förfarandemässiga rättsliga grunden för det föreslagna beslutet är därför artikel 218.9 i EUF-fördraget.</w:t>
      </w:r>
    </w:p>
    <w:p>
      <w:pPr>
        <w:pStyle w:val="ManualHeading2"/>
        <w:rPr>
          <w:noProof/>
        </w:rPr>
      </w:pPr>
      <w:r>
        <w:t>4.2.</w:t>
      </w:r>
      <w:r>
        <w:tab/>
      </w:r>
      <w:r>
        <w:rPr>
          <w:noProof/>
        </w:rPr>
        <w:t>Materiell rättslig grund</w:t>
      </w:r>
    </w:p>
    <w:p>
      <w:pPr>
        <w:pStyle w:val="ManualHeading3"/>
        <w:rPr>
          <w:noProof/>
        </w:rPr>
      </w:pPr>
      <w:r>
        <w:t>4.2.1.</w:t>
      </w:r>
      <w:r>
        <w:tab/>
      </w:r>
      <w:r>
        <w:rPr>
          <w:noProof/>
        </w:rPr>
        <w:t>Principer</w:t>
      </w:r>
    </w:p>
    <w:p>
      <w:pPr>
        <w:rPr>
          <w:noProof/>
        </w:rPr>
      </w:pPr>
      <w:r>
        <w:rPr>
          <w:noProof/>
        </w:rPr>
        <w:t xml:space="preserve">Den materiella rättsliga grunden för ett beslut enligt artikel 218.9 i EUF-fördraget är främst beroende av syftet med och innehållet i den planerade akt avseende vilken en ståndpunkt intas på unionens vägnar. Om den planerade akten har två syften eller två beståndsdelar av vilka </w:t>
      </w:r>
      <w:r>
        <w:rPr>
          <w:noProof/>
        </w:rPr>
        <w:lastRenderedPageBreak/>
        <w:t>det ena syftet eller den ena beståndsdelen kan identifieras som det eller den huvudsakliga, medan det eller den andra endast är av underordnad betydelse, måste det beslut som antas enligt artikel 218.9 i EUF-fördraget ha en enda materiell rättslig grund, nämligen den som krävs med hänsyn till det huvudsakliga eller avgörande syftet eller den huvudsakliga eller avgörande beståndsdelen.</w:t>
      </w:r>
    </w:p>
    <w:p>
      <w:pPr>
        <w:pStyle w:val="ManualHeading3"/>
        <w:rPr>
          <w:noProof/>
        </w:rPr>
      </w:pPr>
      <w:r>
        <w:t>4.2.2.</w:t>
      </w:r>
      <w:r>
        <w:tab/>
      </w:r>
      <w:r>
        <w:rPr>
          <w:noProof/>
        </w:rPr>
        <w:t>Tillämpning i det aktuella fallet</w:t>
      </w:r>
    </w:p>
    <w:p>
      <w:pPr>
        <w:rPr>
          <w:noProof/>
        </w:rPr>
      </w:pPr>
      <w:r>
        <w:rPr>
          <w:noProof/>
        </w:rPr>
        <w:t>Det huvudsakliga syftet med och innehållet i den planerade akten rör den gemensamma handelspolitiken.</w:t>
      </w:r>
    </w:p>
    <w:p>
      <w:pPr>
        <w:rPr>
          <w:i/>
          <w:noProof/>
        </w:rPr>
      </w:pPr>
      <w:r>
        <w:rPr>
          <w:noProof/>
        </w:rPr>
        <w:t>Den materiella rättsliga grunden för det föreslagna beslutet är därför artikel 207 i EUF-fördraget.</w:t>
      </w:r>
    </w:p>
    <w:p>
      <w:pPr>
        <w:pStyle w:val="ManualHeading2"/>
        <w:rPr>
          <w:noProof/>
        </w:rPr>
      </w:pPr>
      <w:r>
        <w:t>4.3.</w:t>
      </w:r>
      <w:r>
        <w:tab/>
      </w:r>
      <w:r>
        <w:rPr>
          <w:noProof/>
        </w:rPr>
        <w:t>Slutsats</w:t>
      </w:r>
    </w:p>
    <w:p>
      <w:pPr>
        <w:rPr>
          <w:noProof/>
        </w:rPr>
      </w:pPr>
      <w:r>
        <w:rPr>
          <w:noProof/>
        </w:rPr>
        <w:t>Den rättsliga grunden för det föreslagna beslutet bör vara artikel 207 jämförd med artikel 218.9 i EUF-fördraget.</w:t>
      </w:r>
    </w:p>
    <w:p>
      <w:pPr>
        <w:pStyle w:val="ManualHeading1"/>
        <w:rPr>
          <w:noProof/>
        </w:rPr>
      </w:pPr>
      <w:r>
        <w:t>5.</w:t>
      </w:r>
      <w:r>
        <w:tab/>
      </w:r>
      <w:r>
        <w:rPr>
          <w:noProof/>
        </w:rPr>
        <w:t>Offentliggörande av den planerade akten</w:t>
      </w:r>
    </w:p>
    <w:p>
      <w:pPr>
        <w:rPr>
          <w:noProof/>
        </w:rPr>
      </w:pPr>
      <w:r>
        <w:rPr>
          <w:noProof/>
        </w:rPr>
        <w:t xml:space="preserve">Eftersom den akt som antas av AEP-kommittén syftar till att ändra interimsavtalet om upprättande av en ram för ett avtal om ekonomiskt partnerskap mellan stater i östra och södra Afrika, å ena sidan, och Europeiska gemenskapen och dess medlemsstater, å andra sidan, är det lämpligt att akten offentliggörs i </w:t>
      </w:r>
      <w:r>
        <w:rPr>
          <w:i/>
          <w:noProof/>
        </w:rPr>
        <w:t>Europeiska unionens officiella tidning</w:t>
      </w:r>
      <w:r>
        <w:rPr>
          <w:noProof/>
        </w:rPr>
        <w:t xml:space="preserve"> efter antagandet.</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2019/0029 (NLE)</w:t>
      </w:r>
    </w:p>
    <w:p>
      <w:pPr>
        <w:pStyle w:val="Statut"/>
        <w:rPr>
          <w:noProof/>
        </w:rPr>
      </w:pPr>
      <w:r>
        <w:rPr>
          <w:noProof/>
        </w:rPr>
        <w:t>Förslag till</w:t>
      </w:r>
    </w:p>
    <w:p>
      <w:pPr>
        <w:pStyle w:val="Typedudocument"/>
        <w:rPr>
          <w:noProof/>
        </w:rPr>
      </w:pPr>
      <w:r>
        <w:rPr>
          <w:noProof/>
        </w:rPr>
        <w:t>RÅDETS BESLUT</w:t>
      </w:r>
    </w:p>
    <w:p>
      <w:pPr>
        <w:pStyle w:val="Titreobjet"/>
        <w:rPr>
          <w:noProof/>
        </w:rPr>
      </w:pPr>
      <w:r>
        <w:rPr>
          <w:noProof/>
        </w:rPr>
        <w:t>om fastställande av den ståndpunkt som ska intas på Europeiska unionens vägnar i AEP-kommittén, vilken inrättades genom interimsavtalet om upprättande av en ram för ett avtal om ekonomiskt partnerskap mellan stater i östra och södra Afrika, å ena sidan, och Europeiska gemenskapen och dess medlemsstater, å andra sidan, vad gäller ändring av vissa bestämmelser i protokoll 1 avseende definitionen av begreppet ursprungsprodukter samt avseende metoderna för administrativt samarbete</w:t>
      </w:r>
    </w:p>
    <w:p>
      <w:pPr>
        <w:pStyle w:val="Institutionquiagit"/>
        <w:rPr>
          <w:b/>
          <w:noProof/>
        </w:rPr>
      </w:pPr>
      <w:r>
        <w:rPr>
          <w:b/>
          <w:noProof/>
        </w:rPr>
        <w:t>EUROPEISKA UNIONENS RÅD HAR ANTAGIT DETTA BESLUT</w:t>
      </w:r>
    </w:p>
    <w:p>
      <w:pPr>
        <w:rPr>
          <w:noProof/>
        </w:rPr>
      </w:pPr>
      <w:r>
        <w:rPr>
          <w:noProof/>
        </w:rPr>
        <w:t>med beaktande av fördraget om Europeiska unionens funktionssätt, särskilt artikel 207 jämförd med artikel 218.9,</w:t>
      </w:r>
    </w:p>
    <w:p>
      <w:pPr>
        <w:rPr>
          <w:noProof/>
        </w:rPr>
      </w:pPr>
      <w:r>
        <w:rPr>
          <w:noProof/>
        </w:rPr>
        <w:t>med beaktande av Europeiska kommissionens förslag, och</w:t>
      </w:r>
    </w:p>
    <w:p>
      <w:pPr>
        <w:rPr>
          <w:noProof/>
        </w:rPr>
      </w:pPr>
      <w:r>
        <w:rPr>
          <w:noProof/>
        </w:rPr>
        <w:t>av följande skäl:</w:t>
      </w:r>
    </w:p>
    <w:p>
      <w:pPr>
        <w:pStyle w:val="ManualConsidrant"/>
        <w:rPr>
          <w:noProof/>
        </w:rPr>
      </w:pPr>
      <w:r>
        <w:t>(1)</w:t>
      </w:r>
      <w:r>
        <w:tab/>
      </w:r>
      <w:r>
        <w:rPr>
          <w:noProof/>
        </w:rPr>
        <w:t xml:space="preserve">Interimsavtalet om upprättande av en ram för ett avtal om ekonomiskt partnerskap mellan stater i östra och södra Afrika, å ena sidan, och Europeiska gemenskapen och dess medlemsstater, å andra sidan (nedan kallat </w:t>
      </w:r>
      <w:r>
        <w:rPr>
          <w:i/>
          <w:noProof/>
        </w:rPr>
        <w:t>avtalet</w:t>
      </w:r>
      <w:r>
        <w:rPr>
          <w:noProof/>
        </w:rPr>
        <w:t>), ingicks av unionen genom rådets beslut 2012/196/EG av den 13 juli 2009</w:t>
      </w:r>
      <w:r>
        <w:rPr>
          <w:rStyle w:val="FootnoteReference"/>
          <w:noProof/>
        </w:rPr>
        <w:footnoteReference w:id="3"/>
      </w:r>
      <w:r>
        <w:rPr>
          <w:noProof/>
        </w:rPr>
        <w:t xml:space="preserve"> och började tillämpas provisoriskt den 14 maj 2012. </w:t>
      </w:r>
    </w:p>
    <w:p>
      <w:pPr>
        <w:pStyle w:val="ManualConsidrant"/>
        <w:rPr>
          <w:noProof/>
        </w:rPr>
      </w:pPr>
      <w:r>
        <w:t>(2)</w:t>
      </w:r>
      <w:r>
        <w:tab/>
      </w:r>
      <w:r>
        <w:rPr>
          <w:noProof/>
        </w:rPr>
        <w:t>I enlighet med artiklarna 13 och 68 i avtalet och artikel 44 i protokoll 1 till avtalet får AEP-kommittén anta ändringar av bestämmelserna i protokoll 1 till avtalet.</w:t>
      </w:r>
    </w:p>
    <w:p>
      <w:pPr>
        <w:pStyle w:val="ManualConsidrant"/>
        <w:rPr>
          <w:noProof/>
        </w:rPr>
      </w:pPr>
      <w:r>
        <w:t>(3)</w:t>
      </w:r>
      <w:r>
        <w:tab/>
      </w:r>
      <w:r>
        <w:rPr>
          <w:noProof/>
        </w:rPr>
        <w:t>Vid sitt åttonde möte den *maj/juni 2019* förväntas kommittén anta ett beslut om ändring av vissa bestämmelser i protokoll 1 vad gäller definitionen av begreppet ”ursprungsprodukter” och metoder för administrativt samarbete.</w:t>
      </w:r>
    </w:p>
    <w:p>
      <w:pPr>
        <w:pStyle w:val="ManualConsidrant"/>
        <w:rPr>
          <w:noProof/>
        </w:rPr>
      </w:pPr>
      <w:r>
        <w:t>(4)</w:t>
      </w:r>
      <w:r>
        <w:tab/>
      </w:r>
      <w:r>
        <w:rPr>
          <w:noProof/>
        </w:rPr>
        <w:t>Det är lämpligt att fastställa den ståndpunkt som ska intas på unionens vägnar i AEP-kommittén, eftersom det planerade beslutet kommer att vara bindande för unionen.</w:t>
      </w:r>
    </w:p>
    <w:p>
      <w:pPr>
        <w:pStyle w:val="ManualConsidrant"/>
        <w:rPr>
          <w:noProof/>
        </w:rPr>
      </w:pPr>
      <w:r>
        <w:t>(5)</w:t>
      </w:r>
      <w:r>
        <w:tab/>
      </w:r>
      <w:r>
        <w:rPr>
          <w:noProof/>
        </w:rPr>
        <w:t xml:space="preserve">I enlighet med protokoll 1 om definition av begreppet ”ursprungsprodukter” och om metoder för administrativt samarbete, vilket ingicks 2007, måste vissa bestämmelser aktualiseras så att bestämmelserna om ursprungsregler är i linje med den senaste utvecklingen och så att de ekonomiska aktörerna kan förses med enklare och mer flexibla ursprungsregler och utnyttjandet av förmånsbehandling kan optimeras. </w:t>
      </w:r>
    </w:p>
    <w:p>
      <w:pPr>
        <w:pStyle w:val="ManualConsidrant"/>
        <w:rPr>
          <w:noProof/>
        </w:rPr>
      </w:pPr>
      <w:r>
        <w:t>(6)</w:t>
      </w:r>
      <w:r>
        <w:tab/>
      </w:r>
      <w:r>
        <w:rPr>
          <w:noProof/>
        </w:rPr>
        <w:t>De ändringar som görs beträffande produkter (rubriker och varuslag) i bilaga II till protokoll 1 till avtalet är nödvändiga för att anpassa bilagan till de uppdateringar som Världstullorganisationen har gjort av nomenklaturen för Harmoniserade systemet i 2012 och 2017 års upplagor och att sörja för att beskrivningarna under varuslag och HS-klassificeringarna är förenliga med Harmoniserade systemet.</w:t>
      </w:r>
    </w:p>
    <w:p>
      <w:pPr>
        <w:pStyle w:val="ManualConsidrant"/>
        <w:rPr>
          <w:noProof/>
        </w:rPr>
      </w:pPr>
      <w:r>
        <w:t>(7)</w:t>
      </w:r>
      <w:r>
        <w:tab/>
      </w:r>
      <w:r>
        <w:rPr>
          <w:noProof/>
        </w:rPr>
        <w:t xml:space="preserve">I bilaga IX till protokoll 1 till avtalet finns en förteckning över de utomeuropeiska länderna och territorierna i EU. I den mening som avses i protokollet avses med </w:t>
      </w:r>
      <w:r>
        <w:rPr>
          <w:i/>
          <w:noProof/>
        </w:rPr>
        <w:lastRenderedPageBreak/>
        <w:t>utomeuropeiska länder och territorier</w:t>
      </w:r>
      <w:r>
        <w:rPr>
          <w:noProof/>
        </w:rPr>
        <w:t xml:space="preserve"> de länder och territorier som avses i bilaga II till fördraget om Europeiska unionens funktionssätt. Förteckningen bör uppdateras mot bakgrund av nyligen gjorda ändringar av vissa av de utomeuropeiska ländernas och territorierna status.</w:t>
      </w:r>
    </w:p>
    <w:p>
      <w:pPr>
        <w:pStyle w:val="Formuledadoption"/>
        <w:rPr>
          <w:noProof/>
        </w:rPr>
      </w:pPr>
      <w:r>
        <w:rPr>
          <w:noProof/>
        </w:rPr>
        <w:t>HÄRIGENOM FÖRESKRIVS FÖLJANDE.</w:t>
      </w:r>
    </w:p>
    <w:p>
      <w:pPr>
        <w:pStyle w:val="Titrearticle"/>
        <w:rPr>
          <w:noProof/>
        </w:rPr>
      </w:pPr>
      <w:r>
        <w:rPr>
          <w:noProof/>
        </w:rPr>
        <w:t>Artikel 1</w:t>
      </w:r>
    </w:p>
    <w:p>
      <w:pPr>
        <w:jc w:val="left"/>
        <w:rPr>
          <w:i/>
          <w:noProof/>
        </w:rPr>
      </w:pPr>
      <w:r>
        <w:rPr>
          <w:noProof/>
        </w:rPr>
        <w:t>Den ståndpunkt som ska intas på unionens vägnar under det åttonde mötet i kommittén ska grundas på det utkast till akt av kommittén som åtföljer detta beslut.</w:t>
      </w:r>
    </w:p>
    <w:p>
      <w:pPr>
        <w:pStyle w:val="Titrearticle"/>
        <w:rPr>
          <w:noProof/>
        </w:rPr>
      </w:pPr>
      <w:r>
        <w:rPr>
          <w:noProof/>
        </w:rPr>
        <w:t>Artikel 2</w:t>
      </w:r>
    </w:p>
    <w:p>
      <w:pPr>
        <w:rPr>
          <w:noProof/>
        </w:rPr>
      </w:pPr>
      <w:r>
        <w:rPr>
          <w:noProof/>
        </w:rPr>
        <w:t>Detta beslut riktar sig till kommissionen.</w:t>
      </w:r>
    </w:p>
    <w:p>
      <w:pPr>
        <w:pStyle w:val="Fait"/>
        <w:rPr>
          <w:noProof/>
        </w:rPr>
      </w:pPr>
      <w:r>
        <w:t>Utfärdat i Bryssel den</w:t>
      </w:r>
    </w:p>
    <w:p>
      <w:pPr>
        <w:pStyle w:val="Institutionquisigne"/>
        <w:rPr>
          <w:noProof/>
        </w:rPr>
      </w:pPr>
      <w:r>
        <w:rPr>
          <w:noProof/>
        </w:rPr>
        <w:tab/>
        <w:t>På rådets vägnar</w:t>
      </w:r>
    </w:p>
    <w:p>
      <w:pPr>
        <w:pStyle w:val="Personnequisigne"/>
        <w:rPr>
          <w:noProof/>
        </w:rPr>
      </w:pPr>
      <w:r>
        <w:rPr>
          <w:noProof/>
        </w:rPr>
        <w:tab/>
        <w:t>Ordförande</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rPr>
        <w:rFonts w:ascii="Arial" w:hAnsi="Arial" w:cs="Arial"/>
        <w:b/>
        <w:sz w:val="48"/>
      </w:rPr>
      <w:tab/>
    </w:r>
    <w:r>
      <w:tab/>
    </w:r>
    <w:r>
      <w:rPr>
        <w:rFonts w:ascii="Arial" w:hAnsi="Arial" w:cs="Arial"/>
        <w:b/>
        <w:sz w:val="48"/>
      </w:rPr>
      <w:t>SV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tab/>
    </w:r>
    <w:r>
      <w:rPr>
        <w:rFonts w:ascii="Arial" w:hAnsi="Arial" w:cs="Arial"/>
        <w:b/>
        <w:sz w:val="48"/>
      </w:rPr>
      <w:t>SV</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ind w:left="142" w:hanging="142"/>
      </w:pPr>
      <w:r>
        <w:rPr>
          <w:rStyle w:val="FootnoteReference"/>
        </w:rPr>
        <w:footnoteRef/>
      </w:r>
      <w:r>
        <w:tab/>
        <w:t>Rådets beslut av den 13 juli 2009 om undertecknande och provisorisk tillämpning av interimsavtalet om upprättande av en ram för ett avtal om ekonomiskt partnerskap mellan stater i östra och södra Afrika, å ena sidan, och Europeiska gemenskapen och dess medlemsstater, å andra sidan (EUT L 111, 24.4.2012, s. 1).</w:t>
      </w:r>
    </w:p>
  </w:footnote>
  <w:footnote w:id="2">
    <w:p>
      <w:pPr>
        <w:pStyle w:val="FootnoteText"/>
      </w:pPr>
      <w:r>
        <w:rPr>
          <w:rStyle w:val="FootnoteReference"/>
        </w:rPr>
        <w:footnoteRef/>
      </w:r>
      <w:r>
        <w:tab/>
        <w:t xml:space="preserve">Domstolens dom av den 7 oktober 2014, Tyskland/rådet, C-399/12, ECLI:EU:C:2014:2258, punkterna 61–64. </w:t>
      </w:r>
    </w:p>
  </w:footnote>
  <w:footnote w:id="3">
    <w:p>
      <w:pPr>
        <w:pStyle w:val="FootnoteText"/>
        <w:rPr>
          <w:lang w:val="fr-BE"/>
        </w:rPr>
      </w:pPr>
      <w:r>
        <w:rPr>
          <w:rStyle w:val="FootnoteReference"/>
        </w:rPr>
        <w:footnoteRef/>
      </w:r>
      <w:r>
        <w:tab/>
        <w:t>EUT L 111, 24.4.2012, s.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4B4E524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10725F5C"/>
    <w:lvl w:ilvl="0">
      <w:start w:val="1"/>
      <w:numFmt w:val="decimal"/>
      <w:pStyle w:val="ListNumber3"/>
      <w:lvlText w:val="%1."/>
      <w:lvlJc w:val="left"/>
      <w:pPr>
        <w:tabs>
          <w:tab w:val="num" w:pos="926"/>
        </w:tabs>
        <w:ind w:left="926" w:hanging="360"/>
      </w:pPr>
    </w:lvl>
  </w:abstractNum>
  <w:abstractNum w:abstractNumId="2">
    <w:nsid w:val="FFFFFF7F"/>
    <w:multiLevelType w:val="singleLevel"/>
    <w:tmpl w:val="9D5E84FA"/>
    <w:lvl w:ilvl="0">
      <w:start w:val="1"/>
      <w:numFmt w:val="decimal"/>
      <w:pStyle w:val="ListNumber2"/>
      <w:lvlText w:val="%1."/>
      <w:lvlJc w:val="left"/>
      <w:pPr>
        <w:tabs>
          <w:tab w:val="num" w:pos="643"/>
        </w:tabs>
        <w:ind w:left="643" w:hanging="360"/>
      </w:pPr>
    </w:lvl>
  </w:abstractNum>
  <w:abstractNum w:abstractNumId="3">
    <w:nsid w:val="FFFFFF81"/>
    <w:multiLevelType w:val="singleLevel"/>
    <w:tmpl w:val="7494ECA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1AEE806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26D41BF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77568860"/>
    <w:lvl w:ilvl="0">
      <w:start w:val="1"/>
      <w:numFmt w:val="decimal"/>
      <w:pStyle w:val="ListNumber"/>
      <w:lvlText w:val="%1."/>
      <w:lvlJc w:val="left"/>
      <w:pPr>
        <w:tabs>
          <w:tab w:val="num" w:pos="360"/>
        </w:tabs>
        <w:ind w:left="360" w:hanging="360"/>
      </w:pPr>
    </w:lvl>
  </w:abstractNum>
  <w:abstractNum w:abstractNumId="7">
    <w:nsid w:val="FFFFFF89"/>
    <w:multiLevelType w:val="singleLevel"/>
    <w:tmpl w:val="C03E9C8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num>
  <w:num w:numId="7">
    <w:abstractNumId w:val="6"/>
  </w:num>
  <w:num w:numId="8">
    <w:abstractNumId w:val="2"/>
  </w:num>
  <w:num w:numId="9">
    <w:abstractNumId w:val="1"/>
  </w:num>
  <w:num w:numId="10">
    <w:abstractNumId w:val="0"/>
  </w:num>
  <w:num w:numId="11">
    <w:abstractNumId w:val="14"/>
    <w:lvlOverride w:ilvl="0">
      <w:startOverride w:val="1"/>
    </w:lvlOverride>
  </w:num>
  <w:num w:numId="12">
    <w:abstractNumId w:val="14"/>
    <w:lvlOverride w:ilvl="0">
      <w:startOverride w:val="1"/>
    </w:lvlOverride>
  </w:num>
  <w:num w:numId="13">
    <w:abstractNumId w:val="18"/>
  </w:num>
  <w:num w:numId="14">
    <w:abstractNumId w:val="12"/>
  </w:num>
  <w:num w:numId="15">
    <w:abstractNumId w:val="20"/>
  </w:num>
  <w:num w:numId="16">
    <w:abstractNumId w:val="11"/>
  </w:num>
  <w:num w:numId="17">
    <w:abstractNumId w:val="13"/>
  </w:num>
  <w:num w:numId="18">
    <w:abstractNumId w:val="9"/>
  </w:num>
  <w:num w:numId="19">
    <w:abstractNumId w:val="19"/>
  </w:num>
  <w:num w:numId="20">
    <w:abstractNumId w:val="8"/>
  </w:num>
  <w:num w:numId="21">
    <w:abstractNumId w:val="14"/>
  </w:num>
  <w:num w:numId="22">
    <w:abstractNumId w:val="16"/>
  </w:num>
  <w:num w:numId="23">
    <w:abstractNumId w:val="17"/>
  </w:num>
  <w:num w:numId="24">
    <w:abstractNumId w:val="10"/>
  </w:num>
  <w:num w:numId="25">
    <w:abstractNumId w:val="15"/>
  </w:num>
  <w:num w:numId="26">
    <w:abstractNumId w:val="21"/>
  </w:num>
  <w:num w:numId="27">
    <w:abstractNumId w:val="18"/>
  </w:num>
  <w:num w:numId="28">
    <w:abstractNumId w:val="12"/>
  </w:num>
  <w:num w:numId="29">
    <w:abstractNumId w:val="20"/>
  </w:num>
  <w:num w:numId="30">
    <w:abstractNumId w:val="11"/>
  </w:num>
  <w:num w:numId="31">
    <w:abstractNumId w:val="13"/>
  </w:num>
  <w:num w:numId="32">
    <w:abstractNumId w:val="9"/>
  </w:num>
  <w:num w:numId="33">
    <w:abstractNumId w:val="19"/>
  </w:num>
  <w:num w:numId="34">
    <w:abstractNumId w:val="8"/>
  </w:num>
  <w:num w:numId="35">
    <w:abstractNumId w:val="14"/>
  </w:num>
  <w:num w:numId="36">
    <w:abstractNumId w:val="16"/>
  </w:num>
  <w:num w:numId="37">
    <w:abstractNumId w:val="17"/>
  </w:num>
  <w:num w:numId="38">
    <w:abstractNumId w:val="10"/>
  </w:num>
  <w:num w:numId="39">
    <w:abstractNumId w:val="15"/>
  </w:num>
  <w:num w:numId="40">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2-04 09:15:48"/>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048DD1A8-7BFA-4A81-A9FC-50AE166E81BA"/>
    <w:docVar w:name="LW_COVERPAGE_TYPE" w:val="1"/>
    <w:docVar w:name="LW_CROSSREFERENCE" w:val="&lt;UNUSED&gt;"/>
    <w:docVar w:name="LW_DocType" w:val="COM"/>
    <w:docVar w:name="LW_EMISSION" w:val="7.2.2019"/>
    <w:docVar w:name="LW_EMISSION_ISODATE" w:val="2019-02-07"/>
    <w:docVar w:name="LW_EMISSION_LOCATION" w:val="BRX"/>
    <w:docVar w:name="LW_EMISSION_PREFIX" w:val="Bryssel den "/>
    <w:docVar w:name="LW_EMISSION_SUFFIX" w:val=" "/>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SV"/>
    <w:docVar w:name="LW_LEVEL_OF_SENSITIVITY" w:val="Standard treatment"/>
    <w:docVar w:name="LW_NOM.INST" w:val="EUROPEISKA KOMMISSIONEN"/>
    <w:docVar w:name="LW_NOM.INST_JOINTDOC" w:val="&lt;EMPTY&gt;"/>
    <w:docVar w:name="LW_PART_NBR" w:val="1"/>
    <w:docVar w:name="LW_PART_NBR_TOTAL" w:val="1"/>
    <w:docVar w:name="LW_REF.II.NEW.CP" w:val="NLE"/>
    <w:docVar w:name="LW_REF.II.NEW.CP_NUMBER" w:val="0029"/>
    <w:docVar w:name="LW_REF.II.NEW.CP_YEAR" w:val="2019"/>
    <w:docVar w:name="LW_REF.INST.NEW" w:val="COM"/>
    <w:docVar w:name="LW_REF.INST.NEW_ADOPTED" w:val="final"/>
    <w:docVar w:name="LW_REF.INST.NEW_TEXT" w:val="(2019) 5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Förslag till"/>
    <w:docVar w:name="LW_SUPERTITRE" w:val="&lt;UNUSED&gt;"/>
    <w:docVar w:name="LW_TITRE.OBJ.CP" w:val="om fastställande av den ståndpunkt som ska intas på Europeiska unionens vägnar i AEP-kommittén, vilken inrättades genom interimsavtalet om upprättande av en ram för ett avtal om ekonomiskt partnerskap mellan stater i östra och södra Afrika, å ena sidan, och Europeiska gemenskapen och dess medlemsstater, å andra sidan, vad gäller ändring av vissa bestämmelser i protokoll 1 avseende definitionen av begreppet ursprungsprodukter samt avseende metoderna för administrativt samarbete"/>
    <w:docVar w:name="LW_TYPE.DOC.CP" w:val="RÅDETS BESLUT"/>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v-SE"/>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customStyle="1" w:styleId="Lignefinal">
    <w:name w:val="Ligne final"/>
    <w:basedOn w:val="Normal"/>
    <w:next w:val="Normal"/>
    <w:pPr>
      <w:pBdr>
        <w:bottom w:val="single" w:sz="4" w:space="0" w:color="000000"/>
      </w:pBdr>
      <w:spacing w:before="360" w:line="360" w:lineRule="auto"/>
      <w:ind w:left="3400" w:right="3400"/>
      <w:jc w:val="center"/>
    </w:pPr>
    <w:rPr>
      <w:rFonts w:eastAsia="Times New Roman"/>
      <w:b/>
      <w:szCs w:val="24"/>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v-SE"/>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v-S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v-SE"/>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v-S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v-S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v-SE"/>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customStyle="1" w:styleId="Lignefinal">
    <w:name w:val="Ligne final"/>
    <w:basedOn w:val="Normal"/>
    <w:next w:val="Normal"/>
    <w:pPr>
      <w:pBdr>
        <w:bottom w:val="single" w:sz="4" w:space="0" w:color="000000"/>
      </w:pBdr>
      <w:spacing w:before="360" w:line="360" w:lineRule="auto"/>
      <w:ind w:left="3400" w:right="3400"/>
      <w:jc w:val="center"/>
    </w:pPr>
    <w:rPr>
      <w:rFonts w:eastAsia="Times New Roman"/>
      <w:b/>
      <w:szCs w:val="24"/>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v-SE"/>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v-S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v-SE"/>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v-S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v-S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472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032C2EF0-6478-49F9-AA2B-7C8AA39EE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7</Pages>
  <Words>2017</Words>
  <Characters>11786</Characters>
  <Application>Microsoft Office Word</Application>
  <DocSecurity>0</DocSecurity>
  <Lines>199</Lines>
  <Paragraphs>80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DIGIT/C6</cp:lastModifiedBy>
  <cp:revision>18</cp:revision>
  <dcterms:created xsi:type="dcterms:W3CDTF">2019-02-01T15:11:00Z</dcterms:created>
  <dcterms:modified xsi:type="dcterms:W3CDTF">2019-02-04T08:15:00Z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