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0BC0CE5-D7D8-4A8B-A533-73394B476DC1"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rPr>
          <w:noProof/>
        </w:rPr>
      </w:pPr>
      <w:bookmarkStart w:id="0" w:name="_GoBack"/>
      <w:bookmarkEnd w:id="0"/>
    </w:p>
    <w:p>
      <w:pPr>
        <w:pStyle w:val="Annexetitre"/>
        <w:rPr>
          <w:noProof/>
        </w:rPr>
      </w:pPr>
      <w:r>
        <w:rPr>
          <w:noProof/>
        </w:rPr>
        <w:t>ΠΑΡΑΡΤΗΜΑ</w:t>
      </w:r>
    </w:p>
    <w:p>
      <w:pPr>
        <w:rPr>
          <w:noProof/>
        </w:rPr>
      </w:pPr>
    </w:p>
    <w:p>
      <w:pPr>
        <w:pStyle w:val="Heading1"/>
        <w:numPr>
          <w:ilvl w:val="0"/>
          <w:numId w:val="1"/>
        </w:numPr>
        <w:rPr>
          <w:noProof/>
        </w:rPr>
      </w:pPr>
      <w:r>
        <w:rPr>
          <w:noProof/>
        </w:rPr>
        <w:t xml:space="preserve">ΣΤΟΧΟΙ </w:t>
      </w:r>
    </w:p>
    <w:p>
      <w:pPr>
        <w:rPr>
          <w:noProof/>
        </w:rPr>
      </w:pPr>
      <w:r>
        <w:rPr>
          <w:noProof/>
        </w:rPr>
        <w:t>Σκοπός της Επιτροπής κατά τη διάρκεια των διαπραγματεύσεων θα πρέπει να είναι η επίτευξη των ειδικών στόχων που παρατίθενται αναλυτικά στη συνέχεια, καθώς και η παράλληλη διασφάλιση ότι το αποτέλεσμα των διαπραγματεύσεων συνάδει με τους εσωτερικούς κανόνες της Ένωσης για τα ηλεκτρονικά αποδεικτικά στοιχεία, συμπεριλαμβανομένης της εξέλιξής τους στο πλαίσιο της νομοθετικής διαδικασίας και της τελικής μορφής υπό την οποία θα θεσπιστούν από τους συννομοθέτες της Ένωσης. Οι εσωτερικοί αυτοί κανόνες θα αποτελέσουν τη βάση αναφοράς για τη διαπραγματευτική θέση της Ένωσης.</w:t>
      </w:r>
    </w:p>
    <w:p>
      <w:pPr>
        <w:pStyle w:val="NumPar1"/>
        <w:numPr>
          <w:ilvl w:val="0"/>
          <w:numId w:val="10"/>
        </w:numPr>
        <w:rPr>
          <w:noProof/>
        </w:rPr>
      </w:pPr>
      <w:r>
        <w:rPr>
          <w:noProof/>
        </w:rPr>
        <w:t>Καθορισμός κοινών κανόνων και αντιμετώπιση των συγκρούσεων νόμων για εντολές για τη λήψη ηλεκτρονικών αποδεικτικών στοιχείων υπό τη μορφή δεδομένων περιεχομένου και δεδομένων που δεν αφορούν το περιεχόμενο, οι οποίες θα εκδίδονται από δικαστική αρχή του ενός συμβαλλόμενου μέρους και θα απευθύνονται σε πάροχο υπηρεσιών ο οποίος διέπεται από το δίκαιο του άλλου συμβαλλόμενου μέρους. Με τον τρόπο αυτόν αναμένεται να μειωθεί ο κίνδυνος κατακερματισμού των πρακτικών και των νομικών κανόνων και να ενισχυθεί η ασφάλεια δικαίου μεταξύ της Ένωσης και των Ηνωμένων Πολιτειών της Αμερικής κατά τη λήψη ηλεκτρονικών αποδεικτικών στοιχείων σε ποινικές διαδικασίες.</w:t>
      </w:r>
    </w:p>
    <w:p>
      <w:pPr>
        <w:pStyle w:val="NumPar1"/>
        <w:rPr>
          <w:noProof/>
        </w:rPr>
      </w:pPr>
      <w:r>
        <w:rPr>
          <w:noProof/>
        </w:rPr>
        <w:t>Παροχή της δυνατότητας, σε αμοιβαία βάση, απευθείας διαβίβασης ηλεκτρονικών αποδεικτικών στοιχείων από πάροχο υπηρεσιών σε αιτούσα αρχή, όπως αναφέρεται στο σημείο 1.</w:t>
      </w:r>
    </w:p>
    <w:p>
      <w:pPr>
        <w:pStyle w:val="NumPar1"/>
        <w:rPr>
          <w:noProof/>
        </w:rPr>
      </w:pPr>
      <w:r>
        <w:rPr>
          <w:noProof/>
        </w:rPr>
        <w:t>Διασφάλιση του σεβασμού των θεμελιωδών δικαιωμάτων, ελευθεριών και γενικών αρχών του δίκαιου της ΕΕ, όπως κατοχυρώνονται στις Συνθήκες και στον Χάρτη των Θεμελιωδών Δικαιωμάτων της Ευρωπαϊκής Ένωσης, συμπεριλαμβανομένων της αρχής της αναλογικότητας, των δικονομικών δικαιωμάτων, του τεκμηρίου της αθωότητας και των δικαιωμάτων υπεράσπισης των προσώπων που υπόκεινται σε ποινική διαδικασία, καθώς και της προστασίας της ιδιωτικής ζωής και των δεδομένων προσωπικού χαρακτήρα και των δεδομένων επικοινωνιών κατά την επεξεργασία τέτοιων δεδομένων, συμπεριλαμβανομένων των διαβιβάσεων σε αρχές επιβολής του νόμου τρίτων χωρών, και κάθε άλλης υποχρέωσης που υπέχουν οι αρχές επιβολής του νόμου και οι δικαστικές αρχές στο πλαίσιο αυτό.</w:t>
      </w:r>
    </w:p>
    <w:p>
      <w:pPr>
        <w:rPr>
          <w:noProof/>
        </w:rPr>
      </w:pPr>
      <w:r>
        <w:rPr>
          <w:noProof/>
        </w:rPr>
        <w:t>Για την επίτευξη των στόχων που παρατίθενται στο μέρος 1, η συμφωνία θα πρέπει να πραγματεύεται ιδίως τα ακόλουθα στοιχεία:</w:t>
      </w:r>
    </w:p>
    <w:p>
      <w:pPr>
        <w:pStyle w:val="Heading1"/>
        <w:rPr>
          <w:noProof/>
        </w:rPr>
      </w:pPr>
      <w:r>
        <w:rPr>
          <w:noProof/>
        </w:rPr>
        <w:t>ΦΥΣΗ ΚΑΙ ΠΕΔΙΟ ΕΦΑΡΜΟΓΗΣ ΤΗΣ ΣΥΜΦΩΝΙΑΣ</w:t>
      </w:r>
    </w:p>
    <w:p>
      <w:pPr>
        <w:pStyle w:val="NumPar1"/>
        <w:rPr>
          <w:noProof/>
        </w:rPr>
      </w:pPr>
      <w:r>
        <w:rPr>
          <w:noProof/>
        </w:rPr>
        <w:t xml:space="preserve">Η συμφωνία θα πρέπει να εφαρμόζεται στις ποινικές διαδικασίες που περιλαμβάνουν τόσο προδικαστικό στάδιο όσο και στάδιο δίκης. </w:t>
      </w:r>
    </w:p>
    <w:p>
      <w:pPr>
        <w:pStyle w:val="NumPar1"/>
        <w:rPr>
          <w:noProof/>
        </w:rPr>
      </w:pPr>
      <w:r>
        <w:rPr>
          <w:noProof/>
        </w:rPr>
        <w:t>Η συμφωνία θα πρέπει να δημιουργεί αμοιβαία δικαιώματα και αμοιβαίες υποχρεώσεις για τα μέρη.</w:t>
      </w:r>
    </w:p>
    <w:p>
      <w:pPr>
        <w:pStyle w:val="NumPar1"/>
        <w:rPr>
          <w:noProof/>
        </w:rPr>
      </w:pPr>
      <w:r>
        <w:rPr>
          <w:noProof/>
        </w:rPr>
        <w:t>Η συμφωνία θα πρέπει να παραθέτει τους ορισμούς και τα είδη των δεδομένων που θα καλύπτονται, συμπεριλαμβανομένων τόσο των δεδομένων περιεχομένου όσο και των δεδομένων που δεν αφορούν το περιεχόμενο.</w:t>
      </w:r>
    </w:p>
    <w:p>
      <w:pPr>
        <w:pStyle w:val="NumPar1"/>
        <w:rPr>
          <w:noProof/>
        </w:rPr>
      </w:pPr>
      <w:r>
        <w:rPr>
          <w:noProof/>
        </w:rPr>
        <w:t>Η συμφωνία θα πρέπει να προσδιορίζει το ακριβές πεδίο εφαρμογής της όσον αφορά τα καλυπτόμενα ποινικά αδικήματα και τα κατώτατα όρια.</w:t>
      </w:r>
    </w:p>
    <w:p>
      <w:pPr>
        <w:pStyle w:val="NumPar1"/>
        <w:rPr>
          <w:noProof/>
        </w:rPr>
      </w:pPr>
      <w:r>
        <w:rPr>
          <w:noProof/>
        </w:rPr>
        <w:t xml:space="preserve">Η συμφωνία θα πρέπει να καθορίζει τις προϋποθέσεις που πρέπει να πληρούνται προκειμένου δικαστική αρχή να μπορεί να εκδώσει εντολή, καθώς και τους τρόπους επίδοσης των εντολών. </w:t>
      </w:r>
    </w:p>
    <w:p>
      <w:pPr>
        <w:pStyle w:val="NumPar1"/>
        <w:rPr>
          <w:noProof/>
        </w:rPr>
      </w:pPr>
      <w:r>
        <w:rPr>
          <w:noProof/>
        </w:rPr>
        <w:t xml:space="preserve">Η συμφωνία θα πρέπει να περιλαμβάνει ρήτρα που να παρέχει στα υποκείμενα των δεδομένων τη δυνατότητα άσκησης αποτελεσματικών μέσων δικαστικής έννομης προστασίας κατά τη διάρκεια της ποινικής διαδικασίας. Η συμφωνία θα πρέπει επίσης να καθορίζει τις περιστάσεις υπό τις οποίες ο πάροχος υπηρεσιών θα έχει το δικαίωμα να προβάλει αντιρρήσεις σε σχέση με εντολή. </w:t>
      </w:r>
    </w:p>
    <w:p>
      <w:pPr>
        <w:pStyle w:val="NumPar1"/>
        <w:rPr>
          <w:noProof/>
        </w:rPr>
      </w:pPr>
      <w:r>
        <w:rPr>
          <w:noProof/>
        </w:rPr>
        <w:t xml:space="preserve">Η συμφωνία θα πρέπει να προσδιορίζει την προθεσμία για την υποβολή των δεδομένων που καλύπτονται από την εντολή. </w:t>
      </w:r>
    </w:p>
    <w:p>
      <w:pPr>
        <w:pStyle w:val="NumPar1"/>
        <w:rPr>
          <w:noProof/>
        </w:rPr>
      </w:pPr>
      <w:r>
        <w:rPr>
          <w:noProof/>
        </w:rPr>
        <w:t xml:space="preserve">Η συμφωνία δεν θα πρέπει να θίγει άλλες υφιστάμενες διεθνείς συμφωνίες σχετικά με τη δικαστική συνεργασία σε ποινικές υποθέσεις μεταξύ αρχών, όπως τη συμφωνία ΕΕ-ΗΠΑ για την αμοιβαία δικαστική συνδρομή. </w:t>
      </w:r>
    </w:p>
    <w:p>
      <w:pPr>
        <w:pStyle w:val="NumPar1"/>
        <w:rPr>
          <w:noProof/>
        </w:rPr>
      </w:pPr>
      <w:r>
        <w:rPr>
          <w:noProof/>
        </w:rPr>
        <w:t>Η συμφωνία θα πρέπει, στις διμερείς σχέσεις μεταξύ της Ένωσης και των Ηνωμένων Πολιτειών της Αμερικής, να υπερισχύει της σύμβασης του Συμβουλίου της Ευρώπης για το έγκλημα στον κυβερνοχώρο και κάθε άλλης συμφωνίας ή ρύθμισης που θα έχει συναφθεί στο πλαίσιο των διαπραγματεύσεων για το δεύτερο πρόσθετο πρωτόκολλο της σύμβασης του Συμβουλίου της Ευρώπης για το έγκλημα στον κυβερνοχώρο, στον βαθμό που οι διατάξεις της εν λόγω άλλης συμφωνίας ή ρύθμισης θα καλύπτουν ζητήματα τα οποία διέπονται από τη συμφωνία του παρόντος.</w:t>
      </w:r>
    </w:p>
    <w:p>
      <w:pPr>
        <w:pStyle w:val="Heading1"/>
        <w:rPr>
          <w:noProof/>
        </w:rPr>
      </w:pPr>
      <w:r>
        <w:rPr>
          <w:noProof/>
        </w:rPr>
        <w:t>ΕΓΓΥΗΣΕΙΣ</w:t>
      </w:r>
    </w:p>
    <w:p>
      <w:pPr>
        <w:pStyle w:val="NumPar1"/>
        <w:rPr>
          <w:noProof/>
        </w:rPr>
      </w:pPr>
      <w:r>
        <w:rPr>
          <w:noProof/>
        </w:rPr>
        <w:t xml:space="preserve">Η συμφωνία θα πρέπει να ακολουθεί την αρχή της αμοιβαιότητας όσον αφορά τις κατηγορίες των προσώπων για τα δεδομένα των οποίων δεν θα επιτρέπεται η υποβολή αιτήματος βάσει της συμφωνίας. Η συμφωνία δεν θα πρέπει να εισάγει διακρίσεις μεταξύ προσώπων από διαφορετικά κράτη μέλη της Ένωσης.  </w:t>
      </w:r>
    </w:p>
    <w:p>
      <w:pPr>
        <w:pStyle w:val="NumPar1"/>
        <w:rPr>
          <w:noProof/>
        </w:rPr>
      </w:pPr>
      <w:r>
        <w:rPr>
          <w:noProof/>
        </w:rPr>
        <w:t xml:space="preserve">Η συμφωνία θα πρέπει να καθιστά εφαρμοστέα, διά παραπομπής, τη συμφωνία ΕΕ-ΗΠΑ για την προστασία των δεδομένων και της ιδιωτικής ζωής, γνωστή και ως «συμφωνία-πλαίσιο», η οποία τέθηκε σε ισχύ την 1η Φεβρουαρίου 2017. </w:t>
      </w:r>
    </w:p>
    <w:p>
      <w:pPr>
        <w:pStyle w:val="NumPar1"/>
        <w:rPr>
          <w:noProof/>
        </w:rPr>
      </w:pPr>
      <w:r>
        <w:rPr>
          <w:noProof/>
        </w:rPr>
        <w:t xml:space="preserve">Η συμφωνία θα πρέπει να συμπληρώνει τη συμφωνία-πλαίσιο με πρόσθετες εγγυήσεις οι οποίες να λαμβάνουν υπόψη το επίπεδο ευαισθησίας των σχετικών κατηγοριών δεδομένων και τις ιδιαίτερες απαιτήσεις της διαβίβασης ηλεκτρονικών αποδεικτικών στοιχείων απευθείας από παρόχους υπηρεσιών και όχι μεταξύ αρχών. </w:t>
      </w:r>
    </w:p>
    <w:p>
      <w:pPr>
        <w:pStyle w:val="NumPar1"/>
        <w:rPr>
          <w:noProof/>
        </w:rPr>
      </w:pPr>
      <w:r>
        <w:rPr>
          <w:noProof/>
        </w:rPr>
        <w:t>Οι πρόσθετες εγγυήσεις για την προστασία της ιδιωτικής ζωής και των δεδομένων, οι οποίες θα πρέπει να επανεξεταστούν υπό το πρίσμα του πεδίου εφαρμογής της συμφωνίας, θα πρέπει, μεταξύ άλλων, να περιλαμβάνουν:</w:t>
      </w:r>
    </w:p>
    <w:p>
      <w:pPr>
        <w:pStyle w:val="Point1"/>
        <w:rPr>
          <w:noProof/>
        </w:rPr>
      </w:pPr>
      <w:r>
        <w:rPr>
          <w:noProof/>
        </w:rPr>
        <w:t>α)</w:t>
      </w:r>
      <w:r>
        <w:rPr>
          <w:noProof/>
        </w:rPr>
        <w:tab/>
        <w:t>Προσδιορισμό των σκοπών για τους οποίους είναι δυνατόν να ζητηθούν και να διαβιβαστούν δεδομένα προσωπικού χαρακτήρα και δεδομένα ηλεκτρονικών επικοινωνιών.</w:t>
      </w:r>
    </w:p>
    <w:p>
      <w:pPr>
        <w:pStyle w:val="Point1"/>
        <w:rPr>
          <w:noProof/>
        </w:rPr>
      </w:pPr>
      <w:r>
        <w:rPr>
          <w:noProof/>
        </w:rPr>
        <w:t>β)</w:t>
      </w:r>
      <w:r>
        <w:rPr>
          <w:noProof/>
        </w:rPr>
        <w:tab/>
        <w:t xml:space="preserve">Την απαίτηση η εντολή να περιορίζεται σε δεδομένα προσωπικού χαρακτήρα και δεδομένα ηλεκτρονικών επικοινωνιών τα οποία είναι αναγκαία και αναλογικά σε σχέση με τους σκοπούς για τους οποίους παρέχεται πρόσβαση σε αυτά. </w:t>
      </w:r>
    </w:p>
    <w:p>
      <w:pPr>
        <w:pStyle w:val="Point1"/>
        <w:rPr>
          <w:noProof/>
        </w:rPr>
      </w:pPr>
      <w:r>
        <w:rPr>
          <w:noProof/>
        </w:rPr>
        <w:t>γ)</w:t>
      </w:r>
      <w:r>
        <w:rPr>
          <w:noProof/>
        </w:rPr>
        <w:tab/>
        <w:t>Την απαίτηση η κοινοποίηση δεδομένων σε άλλες αρχές των ΗΠΑ οι οποίες δεν δεσμεύονται από τη συμφωνία-πλαίσιο και η χρήση των δεδομένων από τις εν λόγω αρχές να προϋποθέτει την ενημέρωση και την προηγούμενη έγκριση της αρμόδιας δικαστικής αρχής που ορίζεται στο κράτος μέλος της Ένωσης στο οποίο είναι εγκατεστημένος ή εκπροσωπείται ο πάροχος υπηρεσιών, και την απαίτηση οι εν λόγω κοινοποίηση και χρήση να επιτρέπονται μόνο αν διασφαλίζεται ότι η αποδέκτρια αρχή προστατεύει αποτελεσματικά τα δεδομένα προσωπικού χαρακτήρα και τα δεδομένα ηλεκτρονικών επικοινωνιών σύμφωνα με τις διατάξεις της συμφωνίας. Κατά την εξέταση της αίτησης για τη χορήγηση της εν λόγω προηγούμενης έγκρισης, η αρμόδια δικαστική αρχή θα πρέπει να λαμβάνει δεόντως υπόψη όλους τους σχετικούς παράγοντες, συμπεριλαμβανομένων της σοβαρότητας του αδικήματος και του σκοπού για τον οποίο διαβιβάστηκαν αρχικά τα δεδομένα.</w:t>
      </w:r>
    </w:p>
    <w:p>
      <w:pPr>
        <w:pStyle w:val="Point1"/>
        <w:rPr>
          <w:noProof/>
        </w:rPr>
      </w:pPr>
      <w:r>
        <w:rPr>
          <w:noProof/>
        </w:rPr>
        <w:t>δ)</w:t>
      </w:r>
      <w:r>
        <w:rPr>
          <w:noProof/>
        </w:rPr>
        <w:tab/>
        <w:t xml:space="preserve">Την απαίτηση περαιτέρω διαβιβάσεις σε άλλες τρίτες χώρες να μπορούν να πραγματοποιηθούν μόνο προς αρχές επιβολής του νόμου που είναι αρμόδιες για την πρόληψη, τη διερεύνηση, την ανίχνευση ή τη δίωξη ποινικών αδικημάτων, συμπεριλαμβανομένης της τρομοκρατίας, και να προϋποθέτουν την ενημέρωση και την προηγούμενη έγκριση της αρμόδιας δικαστικής αρχής που ορίζεται από το κράτος μέλος της Ένωσης στο οποίο είναι εγκατεστημένος ή εκπροσωπείται ο πάροχος υπηρεσιών. Κατά την εξέταση της αίτησης για τη χορήγηση της εν λόγω προηγούμενης έγκρισης, η αρμόδια δικαστική αρχή θα πρέπει να λαμβάνει υπόψη τους παράγοντες που παρατίθενται στο άρθρο 7 παράγραφος 2 της συμφωνίας-πλαισίου. </w:t>
      </w:r>
    </w:p>
    <w:p>
      <w:pPr>
        <w:pStyle w:val="Point1"/>
        <w:rPr>
          <w:noProof/>
        </w:rPr>
      </w:pPr>
      <w:r>
        <w:rPr>
          <w:noProof/>
        </w:rPr>
        <w:t>ε)</w:t>
      </w:r>
      <w:r>
        <w:rPr>
          <w:noProof/>
        </w:rPr>
        <w:tab/>
        <w:t xml:space="preserve">Η συμφωνία μπορεί να αναφέρεται στις εξαιρετικές περιστάσεις και τις εγγυήσεις που θα απαιτούνται προκειμένου να είναι δυνατή η περαιτέρω διαβίβαση χωρίς προηγούμενη έγκριση, σε περίπτωση σοβαρής και επικείμενης απειλής για τη δημόσια ασφάλεια κράτους μέλους ή τρίτης χώρας. </w:t>
      </w:r>
    </w:p>
    <w:p>
      <w:pPr>
        <w:pStyle w:val="Point1"/>
        <w:rPr>
          <w:noProof/>
        </w:rPr>
      </w:pPr>
      <w:r>
        <w:rPr>
          <w:noProof/>
        </w:rPr>
        <w:t>στ)</w:t>
      </w:r>
      <w:r>
        <w:rPr>
          <w:noProof/>
        </w:rPr>
        <w:tab/>
        <w:t xml:space="preserve">Την κοινοποίηση των συμβάντων ασφάλειας των πληροφοριών στην αρμόδια αρχή που ορίζεται από το κράτος μέλος της Ένωσης στο οποίο είναι εγκατεστημένος ή εκπροσωπείται ο πάροχος υπηρεσιών υπό τους όρους του άρθρου 10 παράγραφος 2 της συμφωνίας-πλαισίου.  </w:t>
      </w:r>
    </w:p>
    <w:p>
      <w:pPr>
        <w:pStyle w:val="NumPar1"/>
        <w:rPr>
          <w:noProof/>
        </w:rPr>
      </w:pPr>
      <w:r>
        <w:rPr>
          <w:noProof/>
        </w:rPr>
        <w:t>Οι πρόσθετες εγγυήσεις για την προστασία των δικονομικών δικαιωμάτων, οι οποίες θα πρέπει να επανεξεταστούν υπό το πρίσμα του πεδίου εφαρμογής της συμφωνίας, θα πρέπει, μεταξύ άλλων, να περιλαμβάνουν:</w:t>
      </w:r>
    </w:p>
    <w:p>
      <w:pPr>
        <w:pStyle w:val="Point1"/>
        <w:rPr>
          <w:noProof/>
        </w:rPr>
      </w:pPr>
      <w:r>
        <w:rPr>
          <w:noProof/>
        </w:rPr>
        <w:t>α)</w:t>
      </w:r>
      <w:r>
        <w:rPr>
          <w:noProof/>
        </w:rPr>
        <w:tab/>
        <w:t xml:space="preserve">Κατάλληλες εγγυήσεις που να διασφαλίζουν ότι δεν θα είναι δυνατή η υποβολή αιτήματος για δεδομένα με σκοπό τη χρήση τους σε ποινική διαδικασία που ενδέχεται να οδηγήσει σε θανατική ποινή.  </w:t>
      </w:r>
    </w:p>
    <w:p>
      <w:pPr>
        <w:pStyle w:val="Point1"/>
        <w:rPr>
          <w:noProof/>
        </w:rPr>
      </w:pPr>
      <w:r>
        <w:rPr>
          <w:noProof/>
        </w:rPr>
        <w:t>β)</w:t>
      </w:r>
      <w:r>
        <w:rPr>
          <w:noProof/>
        </w:rPr>
        <w:tab/>
        <w:t>Κατάλληλους όρους για τη διασφάλιση της αναγκαιότητας και της αναλογικότητας των εντολών για πρόσβαση σε ηλεκτρονικά αποδεικτικά στοιχεία, ιδίως με τις αναγκαίες διαφοροποιήσεις μεταξύ των διαφόρων κατηγοριών δεδομένων.</w:t>
      </w:r>
    </w:p>
    <w:p>
      <w:pPr>
        <w:pStyle w:val="Point1"/>
        <w:rPr>
          <w:noProof/>
        </w:rPr>
      </w:pPr>
      <w:r>
        <w:rPr>
          <w:noProof/>
        </w:rPr>
        <w:t>γ)</w:t>
      </w:r>
      <w:r>
        <w:rPr>
          <w:noProof/>
        </w:rPr>
        <w:tab/>
        <w:t>Δικονομικές εγγυήσεις για τα φυσικά πρόσωπα τα οποία θα αφορά εντολή υποβολής δεδομένων στο πλαίσιο ποινικής διαδικασίας.</w:t>
      </w:r>
    </w:p>
    <w:p>
      <w:pPr>
        <w:pStyle w:val="Point1"/>
        <w:rPr>
          <w:noProof/>
        </w:rPr>
      </w:pPr>
      <w:r>
        <w:rPr>
          <w:noProof/>
        </w:rPr>
        <w:t>δ)</w:t>
      </w:r>
      <w:r>
        <w:rPr>
          <w:noProof/>
        </w:rPr>
        <w:tab/>
        <w:t>Ειδικές εγγυήσεις για τα δεδομένα που προστατεύονται από προνόμια και ασυλίες.</w:t>
      </w:r>
    </w:p>
    <w:p>
      <w:pPr>
        <w:pStyle w:val="Point1"/>
        <w:rPr>
          <w:noProof/>
        </w:rPr>
      </w:pPr>
      <w:r>
        <w:rPr>
          <w:noProof/>
        </w:rPr>
        <w:t>ε)</w:t>
      </w:r>
      <w:r>
        <w:rPr>
          <w:noProof/>
        </w:rPr>
        <w:tab/>
        <w:t>Εγγυήσεις τήρησης της εμπιστευτικότητας για τις αρχές και τους παρόχους υπηρεσιών, συμπεριλαμβανομένων απαιτήσεων τήρησης του απορρήτου.</w:t>
      </w:r>
    </w:p>
    <w:p>
      <w:pPr>
        <w:pStyle w:val="Heading1"/>
        <w:rPr>
          <w:noProof/>
        </w:rPr>
      </w:pPr>
      <w:r>
        <w:rPr>
          <w:noProof/>
        </w:rPr>
        <w:t>ΔΙΑΧΕΙΡΙΣΗ ΤΗΣ ΣΥΜΦΩΝΙΑΣ</w:t>
      </w:r>
    </w:p>
    <w:p>
      <w:pPr>
        <w:pStyle w:val="NumPar1"/>
        <w:rPr>
          <w:noProof/>
        </w:rPr>
      </w:pPr>
      <w:r>
        <w:rPr>
          <w:noProof/>
        </w:rPr>
        <w:t xml:space="preserve">Στη συμφωνία θα πρέπει να ορίζεται ότι τα μέρη θα επανεξετάζουν περιοδικά από κοινού την εφαρμογή της συμφωνίας και θα αναζητούν τρόπους εξασφάλισης της πλέον αποτελεσματικής χρήσης της. Για τον σκοπό αυτόν, αμφότερα τα μέρη θα πρέπει να συλλέγουν στατιστικά στοιχεία προς διευκόλυνση της διαδικασίας. </w:t>
      </w:r>
    </w:p>
    <w:p>
      <w:pPr>
        <w:pStyle w:val="NumPar1"/>
        <w:rPr>
          <w:noProof/>
        </w:rPr>
      </w:pPr>
      <w:r>
        <w:rPr>
          <w:noProof/>
        </w:rPr>
        <w:t xml:space="preserve">Η συμφωνία θα πρέπει να περιλαμβάνει διάταξη σχετικά με τη διάρκειά της. Το αν η συμφωνία θα πρέπει να είναι αορίστου ή ορισμένου χρόνου θα αξιολογηθεί με βάση τα αποτελέσματα της διαπραγμάτευσης. Σε κάθε περίπτωση, θα πρέπει να συμπεριληφθεί διάταξη που να επιβάλλει την επανεξέταση της συμφωνίας σε εύθετο χρόνο. </w:t>
      </w:r>
    </w:p>
    <w:p>
      <w:pPr>
        <w:pStyle w:val="NumPar1"/>
        <w:rPr>
          <w:noProof/>
        </w:rPr>
      </w:pPr>
      <w:r>
        <w:rPr>
          <w:noProof/>
        </w:rPr>
        <w:t xml:space="preserve">Η συμφωνία θα πρέπει να ορίζει ότι τα μέρη θα πρέπει να διαβουλεύονται μεταξύ τους προκειμένου να διευκολύνουν την επίλυση οποιασδήποτε διαφοράς σχετικά με την ερμηνεία ή την εφαρμογή της συμφωνίας. </w:t>
      </w:r>
    </w:p>
    <w:p>
      <w:pPr>
        <w:pStyle w:val="NumPar1"/>
        <w:rPr>
          <w:noProof/>
        </w:rPr>
      </w:pPr>
      <w:r>
        <w:rPr>
          <w:noProof/>
        </w:rPr>
        <w:t>Η συμφωνία θα πρέπει να προβλέπει τη δυνατότητα αναστολής της εφαρμογής και καταγγελίας της συμφωνίας από οποιοδήποτε από τα μέρη στην περίπτωση που δεν καταστεί δυνατόν να επιλυθεί η διαφορά στο πλαίσιο της προαναφερόμενης διαδικασίας διαβούλευσης.</w:t>
      </w:r>
    </w:p>
    <w:p>
      <w:pPr>
        <w:pStyle w:val="NumPar1"/>
        <w:rPr>
          <w:noProof/>
        </w:rPr>
      </w:pPr>
      <w:r>
        <w:rPr>
          <w:noProof/>
        </w:rPr>
        <w:t xml:space="preserve">Η συμφωνία θα πρέπει να περιλαμβάνει διάταξη σχετικά με την εδαφική εφαρμογή της. </w:t>
      </w:r>
    </w:p>
    <w:p>
      <w:pPr>
        <w:pStyle w:val="NumPar1"/>
        <w:rPr>
          <w:noProof/>
        </w:rPr>
      </w:pPr>
      <w:r>
        <w:rPr>
          <w:noProof/>
        </w:rPr>
        <w:t xml:space="preserve">Το κείμενο της συμφωνίας θα είναι εξίσου αυθεντικό σε όλες τις επίσημες γλώσσες της Ένωσης.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8E69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00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2096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7EBB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A02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C1A48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84E40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5CF4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displayBackgroundShap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7:52: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90BC0CE5-D7D8-4A8B-A533-73394B476DC1"/>
    <w:docVar w:name="LW_COVERPAGE_TYPE" w:val="1"/>
    <w:docVar w:name="LW_CROSSREFERENCE" w:val="&lt;UNUSED&gt;"/>
    <w:docVar w:name="LW_DocType" w:val="ANNEX"/>
    <w:docVar w:name="LW_EMISSION" w:val="5.2.2019"/>
    <w:docVar w:name="LW_EMISSION_ISODATE" w:val="2019-02-05"/>
    <w:docVar w:name="LW_EMISSION_LOCATION" w:val="BRX"/>
    <w:docVar w:name="LW_EMISSION_PREFIX" w:val="Βρυξέλλες, "/>
    <w:docVar w:name="LW_EMISSION_SUFFIX" w:val="&lt;EMPTY&gt;"/>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0?\u959?\u965? \u949?\u947?\u954?\u961?\u943?\u957?\u949?\u953? \u964?\u951?\u957? \u941?\u957?\u945?\u961?\u958?\u951? \u948?\u953?\u945?\u960?\u961?\u945?\u947?\u956?\u945?\u964?\u949?\u973?\u963?\u949?\u969?\u957? \u956?\u949? \u963?\u954?\u959?\u960?\u972? \u964?\u951? \u963?\u973?\u957?\u945?\u968?\u951? \u963?\u965?\u956?\u966?\u969?\u957?\u943?\u945?\u962? \u956?\u949?\u964?\u945?\u958?\u973? \u964?\u951?\u962? \u917?\u965?\u961?\u969?\u960?\u945?\u970?\u954?\u942?\u962? \u904?\u957?\u969?\u963?\u951?\u962? \u954?\u945?\u953? \u964?\u969?\u957? \u919?\u957?\u969?\u956?\u941?\u957?\u969?\u957? \u928?\u959?\u955?\u953?\u964?\u949?\u953?\u974?\u957? \u964?\u951?\u962? \u913?\u956?\u949?\u961?\u953?\u954?\u942?\u962? \u963?\u967?\u949?\u964?\u953?\u954?\u940? \u956?\u949? \u964?\u951? \u948?\u953?\u945?\u963?\u965?\u957?\u959?\u961?\u953?\u945?\u954?\u942? \u960?\u961?\u972?\u963?\u946?\u945?\u963?\u951? \u963?\u949? \u951?\u955?\u949?\u954?\u964?\u961?\u959?\u957?\u953?\u954?\u940? \u945?\u960?\u959?\u948?\u949?\u953?\u954?\u964?\u953?\u954?\u940? \u963?\u964?\u959?\u953?\u967?\u949?\u943?\u945? \u963?\u964?\u959? \u960?\u955?\u945?\u943?\u963?\u953?\u959? \u964?\u951?\u962? \u948?\u953?\u954?\u945?\u963?\u964?\u953?\u954?\u942?\u962? \u963?\u965?\u957?\u949?\u961?\u947?\u945?\u963?\u943?\u945?\u962? \u963?\u949? \u960?\u959?\u953?\u957?\u953?\u954?\u941?\u962? \u965?\u960?\u959?\u952?\u941?\u963?\u949?\u953?\u962?"/>
    <w:docVar w:name="LW_OBJETACTEPRINCIPAL.CP" w:val="\u960?\u959?\u965? \u949?\u947?\u954?\u961?\u943?\u957?\u949?\u953? \u964?\u951?\u957? \u941?\u957?\u945?\u961?\u958?\u951? \u948?\u953?\u945?\u960?\u961?\u945?\u947?\u956?\u945?\u964?\u949?\u973?\u963?\u949?\u969?\u957? \u956?\u949? \u963?\u954?\u959?\u960?\u972? \u964?\u951? \u963?\u973?\u957?\u945?\u968?\u951? \u963?\u965?\u956?\u966?\u969?\u957?\u943?\u945?\u962? \u956?\u949?\u964?\u945?\u958?\u973? \u964?\u951?\u962? \u917?\u965?\u961?\u969?\u960?\u945?\u970?\u954?\u942?\u962? \u904?\u957?\u969?\u963?\u951?\u962? \u954?\u945?\u953? \u964?\u969?\u957? \u919?\u957?\u969?\u956?\u941?\u957?\u969?\u957? \u928?\u959?\u955?\u953?\u964?\u949?\u953?\u974?\u957? \u964?\u951?\u962? \u913?\u956?\u949?\u961?\u953?\u954?\u942?\u962? \u963?\u967?\u949?\u964?\u953?\u954?\u940? \u956?\u949? \u964?\u951? \u948?\u953?\u945?\u963?\u965?\u957?\u959?\u961?\u953?\u945?\u954?\u942? \u960?\u961?\u972?\u963?\u946?\u945?\u963?\u951? \u963?\u949? \u951?\u955?\u949?\u954?\u964?\u961?\u959?\u957?\u953?\u954?\u940? \u945?\u960?\u959?\u948?\u949?\u953?\u954?\u964?\u953?\u954?\u940? \u963?\u964?\u959?\u953?\u967?\u949?\u943?\u945? \u963?\u964?\u959? \u960?\u955?\u945?\u943?\u963?\u953?\u959? \u964?\u951?\u962? \u948?\u953?\u954?\u945?\u963?\u964?\u953?\u954?\u942?\u962? \u963?\u965?\u957?\u949?\u961?\u947?\u945?\u963?\u943?\u945?\u962? \u963?\u949? \u960?\u959?\u953?\u957?\u953?\u954?\u941?\u962? \u965?\u960?\u959?\u952?\u941?\u963?\u949?\u953?\u962?"/>
    <w:docVar w:name="LW_PART_NBR" w:val="1"/>
    <w:docVar w:name="LW_PART_NBR_TOTAL" w:val="1"/>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3?\u973?\u963?\u964?\u945?\u963?\u951?\u962? \u947?\u953?\u945? \u913?\u928?\u927?\u934?\u913?\u931?\u919? \u932?\u927?\u933? \u931?\u933?\u924?\u914?\u927?\u933?\u923?\u921?\u927?\u933?"/>
    <w:docVar w:name="LW_TYPEACTEPRINCIPAL.CP" w:val="\u963?\u973?\u963?\u964?\u945?\u963?\u951?\u962? \u947?\u953?\u945?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C7045C-10B0-4E0C-A00D-D41B9F40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5</Pages>
  <Words>1485</Words>
  <Characters>8529</Characters>
  <Application>Microsoft Office Word</Application>
  <DocSecurity>0</DocSecurity>
  <Lines>157</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Tjabbe (HOME)</dc:creator>
  <cp:lastModifiedBy>WES PDFC Administrator</cp:lastModifiedBy>
  <cp:revision>10</cp:revision>
  <dcterms:created xsi:type="dcterms:W3CDTF">2019-02-04T08:12:00Z</dcterms:created>
  <dcterms:modified xsi:type="dcterms:W3CDTF">2019-02-07T16:52:00Z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