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6541CCA9-598C-4C0F-BA63-1C5A7671F5C2" style="width:450.35pt;height:410.9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noProof/>
        </w:rPr>
      </w:pPr>
      <w:r>
        <w:rPr>
          <w:noProof/>
        </w:rPr>
        <w:t>ZAŁĄCZNIK</w:t>
      </w:r>
    </w:p>
    <w:p>
      <w:pPr>
        <w:rPr>
          <w:noProof/>
        </w:rPr>
      </w:pPr>
    </w:p>
    <w:p>
      <w:pPr>
        <w:pStyle w:val="Heading1"/>
        <w:numPr>
          <w:ilvl w:val="0"/>
          <w:numId w:val="1"/>
        </w:numPr>
        <w:rPr>
          <w:noProof/>
        </w:rPr>
      </w:pPr>
      <w:r>
        <w:rPr>
          <w:noProof/>
        </w:rPr>
        <w:t xml:space="preserve">CELE </w:t>
      </w:r>
    </w:p>
    <w:p>
      <w:pPr>
        <w:rPr>
          <w:noProof/>
        </w:rPr>
      </w:pPr>
      <w:r>
        <w:rPr>
          <w:noProof/>
        </w:rPr>
        <w:t>W trakcie negocjacji Komisja powinna dążyć do osiągnięcia określonych celów, które zostały przedstawione szczegółowo poniżej, jednocześnie zapewniając, aby rezultat negocjacji były zgodny z wewnętrznymi przepisami Unii dotyczącymi dowodów elektronicznych, w tym ze zmianami wprowadzanymi do nich przez unijnych współprawodawców w ramach procedury ustawodawczej oraz z ich ostatecznym kształtem, w którym zostaną przyjęte. Wspomniane wewnętrzne przepisy posłużą jako podstawa stanowiska negocjacyjnego Unii.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Ustanowienie wspólnych zasad i zapobieganie kolizji przepisów w przypadku nakazów wydania dowodów elektronicznych w formie danych dotyczących i niedotyczących treści, wydanych przez organy sądowe jednej z umawiających się stron, skierowanych do dostawców usług, którzy podlegają przepisom drugiej umawiającej się strony. Powinno to ograniczyć ryzyko rozdrobnienia praktyk i przepisów prawa oraz zwiększyć pewność prawa między Unią a Stanami Zjednoczonymi Ameryki w trakcie pozyskiwania dowodów elektronicznych w ramach postępowania karnego.</w:t>
      </w:r>
    </w:p>
    <w:p>
      <w:pPr>
        <w:pStyle w:val="NumPar1"/>
        <w:rPr>
          <w:noProof/>
        </w:rPr>
      </w:pPr>
      <w:r>
        <w:rPr>
          <w:noProof/>
        </w:rPr>
        <w:t>Umożliwienie przekazywania dowodów elektronicznych na zasadzie wzajemności bezpośrednio przez dostawcę usług organowi występującemu z wnioskiem, jak określono w pkt 1.</w:t>
      </w:r>
    </w:p>
    <w:p>
      <w:pPr>
        <w:pStyle w:val="NumPar1"/>
        <w:rPr>
          <w:noProof/>
        </w:rPr>
      </w:pPr>
      <w:r>
        <w:rPr>
          <w:noProof/>
        </w:rPr>
        <w:t>Zapewnienie poszanowania praw podstawowych, wolności i ogólnych zasad prawa Unii przewidzianych w Traktatach Unii Europejskiej i Karcie praw podstawowych Unii Europejskiej, w tym zasady proporcjonalności, praw procesowych, domniemania niewinności i praw do obrony w odniesieniu do osób objętych postępowaniem karnym, jak również prywatności oraz ochrony danych osobowych i danych z łączności elektronicznej podczas przetwarzania tych danych, w tym przekazywania danych organom ścigania w państwach trzecich, jak również wszelkich obowiązków spoczywających na organach ścigania i organach wymiaru sprawiedliwości w tym zakresie.</w:t>
      </w:r>
    </w:p>
    <w:p>
      <w:pPr>
        <w:rPr>
          <w:noProof/>
        </w:rPr>
      </w:pPr>
      <w:r>
        <w:rPr>
          <w:noProof/>
        </w:rPr>
        <w:t>Aby osiągnąć cele określone w części 1, w porozumieniu należy uwzględnić w szczególności następujące kwestie:</w:t>
      </w:r>
    </w:p>
    <w:p>
      <w:pPr>
        <w:pStyle w:val="Heading1"/>
        <w:rPr>
          <w:noProof/>
        </w:rPr>
      </w:pPr>
      <w:r>
        <w:rPr>
          <w:noProof/>
        </w:rPr>
        <w:t>CHARAKTER I ZAKRES POROZUMIENIA</w:t>
      </w:r>
    </w:p>
    <w:p>
      <w:pPr>
        <w:pStyle w:val="NumPar1"/>
        <w:rPr>
          <w:noProof/>
        </w:rPr>
      </w:pPr>
      <w:r>
        <w:rPr>
          <w:noProof/>
        </w:rPr>
        <w:t xml:space="preserve">Porozumienie powinno mieć zastosowanie do postępowań karnych, co obejmuje zarówno etap postępowania przygotowawczego, jak i etap procesu. </w:t>
      </w:r>
    </w:p>
    <w:p>
      <w:pPr>
        <w:pStyle w:val="NumPar1"/>
        <w:rPr>
          <w:noProof/>
        </w:rPr>
      </w:pPr>
      <w:r>
        <w:rPr>
          <w:noProof/>
        </w:rPr>
        <w:t>W ramach porozumienia należy ustanowić wzajemne prawa i obowiązki stron porozumienia.</w:t>
      </w:r>
    </w:p>
    <w:p>
      <w:pPr>
        <w:pStyle w:val="NumPar1"/>
        <w:rPr>
          <w:noProof/>
        </w:rPr>
      </w:pPr>
      <w:r>
        <w:rPr>
          <w:noProof/>
        </w:rPr>
        <w:t>W porozumieniu należy określić definicje i rodzaje danych, które mają wejść w zakres porozumienia, w tym zarówno dane dotyczące treści, jak i dane niedotyczące treści.</w:t>
      </w:r>
    </w:p>
    <w:p>
      <w:pPr>
        <w:pStyle w:val="NumPar1"/>
        <w:rPr>
          <w:noProof/>
        </w:rPr>
      </w:pPr>
      <w:r>
        <w:rPr>
          <w:noProof/>
        </w:rPr>
        <w:t>W porozumieniu należy określić dokładny zakres jego stosowania pod względem czynów zabronionych objętych porozumieniem oraz progów wysokości kar.</w:t>
      </w:r>
    </w:p>
    <w:p>
      <w:pPr>
        <w:pStyle w:val="NumPar1"/>
        <w:rPr>
          <w:noProof/>
        </w:rPr>
      </w:pPr>
      <w:r>
        <w:rPr>
          <w:noProof/>
        </w:rPr>
        <w:t xml:space="preserve">W porozumieniu należy określić warunki, które należy spełnić, aby organ sądowy mógł wydać nakaz, oraz sposoby doręczenia nakazu. </w:t>
      </w:r>
    </w:p>
    <w:p>
      <w:pPr>
        <w:pStyle w:val="NumPar1"/>
        <w:rPr>
          <w:noProof/>
        </w:rPr>
      </w:pPr>
      <w:r>
        <w:rPr>
          <w:noProof/>
        </w:rPr>
        <w:t xml:space="preserve">Porozumienie powinno zawierać klauzulę, która umożliwi osobom, których danych dotyczą, dostęp do skutecznych środków zaskarżenia w postępowaniu karnym. W porozumieniu należy również określić okoliczności, w których dostawca usług ma prawo do sprzeciwu wobec nakazu. </w:t>
      </w:r>
    </w:p>
    <w:p>
      <w:pPr>
        <w:pStyle w:val="NumPar1"/>
        <w:rPr>
          <w:noProof/>
        </w:rPr>
      </w:pPr>
      <w:r>
        <w:rPr>
          <w:noProof/>
        </w:rPr>
        <w:t xml:space="preserve">W porozumieniu należy określić termin dostarczenia danych, których dotyczy nakaz. </w:t>
      </w:r>
    </w:p>
    <w:p>
      <w:pPr>
        <w:pStyle w:val="NumPar1"/>
        <w:rPr>
          <w:noProof/>
        </w:rPr>
      </w:pPr>
      <w:r>
        <w:rPr>
          <w:noProof/>
        </w:rPr>
        <w:t xml:space="preserve">Porozumienie nie powinno mieć wpływu na postanowienia innych obowiązujących porozumień międzynarodowych dotyczących współpracy wymiarów sprawiedliwości w sprawach karnych między organami, takich jak Porozumienie pomiędzy UE a USA o wzajemnej pomocy prawnej. </w:t>
      </w:r>
    </w:p>
    <w:p>
      <w:pPr>
        <w:pStyle w:val="NumPar1"/>
        <w:rPr>
          <w:noProof/>
        </w:rPr>
      </w:pPr>
      <w:r>
        <w:rPr>
          <w:noProof/>
        </w:rPr>
        <w:t>W ramach stosunków dwustronnych między Unią a Stanami Zjednoczonymi porozumienie powinno mieć pierwszeństwo przed Konwencją Rady Europy o cyberprzestępczości oraz przed wszelkimi porozumieniami lub ustaleniami dokonanymi w trakcie negocjacji drugiego protokołu dodatkowego do Konwencji Rady Europy o cyberprzestępczości w zakresie, w jakim postanowienia wspomnianych porozumień lub ustaleń obejmują kwestie, których dotyczy przedmiotowe porozumienie.</w:t>
      </w:r>
    </w:p>
    <w:p>
      <w:pPr>
        <w:pStyle w:val="Heading1"/>
        <w:rPr>
          <w:noProof/>
        </w:rPr>
      </w:pPr>
      <w:r>
        <w:rPr>
          <w:noProof/>
        </w:rPr>
        <w:t>ZABEZPIECZENIA</w:t>
      </w:r>
    </w:p>
    <w:p>
      <w:pPr>
        <w:pStyle w:val="NumPar1"/>
        <w:rPr>
          <w:noProof/>
        </w:rPr>
      </w:pPr>
      <w:r>
        <w:rPr>
          <w:noProof/>
        </w:rPr>
        <w:t>Porozumienie powinno mieć charakter wzajemny pod względem kategorii osób, o których dane nie można występować na podstawie porozumienia. Porozumienie nie powinno wprowadzać rozróżnienia między osobami z różnych państw członkowskich.</w:t>
      </w:r>
    </w:p>
    <w:p>
      <w:pPr>
        <w:pStyle w:val="NumPar1"/>
        <w:rPr>
          <w:noProof/>
        </w:rPr>
      </w:pPr>
      <w:r>
        <w:rPr>
          <w:noProof/>
        </w:rPr>
        <w:t xml:space="preserve">Porozumienie powinno przyczynić się, w drodze odniesienia, do stosowania Umowy między UE a USA w sprawie ochrony danych i prywatności, zwanej również „umową ramową”, która weszła w życie w dniu 1 lutego 2017 r. </w:t>
      </w:r>
    </w:p>
    <w:p>
      <w:pPr>
        <w:pStyle w:val="NumPar1"/>
        <w:rPr>
          <w:noProof/>
        </w:rPr>
      </w:pPr>
      <w:r>
        <w:rPr>
          <w:noProof/>
        </w:rPr>
        <w:t xml:space="preserve">Porozumienie powinno uzupełnić umowę ramową dodatkowymi zabezpieczeniami, które uwzględnią poziom wrażliwości poszczególnych kategorii przedmiotowych danych oraz unikalne wymagania dotyczące przekazywania dowodów elektronicznych bezpośrednio przez dostawców usług, a nie między organami. </w:t>
      </w:r>
    </w:p>
    <w:p>
      <w:pPr>
        <w:pStyle w:val="NumPar1"/>
        <w:rPr>
          <w:noProof/>
        </w:rPr>
      </w:pPr>
      <w:r>
        <w:rPr>
          <w:noProof/>
        </w:rPr>
        <w:t>Dodatkowe zabezpieczenia prywatności i ochrony danych, które mogą ulec zmianie w zależności od zakresu porozumienia, powinny obejmować między innymi: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określenie celów, dla których można się o dane osobowe i dane z łączności elektronicznej zwracać i je przekazywać;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wymóg ograniczenia zakresu nakazu do danych osobowych i danych z łączności elektronicznej, które są niezbędne i proporcjonalne w odniesieniu do celów, dla których te dane mają zostać udostępnione; 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wymóg, zgodnie z którym wykorzystanie danych przez pozostałe organy amerykańskie, których nie obowiązuje umowa ramowa, oraz ujawnianie im tych danych, wymaga powiadomienia i uprzedniej zgody właściwego organu sądowego wyznaczonego w państwie członkowskim, w którym dostawca usług ma siedzibę lub przedstawicielstwo, i może mieć miejsce tylko pod warunkiem, że po stronie organu odbierającego zagwarantowano skuteczną ochronę danych osobowych i danych z łączności elektronicznej, zgodną z postanowieniami porozumienia. Rozważając wydanie takiej uprzedniej zgody, właściwy organ sądowy powinien należycie uwzględnić wszystkie istotne czynniki, w tym wagę popełnionego przestępstwa i pierwotny cel przekazania danych;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 xml:space="preserve">wymóg, zgodnie z którym dalsze przekazywanie danych państwom trzecim może mieć miejsce tylko jeżeli adresatem są organy ścigania odpowiedzialne za zapobieganie przestępczości, w tym terroryzmowi, prowadzenie dochodzeń w tym zakresie, wykrywanie lub ściganie przestępstw, oraz powinno wymagać zgłoszenia i uprzedniej zgody właściwego organu sądowego wyznaczonego w państwie członkowskim, w którym dostawca usług ma siedzibę lub przedstawicielstwo. Rozważając wydanie takiej uprzedniej zgody, właściwy organ sądowy powinien należycie uwzględnić wszystkie czynniki przewidziane w art. 7 ust. 2 umowy ramowej; 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 xml:space="preserve">w porozumieniu można uwzględnić wyjątkowe okoliczności i zabezpieczenia wymagane w sytuacji, gdy dalsze przekazywanie może się odbyć bez uprzedniej zgody – w razie poważnego i bezpośredniego zagrożenia dla bezpieczeństwa publicznego państwa członkowskiego lub państwa trzeciego; 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zgłaszanie incydentów związanych z bezpieczeństwem informacji właściwemu organowi wyznaczonemu przez państwo członkowskie, w którym dostawca usług ma siedzibę lub przedstawicielstwo, zgodnie z warunkami określonym w art. 10 ust. 2 umowy ramowej.</w:t>
      </w:r>
    </w:p>
    <w:p>
      <w:pPr>
        <w:pStyle w:val="NumPar1"/>
        <w:rPr>
          <w:noProof/>
        </w:rPr>
      </w:pPr>
      <w:r>
        <w:rPr>
          <w:noProof/>
        </w:rPr>
        <w:t>Dodatkowe zabezpieczenia praw procesowych, które mogą ulec zmianie w zależności od zakresu porozumienia, powinny obejmować między innymi: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stosowne zabezpieczenia służące zapewnieniu, aby nie można było się zwracać się o dane w celu wykorzystania w postępowaniu karnym, które może prowadzić do kary śmierci;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odpowiednie warunki służące zagwarantowaniu konieczności i proporcjonalności nakazów w sprawie udostępnienia dowodów elektronicznych, w szczególności z rozróżnieniem, w stosownych przypadkach, na poszczególne kategorie danych;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gwarancje proceduralne dotyczące osób fizycznych podlegających nakazowi w sprawie przekazania danych w ramach postępowania karnego;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szczególne zabezpieczenia dotyczące danych, które są chronione przez przywileje i immunitety;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zabezpieczenia poufności w przypadku organów i dostawców usług, w tym wymogi dotyczące nieujawniania informacji.</w:t>
      </w:r>
    </w:p>
    <w:p>
      <w:pPr>
        <w:pStyle w:val="Heading1"/>
        <w:rPr>
          <w:noProof/>
        </w:rPr>
      </w:pPr>
      <w:r>
        <w:rPr>
          <w:noProof/>
        </w:rPr>
        <w:t>ZARZĄDZANIE POROZUMIENIEM</w:t>
      </w:r>
    </w:p>
    <w:p>
      <w:pPr>
        <w:pStyle w:val="NumPar1"/>
        <w:rPr>
          <w:noProof/>
        </w:rPr>
      </w:pPr>
      <w:r>
        <w:rPr>
          <w:noProof/>
        </w:rPr>
        <w:t xml:space="preserve">Porozumienie powinno stanowić, że strony powinny dokonywać okresowych wspólnych przeglądów stosowania porozumienia i badać, jak można je najlepiej wykorzystać. Aby ułatwić ten proces, obie strony powinny gromadzić dane statystyczne. </w:t>
      </w:r>
    </w:p>
    <w:p>
      <w:pPr>
        <w:pStyle w:val="NumPar1"/>
        <w:rPr>
          <w:noProof/>
        </w:rPr>
      </w:pPr>
      <w:r>
        <w:rPr>
          <w:noProof/>
        </w:rPr>
        <w:t xml:space="preserve">Porozumienie powinno zawierać klauzulę dotyczącą okresu jego obowiązywania. Kwestia, czy porozumienie ma obowiązywać przez czas nieokreślony lub określony, zostanie oceniona na podstawie wyników negocjacji. W obu przypadkach należy uwzględnić przepis nakazujący dokonanie przeglądu porozumienia w odpowiednim czasie. </w:t>
      </w:r>
    </w:p>
    <w:p>
      <w:pPr>
        <w:pStyle w:val="NumPar1"/>
        <w:rPr>
          <w:noProof/>
        </w:rPr>
      </w:pPr>
      <w:r>
        <w:rPr>
          <w:noProof/>
        </w:rPr>
        <w:t xml:space="preserve">Porozumienie powinno stanowić, że strony powinny konsultować się ze sobą nawzajem, aby ułatwić rozwiązywanie wszelkich sporów dotyczących interpretacji lub stosowania porozumienia. </w:t>
      </w:r>
    </w:p>
    <w:p>
      <w:pPr>
        <w:pStyle w:val="NumPar1"/>
        <w:rPr>
          <w:noProof/>
        </w:rPr>
      </w:pPr>
      <w:r>
        <w:rPr>
          <w:noProof/>
        </w:rPr>
        <w:t>Porozumienie powinno przewidywać możliwość zawieszenia i rozwiązania porozumienia przez dowolną ze stron, jeżeli wspomniana powyżej procedura konsultacji nie doprowadzi do rozstrzygnięcia sporu.</w:t>
      </w:r>
    </w:p>
    <w:p>
      <w:pPr>
        <w:pStyle w:val="NumPar1"/>
        <w:rPr>
          <w:noProof/>
        </w:rPr>
      </w:pPr>
      <w:r>
        <w:rPr>
          <w:noProof/>
        </w:rPr>
        <w:t xml:space="preserve">Porozumienie powinno zawierać klauzulę dotyczącą terytorialnego stosowania. </w:t>
      </w:r>
    </w:p>
    <w:p>
      <w:pPr>
        <w:pStyle w:val="NumPar1"/>
        <w:rPr>
          <w:noProof/>
        </w:rPr>
      </w:pPr>
      <w:r>
        <w:rPr>
          <w:noProof/>
        </w:rPr>
        <w:t xml:space="preserve">Porozumienie będzie jednakowo autentyczne we wszystkich językach urzędowych Unii. 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38E69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DD008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62096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7EBB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F9A02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C1A48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84E4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5CF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8"/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19"/>
  </w:num>
  <w:num w:numId="32">
    <w:abstractNumId w:val="8"/>
  </w:num>
  <w:num w:numId="33">
    <w:abstractNumId w:val="14"/>
  </w:num>
  <w:num w:numId="34">
    <w:abstractNumId w:val="16"/>
  </w:num>
  <w:num w:numId="35">
    <w:abstractNumId w:val="17"/>
  </w:num>
  <w:num w:numId="36">
    <w:abstractNumId w:val="10"/>
  </w:num>
  <w:num w:numId="37">
    <w:abstractNumId w:val="15"/>
  </w:num>
  <w:num w:numId="3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7 17:50:4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6541CCA9-598C-4C0F-BA63-1C5A7671F5C2"/>
    <w:docVar w:name="LW_COVERPAGE_TYPE" w:val="1"/>
    <w:docVar w:name="LW_CROSSREFERENCE" w:val="&lt;UNUSED&gt;"/>
    <w:docVar w:name="LW_DocType" w:val="ANNEX"/>
    <w:docVar w:name="LW_EMISSION" w:val="5.2.2019"/>
    <w:docVar w:name="LW_EMISSION_ISODATE" w:val="2019-02-05"/>
    <w:docVar w:name="LW_EMISSION_LOCATION" w:val="BRX"/>
    <w:docVar w:name="LW_EMISSION_PREFIX" w:val="Bruksela, dnia "/>
    <w:docVar w:name="LW_EMISSION_SUFFIX" w:val="&lt;EMPTY&gt;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upowa\u380?niaj\u261?cej do rozpocz\u281?cia negocjacji w celu zawarcia porozumienia mi\u281?dzy Uni\u261? Europejsk\u261? a Stanami Zjednoczonymi Ameryki w sprawie transgranicznego dost\u281?pu do dowodów elektronicznych na potrzeby wspó\u322?pracy wymiarów sprawiedliwo\u347?ci w sprawach karnych"/>
    <w:docVar w:name="LW_OBJETACTEPRINCIPAL.CP" w:val="upowa\u380?niaj\u261?cej do rozpocz\u281?cia negocjacji w celu zawarcia porozumienia mi\u281?dzy Uni\u261? Europejsk\u261? a Stanami Zjednoczonymi Ameryki w sprawie transgranicznego dost\u281?pu do dowodów elektronicznych na potrzeby wspó\u322?pracy wymiarów sprawiedliwo\u347?ci w sprawach karnych"/>
    <w:docVar w:name="LW_PART_NBR" w:val="1"/>
    <w:docVar w:name="LW_PART_NBR_TOTAL" w:val="1"/>
    <w:docVar w:name="LW_REF.INST.NEW" w:val="COM"/>
    <w:docVar w:name="LW_REF.INST.NEW_ADOPTED" w:val="final"/>
    <w:docVar w:name="LW_REF.INST.NEW_TEXT" w:val="(2019) 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zalecenia dotycz\u261?cego DECYZJI RADY"/>
    <w:docVar w:name="LW_TYPEACTEPRINCIPAL.CP" w:val="zalecenia dotycz\u261?cego 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1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1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1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5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7"/>
      </w:numPr>
    </w:pPr>
  </w:style>
  <w:style w:type="paragraph" w:customStyle="1" w:styleId="Tiret3">
    <w:name w:val="Tiret 3"/>
    <w:basedOn w:val="Point3"/>
    <w:pPr>
      <w:numPr>
        <w:numId w:val="28"/>
      </w:numPr>
    </w:pPr>
  </w:style>
  <w:style w:type="paragraph" w:customStyle="1" w:styleId="Tiret4">
    <w:name w:val="Tiret 4"/>
    <w:basedOn w:val="Point4"/>
    <w:pPr>
      <w:numPr>
        <w:numId w:val="29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0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0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0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0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2"/>
      </w:numPr>
    </w:pPr>
  </w:style>
  <w:style w:type="paragraph" w:customStyle="1" w:styleId="Point1number">
    <w:name w:val="Point 1 (number)"/>
    <w:basedOn w:val="Normal"/>
    <w:pPr>
      <w:numPr>
        <w:ilvl w:val="2"/>
        <w:numId w:val="32"/>
      </w:numPr>
    </w:pPr>
  </w:style>
  <w:style w:type="paragraph" w:customStyle="1" w:styleId="Point2number">
    <w:name w:val="Point 2 (number)"/>
    <w:basedOn w:val="Normal"/>
    <w:pPr>
      <w:numPr>
        <w:ilvl w:val="4"/>
        <w:numId w:val="32"/>
      </w:numPr>
    </w:pPr>
  </w:style>
  <w:style w:type="paragraph" w:customStyle="1" w:styleId="Point3number">
    <w:name w:val="Point 3 (number)"/>
    <w:basedOn w:val="Normal"/>
    <w:pPr>
      <w:numPr>
        <w:ilvl w:val="6"/>
        <w:numId w:val="32"/>
      </w:numPr>
    </w:pPr>
  </w:style>
  <w:style w:type="paragraph" w:customStyle="1" w:styleId="Point0letter">
    <w:name w:val="Point 0 (letter)"/>
    <w:basedOn w:val="Normal"/>
    <w:pPr>
      <w:numPr>
        <w:ilvl w:val="1"/>
        <w:numId w:val="32"/>
      </w:numPr>
    </w:pPr>
  </w:style>
  <w:style w:type="paragraph" w:customStyle="1" w:styleId="Point1letter">
    <w:name w:val="Point 1 (letter)"/>
    <w:basedOn w:val="Normal"/>
    <w:pPr>
      <w:numPr>
        <w:ilvl w:val="3"/>
        <w:numId w:val="32"/>
      </w:numPr>
    </w:pPr>
  </w:style>
  <w:style w:type="paragraph" w:customStyle="1" w:styleId="Point2letter">
    <w:name w:val="Point 2 (letter)"/>
    <w:basedOn w:val="Normal"/>
    <w:pPr>
      <w:numPr>
        <w:ilvl w:val="5"/>
        <w:numId w:val="32"/>
      </w:numPr>
    </w:pPr>
  </w:style>
  <w:style w:type="paragraph" w:customStyle="1" w:styleId="Point3letter">
    <w:name w:val="Point 3 (letter)"/>
    <w:basedOn w:val="Normal"/>
    <w:pPr>
      <w:numPr>
        <w:ilvl w:val="7"/>
        <w:numId w:val="32"/>
      </w:numPr>
    </w:pPr>
  </w:style>
  <w:style w:type="paragraph" w:customStyle="1" w:styleId="Point4letter">
    <w:name w:val="Point 4 (letter)"/>
    <w:basedOn w:val="Normal"/>
    <w:pPr>
      <w:numPr>
        <w:ilvl w:val="8"/>
        <w:numId w:val="32"/>
      </w:numPr>
    </w:pPr>
  </w:style>
  <w:style w:type="paragraph" w:customStyle="1" w:styleId="Bullet0">
    <w:name w:val="Bullet 0"/>
    <w:basedOn w:val="Normal"/>
    <w:pPr>
      <w:numPr>
        <w:numId w:val="33"/>
      </w:numPr>
    </w:pPr>
  </w:style>
  <w:style w:type="paragraph" w:customStyle="1" w:styleId="Bullet1">
    <w:name w:val="Bullet 1"/>
    <w:basedOn w:val="Normal"/>
    <w:pPr>
      <w:numPr>
        <w:numId w:val="34"/>
      </w:numPr>
    </w:pPr>
  </w:style>
  <w:style w:type="paragraph" w:customStyle="1" w:styleId="Bullet2">
    <w:name w:val="Bullet 2"/>
    <w:basedOn w:val="Normal"/>
    <w:pPr>
      <w:numPr>
        <w:numId w:val="35"/>
      </w:numPr>
    </w:pPr>
  </w:style>
  <w:style w:type="paragraph" w:customStyle="1" w:styleId="Bullet3">
    <w:name w:val="Bullet 3"/>
    <w:basedOn w:val="Normal"/>
    <w:pPr>
      <w:numPr>
        <w:numId w:val="36"/>
      </w:numPr>
    </w:pPr>
  </w:style>
  <w:style w:type="paragraph" w:customStyle="1" w:styleId="Bullet4">
    <w:name w:val="Bullet 4"/>
    <w:basedOn w:val="Normal"/>
    <w:pPr>
      <w:numPr>
        <w:numId w:val="37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8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4F6C20-E3B6-49A7-A9BB-651729F0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1120</Words>
  <Characters>7698</Characters>
  <Application>Microsoft Office Word</Application>
  <DocSecurity>0</DocSecurity>
  <Lines>142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Tjabbe (HOME)</dc:creator>
  <cp:lastModifiedBy>WES PDFC Administrator</cp:lastModifiedBy>
  <cp:revision>10</cp:revision>
  <dcterms:created xsi:type="dcterms:W3CDTF">2019-02-06T13:05:00Z</dcterms:created>
  <dcterms:modified xsi:type="dcterms:W3CDTF">2019-02-07T16:50:00Z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