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4504253-1625-4CE6-9D17-573E76DEA730"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KOHDE</w:t>
      </w:r>
    </w:p>
    <w:p>
      <w:pPr>
        <w:pStyle w:val="ManualHeading1"/>
        <w:ind w:left="0" w:firstLine="0"/>
        <w:rPr>
          <w:b w:val="0"/>
          <w:smallCaps w:val="0"/>
          <w:noProof/>
        </w:rPr>
      </w:pPr>
      <w:r>
        <w:rPr>
          <w:b w:val="0"/>
          <w:smallCaps w:val="0"/>
          <w:noProof/>
        </w:rPr>
        <w:t>Tämä ehdotus koskee päätöstä, jolla vahvistetaan Yhdistyneiden kansakuntien Euroopan talouskomission asianomaisissa komiteoissa unionin puolesta otettava kanta, joka liittyy asiaa koskevan megapäätöksen suunniteltuun hyväksymiseen.</w:t>
      </w:r>
    </w:p>
    <w:p>
      <w:pPr>
        <w:pStyle w:val="ManualHeading1"/>
        <w:rPr>
          <w:noProof/>
        </w:rPr>
      </w:pPr>
      <w:r>
        <w:rPr>
          <w:noProof/>
        </w:rPr>
        <w:t>2.</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Yhdistyneiden kansakuntien Euroopan talouskomissio (UNECE) kehittää kansainvälisellä tasolla yhdenmukaistettuja vaatimuksia, joiden tarkoituksena on poistaa kaupan tekniset esteet vuoden 1958 tarkistetun sopimuksen sopimuspuolten välisestä moottoriajoneuvojen kaupasta ja varmistaa tällaisten ajoneuvojen osalta korkeatasoinen turvallisuus ja ympäristönsuojelu.</w:t>
      </w:r>
    </w:p>
    <w:p>
      <w:pPr>
        <w:rPr>
          <w:noProof/>
        </w:rPr>
      </w:pPr>
      <w:r>
        <w:rPr>
          <w:noProof/>
        </w:rPr>
        <w:t>Unioni on 27. marraskuuta 1997 tehdyn neuvoston päätöksen 97/836/EY mukaisesti liittynyt Yhdistyneiden kansakuntien Euroopan talouskomission (UNECE)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Pyörillä varustettuihin ajoneuvoihin ja niihin asennettaviin ja/tai niissä käytettäviin varusteisiin ja osiin sovellettavien maailmanlaajuisten teknisten sääntöjen vahvistamista koskevan sopimuksen (rinnakkaissopimus) tekemisestä 31. tammikuuta 2000 tehdyn neuvoston päätöksen 2000/125/EY mukaisesti unioni on puolestaan liittynyt rinnakkaissopimukseen.</w:t>
      </w:r>
    </w:p>
    <w:p>
      <w:pPr>
        <w:rPr>
          <w:noProof/>
        </w:rPr>
      </w:pPr>
      <w:r>
        <w:rPr>
          <w:noProof/>
        </w:rPr>
        <w:t>Ajoneuvoja koskevien sääntöjen yhdenmukaistamista käsittelevän maailmanfoorumin, UNECE WP.29:n, kokoukset pidetään kolme kertaa jokaisena kalenterivuonna eli maaliskuussa, kesäkuussa ja marraskuussa. Kussakin kokouksessa vahvistetaan uusia UNECE:n sääntöjä (E-sääntöjä), uusia UNECE:n maailmanlaajuisia teknisiä sääntöjä (UN GTR) ja/tai muutoksia voimassa oleviin UNECE:n sääntöihin tai maailmanlaajuisiin teknisiin sääntöihin tekniikan kehityksen ottamiseksi huomioon. Ennen kutakin WP.29:n kokousta muutokset hyväksytään jossakin kuudesta WP.29:n alaisuudessa toimivasta työryhmästä.</w:t>
      </w:r>
    </w:p>
    <w:p>
      <w:pPr>
        <w:rPr>
          <w:noProof/>
        </w:rPr>
      </w:pPr>
      <w:r>
        <w:rPr>
          <w:noProof/>
        </w:rPr>
        <w:t>Sen jälkeen muutokset, täydennykset ja oikaisut hyväksytään lopullisesti WP.29:n kokouksessa, kunhan kokous on päätösvaltainen ja sopimuspuolten määräenemmistö kannattaa niitä. EU on sopimuspuolena kahdessa WP.29:n piiriin kuuluvassa sopimuksessa (vuosien 1958 ja 1998 sopimukset). Kutakin kokousta varten annetaan neuvoston päätös (nk. megapäätös), joka sisältää luettelon säännöistä, muutoksista, täydennyksistä ja oikaisuista ja jolla komissio valtuutetaan äänestämään unionin puolesta kussakin WP.29:n kokouksessa.</w:t>
      </w:r>
    </w:p>
    <w:p>
      <w:pPr>
        <w:rPr>
          <w:noProof/>
        </w:rPr>
      </w:pPr>
      <w:r>
        <w:rPr>
          <w:noProof/>
        </w:rPr>
        <w:t xml:space="preserve">Tässä neuvoston päätöksessä määritellään unionin kanta, jota noudatetaan äänestettäessä 11.–15. maaliskuuta 2019 pidettävään WP.29:n kokoukseen äänestettäväksi toimitetuista säännöistä, tarkistuksista, täydennyksistä ja oikaisuista. </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rPr>
          <w:noProof/>
        </w:rPr>
      </w:pPr>
      <w:r>
        <w:rPr>
          <w:noProof/>
        </w:rPr>
        <w:t>Tämä ehdotus täydentää unionin sisämarkkinapolitiikkaa autoteollisuuden osalta ja on täysin linjassa sen kanssa.</w:t>
      </w:r>
    </w:p>
    <w:p>
      <w:pPr>
        <w:rPr>
          <w:noProof/>
        </w:rPr>
      </w:pPr>
      <w:r>
        <w:rPr>
          <w:noProof/>
        </w:rPr>
        <w:t xml:space="preserve">WP.29-järjestelmä vahvistaa ajoneuvostandardien kansainvälistä yhdenmukaistamista. Vuoden 1958 sopimus on tässä suhteessa olennainen, sillä sen ansiosta EU:n valmistajat voivat toimia yhteisten tyyppihyväksyntäsääntöjen pohjalta ja tietävät, että sopimuspuolet </w:t>
      </w:r>
      <w:r>
        <w:rPr>
          <w:noProof/>
        </w:rPr>
        <w:lastRenderedPageBreak/>
        <w:t>hyväksyvät niiden tuotteet kansallisen lainsäädäntönsä mukaisina. Järjestelmän ansiosta on esimerkiksi pystytty moottoriajoneuvojen yleisestä turvallisuudesta annetulla asetuksella (EY) N:o 661/2009 kumoamaan yli 50 EU-direktiiviä ja korvaamaan ne vuoden 1958 sopimuksen puitteissa laadituilla vastaavilla säännöillä.</w:t>
      </w:r>
    </w:p>
    <w:p>
      <w:pPr>
        <w:rPr>
          <w:noProof/>
        </w:rPr>
      </w:pPr>
      <w:r>
        <w:rPr>
          <w:noProof/>
        </w:rPr>
        <w:t>Vastaavaa mallia sovellettiin myös direktiiviin 2007/46/EY, jolla korvattiin jäsenvaltioiden hyväksymisjärjestelmät unionin hyväksymisjärjestelmällä ja vahvistettiin yhdenmukaiset puitteet, jotka sisältävät ne hallinnolliset määräykset ja yleiset tekniset vaatimukset, joita sovelletaan kaikkiin uusiin ajoneuvoihin, järjestelmiin, komponentteihin ja erillisiin teknisiin yksiköihin. Tuolla direktiivillä sisällytettiin UNECE:n sääntöjä EU-tyyppihyväksyntäjärjestelmään joko tyyppihyväksyntää koskevina vaatimuksina tai unionin lainsäädännön vaihtoehtoina. Kyseisen direktiivin antamisen jälkeen UNECE:n sääntöjä on yhä enemmän sisällytetty EY-tyyppihyväksyntää koskevaan unionin lainsäädäntöön.</w:t>
      </w:r>
    </w:p>
    <w:p>
      <w:pPr>
        <w:pStyle w:val="ManualHeading2"/>
        <w:rPr>
          <w:rFonts w:eastAsia="Arial Unicode MS"/>
          <w:noProof/>
        </w:rPr>
      </w:pPr>
      <w:r>
        <w:rPr>
          <w:noProof/>
          <w:color w:val="000000"/>
          <w:u w:color="000000"/>
          <w:bdr w:val="nil"/>
        </w:rPr>
        <w:t>•</w:t>
      </w:r>
      <w:r>
        <w:rPr>
          <w:noProof/>
        </w:rPr>
        <w:tab/>
        <w:t>Yhdenmukaisuus unionin muiden politiikkojen kanssa</w:t>
      </w:r>
    </w:p>
    <w:p>
      <w:pPr>
        <w:rPr>
          <w:noProof/>
        </w:rPr>
      </w:pPr>
      <w:r>
        <w:rPr>
          <w:noProof/>
        </w:rPr>
        <w:t>WP.29-järjestelmä on kytköksissä unionin kilpailukykypolitiikkaan, jota tämä aloite tukee. Ehdotus on yhdenmukainen myös suhteessa unionin liikenne-, ilmasto- ja energiapolitiikkaan, joka otetaan asianmukaisesti huomioon laadittaessa ja hyväksyttäessä vuoden 1958 sopimuksen piiriin kuuluvia UNECE:n sääntöjä.</w:t>
      </w:r>
    </w:p>
    <w:p>
      <w:pPr>
        <w:pStyle w:val="ManualHeading1"/>
        <w:rPr>
          <w:noProof/>
        </w:rPr>
      </w:pPr>
      <w:r>
        <w:rPr>
          <w:noProof/>
        </w:rPr>
        <w:t>3.</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rPr>
          <w:rFonts w:eastAsia="Arial Unicode MS"/>
          <w:noProof/>
        </w:rPr>
      </w:pPr>
      <w:r>
        <w:rPr>
          <w:noProof/>
        </w:rPr>
        <w:t>Tämän ehdotuksen oikeusperusta on Euroopan unionin toiminnasta tehdyn sopimuksen (SEUT-sopimuksen) 114 artikla luettuna yhdessä sen 218 artiklan 9 kohdan kanssa.</w:t>
      </w:r>
    </w:p>
    <w:p>
      <w:pPr>
        <w:pStyle w:val="ManualHeading2"/>
        <w:rPr>
          <w:rFonts w:eastAsia="Arial Unicode MS"/>
          <w:noProof/>
          <w:u w:color="000000"/>
          <w:bdr w:val="nil"/>
        </w:rPr>
      </w:pPr>
      <w:r>
        <w:rPr>
          <w:noProof/>
        </w:rPr>
        <w:t>•</w:t>
      </w:r>
      <w:r>
        <w:rPr>
          <w:noProof/>
        </w:rPr>
        <w:tab/>
        <w:t>Toissijaisuusperiaate</w:t>
      </w:r>
    </w:p>
    <w:p>
      <w:pPr>
        <w:rPr>
          <w:noProof/>
        </w:rPr>
      </w:pPr>
      <w:r>
        <w:rPr>
          <w:noProof/>
        </w:rPr>
        <w:t>Ainoastaan unioni voi äänestää puoltavasti, kun kyse on kansainvälisistä oikeudellisista asiakirjoista, kuten ehdotuksista UNECE:n säännöiksi ja UNECE:n sääntöjen muutoksiksi sekä luonnoksista maailmanlaajuisiksi teknisiksi säännöiksi ja niiden sisällyttämisestä moottoriajoneuvojen tyyppihyväksyntää koskevaan unionin järjestelmään. Näin sekä estetään sisämarkkinoiden hajanaistuminen että varmistetaan yhtäläiset ympäristö- ja turvallisuusstandardit kaikkialla EU:ssa. Näin voidaan myös hyödyntää mittakaavaetuja: tuotteita voidaan valmistaa koko unionin markkinoille ja myös kansainvälisille markkinoille sen sijaan, että niitä räätälöitäisiin kansallisen tyyppihyväksynnän saamiseksi kustakin jäsenvaltiosta.</w:t>
      </w:r>
    </w:p>
    <w:p>
      <w:pPr>
        <w:rPr>
          <w:noProof/>
        </w:rPr>
      </w:pPr>
      <w:r>
        <w:rPr>
          <w:noProof/>
        </w:rPr>
        <w:t>Ehdotus on siten toissijaisuusperiaatteen mukainen.</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Tällä neuvoston päätöksellä valtuutetaan komissio äänestämään unionin puolesta. Päätös on neuvoston päätöksen 97/836/EY 5 artiklan 1 kohdan mukainen oikeasuhteinen päätös, jossa määritellään UNECE:ssa otettava EU:n yhtenäinen kanta siltä osin kuin kyse on äänestämisestä WP.29:n kokouksen esityslistalla olevista työasiakirjoista. Ehdotus on näin ollen suhteellisuusperiaatteen mukainen, sillä siinä ei ylitetä sitä, mikä on tarpeen sen tavoitteiden saavuttamiseksi; tavoitteena on varmistaa sisämarkkinoiden moitteeton toiminta ja taata samalla yleisen turvallisuuden ja suojelun korkea taso.</w:t>
      </w:r>
    </w:p>
    <w:p>
      <w:pPr>
        <w:pStyle w:val="ManualHeading2"/>
        <w:rPr>
          <w:rFonts w:eastAsia="Arial Unicode MS"/>
          <w:noProof/>
          <w:u w:color="000000"/>
          <w:bdr w:val="nil"/>
        </w:rPr>
      </w:pPr>
      <w:r>
        <w:rPr>
          <w:noProof/>
        </w:rPr>
        <w:lastRenderedPageBreak/>
        <w:t>•</w:t>
      </w:r>
      <w:r>
        <w:rPr>
          <w:noProof/>
        </w:rPr>
        <w:tab/>
        <w:t>Toimintatavan valinta</w:t>
      </w:r>
    </w:p>
    <w:p>
      <w:pPr>
        <w:rPr>
          <w:noProof/>
        </w:rPr>
      </w:pPr>
      <w:r>
        <w:rPr>
          <w:noProof/>
        </w:rPr>
        <w:t>SEUT-sopimuksen 218 artiklan 9 kohdassa edellytetään neuvoston päätöksen käyttämistä kansainvälisellä sopimuksella perustetussa elimessä unionin puolesta esitettävän kannan vahvistamiseksi.</w:t>
      </w:r>
    </w:p>
    <w:p>
      <w:pPr>
        <w:pStyle w:val="ManualHeading1"/>
        <w:rPr>
          <w:noProof/>
        </w:rPr>
      </w:pPr>
      <w:r>
        <w:rPr>
          <w:noProof/>
        </w:rPr>
        <w:t>4.</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Voimassa olevan lainsäädännön jälkiarvioinnit/toimivuustarkastukset</w:t>
      </w:r>
    </w:p>
    <w:p>
      <w:pPr>
        <w:rPr>
          <w:noProof/>
        </w:rPr>
      </w:pPr>
      <w:r>
        <w:rPr>
          <w:noProof/>
        </w:rPr>
        <w:t>Ei sovelleta.</w:t>
      </w:r>
    </w:p>
    <w:p>
      <w:pPr>
        <w:pStyle w:val="ManualHeading2"/>
        <w:rPr>
          <w:rFonts w:eastAsia="Arial Unicode MS"/>
          <w:noProof/>
          <w:u w:color="000000"/>
          <w:bdr w:val="nil"/>
        </w:rPr>
      </w:pPr>
      <w:r>
        <w:rPr>
          <w:noProof/>
        </w:rPr>
        <w:t>•</w:t>
      </w:r>
      <w:r>
        <w:rPr>
          <w:noProof/>
        </w:rPr>
        <w:tab/>
        <w:t>Sidosryhmien kuuleminen</w:t>
      </w:r>
    </w:p>
    <w:p>
      <w:pPr>
        <w:rPr>
          <w:noProof/>
        </w:rPr>
      </w:pPr>
      <w:r>
        <w:rPr>
          <w:noProof/>
        </w:rPr>
        <w:t>Ei sovelleta.</w:t>
      </w:r>
    </w:p>
    <w:p>
      <w:pPr>
        <w:pStyle w:val="ManualHeading2"/>
        <w:rPr>
          <w:rFonts w:eastAsia="Arial Unicode MS"/>
          <w:noProof/>
          <w:u w:color="000000"/>
          <w:bdr w:val="nil"/>
        </w:rPr>
      </w:pPr>
      <w:r>
        <w:rPr>
          <w:noProof/>
        </w:rPr>
        <w:t>•</w:t>
      </w:r>
      <w:r>
        <w:rPr>
          <w:noProof/>
        </w:rPr>
        <w:tab/>
        <w:t>Asiantuntijatiedon keruu ja käyttö</w:t>
      </w:r>
    </w:p>
    <w:p>
      <w:pPr>
        <w:rPr>
          <w:noProof/>
        </w:rPr>
      </w:pPr>
      <w:r>
        <w:rPr>
          <w:noProof/>
        </w:rPr>
        <w:t>Ulkopuolista asiantuntemusta ei tarvittu tämän ehdotuksen yhteydessä. Moottoriajoneuvoja käsittelevä tekninen komitea on kuitenkin tarkastellut sitä.</w:t>
      </w:r>
    </w:p>
    <w:p>
      <w:pPr>
        <w:pStyle w:val="ManualHeading2"/>
        <w:rPr>
          <w:rFonts w:eastAsia="Arial Unicode MS"/>
          <w:noProof/>
          <w:u w:color="000000"/>
          <w:bdr w:val="nil"/>
        </w:rPr>
      </w:pPr>
      <w:r>
        <w:rPr>
          <w:noProof/>
        </w:rPr>
        <w:t>•</w:t>
      </w:r>
      <w:r>
        <w:rPr>
          <w:noProof/>
        </w:rPr>
        <w:tab/>
        <w:t>Vaikutustenarviointi</w:t>
      </w:r>
    </w:p>
    <w:p>
      <w:pPr>
        <w:rPr>
          <w:noProof/>
        </w:rPr>
      </w:pPr>
      <w:r>
        <w:rPr>
          <w:noProof/>
        </w:rPr>
        <w:t>Ehdotuksesta ei voida tehdä vaikutustenarviointia, sillä se ei ole säädösluonteinen eikä vaihtoehtoisia toimia ole tarjolla tai voida käyttää.</w:t>
      </w:r>
    </w:p>
    <w:p>
      <w:pPr>
        <w:pStyle w:val="ManualHeading2"/>
        <w:rPr>
          <w:rFonts w:eastAsia="Arial Unicode MS"/>
          <w:noProof/>
          <w:u w:color="000000"/>
          <w:bdr w:val="nil"/>
        </w:rPr>
      </w:pPr>
      <w:r>
        <w:rPr>
          <w:noProof/>
        </w:rPr>
        <w:t>•</w:t>
      </w:r>
      <w:r>
        <w:rPr>
          <w:noProof/>
        </w:rPr>
        <w:tab/>
        <w:t>Sääntelyn toimivuus ja yksinkertaistaminen</w:t>
      </w:r>
    </w:p>
    <w:p>
      <w:pPr>
        <w:rPr>
          <w:noProof/>
        </w:rPr>
      </w:pPr>
      <w:r>
        <w:rPr>
          <w:noProof/>
        </w:rPr>
        <w:t>Ehdotus ei aiheuta hallinnollista rasitetta, koska megapäätöksen liitteessä mainituilla muutoksilla ei aseteta yrityksille, pk-yritykset mukaan luettuina, uusia raportointiin liittyviä tai muita hallinnollisia velvoitteita. Tavoitteena on sen sijaan keventää hallinnollista rasitetta. Maailmanlaajuisesti yhdenmukaistettujen vaatimusten ansiosta valmistajat voivat esittää järjestelmien ja komponenttien hyväksyntäasiakirjat paitsi EU:ssa myös vientimarkkinoilla eli EU:n ulkopuolisten vuoden 1958 sopimuksen sopimuspuolten markkinoilla.</w:t>
      </w:r>
    </w:p>
    <w:p>
      <w:pPr>
        <w:rPr>
          <w:noProof/>
        </w:rPr>
      </w:pPr>
      <w:r>
        <w:rPr>
          <w:noProof/>
        </w:rPr>
        <w:t>Ehdotuksella on erittäin myönteinen vaikutus EU:n autoteollisuuden kilpailukykyyn ja kansainväliseen kauppaan. Sen, että EU:n kauppakumppanit hyväksyvät kansainvälisesti yhdenmukaistetut ajoneuvoja koskevat säännöt, katsotaan olevan paras keino poistaa tullin ulkopuolisia kaupan esteitä ja laajentaa EU:n autoteollisuuden yritysten pääsyä markkinoille.</w:t>
      </w:r>
    </w:p>
    <w:p>
      <w:pPr>
        <w:pStyle w:val="ManualHeading2"/>
        <w:rPr>
          <w:rFonts w:eastAsia="Arial Unicode MS"/>
          <w:noProof/>
          <w:u w:color="000000"/>
          <w:bdr w:val="nil"/>
        </w:rPr>
      </w:pPr>
      <w:r>
        <w:rPr>
          <w:noProof/>
        </w:rPr>
        <w:t>•</w:t>
      </w:r>
      <w:r>
        <w:rPr>
          <w:noProof/>
        </w:rPr>
        <w:tab/>
        <w:t>Perusoikeudet</w:t>
      </w:r>
    </w:p>
    <w:p>
      <w:pPr>
        <w:rPr>
          <w:noProof/>
        </w:rPr>
      </w:pPr>
      <w:r>
        <w:rPr>
          <w:noProof/>
        </w:rPr>
        <w:t>Ehdotuksella ei ole vaikutuksia perusoikeuksien suojeluun.</w:t>
      </w:r>
    </w:p>
    <w:p>
      <w:pPr>
        <w:pStyle w:val="ManualHeading1"/>
        <w:rPr>
          <w:noProof/>
        </w:rPr>
      </w:pPr>
      <w:r>
        <w:rPr>
          <w:noProof/>
        </w:rPr>
        <w:t>5.</w:t>
      </w:r>
      <w:r>
        <w:rPr>
          <w:noProof/>
        </w:rPr>
        <w:tab/>
        <w:t>TALOUSARVIOVAIKUTUKSET</w:t>
      </w:r>
    </w:p>
    <w:p>
      <w:pPr>
        <w:rPr>
          <w:noProof/>
        </w:rPr>
      </w:pPr>
      <w:r>
        <w:rPr>
          <w:noProof/>
        </w:rPr>
        <w:t>Ehdotuksella ei ole talousarviovaikutuksia.</w:t>
      </w:r>
    </w:p>
    <w:p>
      <w:pPr>
        <w:pStyle w:val="ManualHeading1"/>
        <w:rPr>
          <w:noProof/>
        </w:rPr>
      </w:pPr>
      <w:r>
        <w:rPr>
          <w:noProof/>
        </w:rPr>
        <w:t>6.</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noProof/>
        </w:rPr>
      </w:pPr>
      <w:r>
        <w:rPr>
          <w:noProof/>
        </w:rPr>
        <w:t>Ei sovelleta.</w:t>
      </w:r>
    </w:p>
    <w:p>
      <w:pPr>
        <w:pStyle w:val="ManualHeading2"/>
        <w:rPr>
          <w:rFonts w:eastAsia="Arial Unicode MS"/>
          <w:noProof/>
          <w:u w:color="000000"/>
          <w:bdr w:val="nil"/>
        </w:rPr>
      </w:pPr>
      <w:r>
        <w:rPr>
          <w:noProof/>
        </w:rPr>
        <w:t>•</w:t>
      </w:r>
      <w:r>
        <w:rPr>
          <w:noProof/>
        </w:rPr>
        <w:tab/>
        <w:t>Selittävät asiakirjat (direktiivien osalta)</w:t>
      </w:r>
    </w:p>
    <w:p>
      <w:pPr>
        <w:rPr>
          <w:noProof/>
        </w:rPr>
      </w:pPr>
      <w:r>
        <w:rPr>
          <w:noProof/>
        </w:rPr>
        <w:t>Ei sovelleta.</w:t>
      </w:r>
    </w:p>
    <w:p>
      <w:pPr>
        <w:pStyle w:val="ManualHeading2"/>
        <w:rPr>
          <w:rFonts w:eastAsia="Arial Unicode MS"/>
          <w:noProof/>
          <w:u w:color="000000"/>
          <w:bdr w:val="nil"/>
        </w:rPr>
      </w:pPr>
      <w:r>
        <w:rPr>
          <w:noProof/>
        </w:rPr>
        <w:lastRenderedPageBreak/>
        <w:t>•</w:t>
      </w:r>
      <w:r>
        <w:rPr>
          <w:noProof/>
        </w:rPr>
        <w:tab/>
        <w:t>Ehdotukseen sisältyvien säännösten yksityiskohtaiset selitykset</w:t>
      </w:r>
    </w:p>
    <w:p>
      <w:pPr>
        <w:rPr>
          <w:noProof/>
        </w:rPr>
      </w:pPr>
      <w:r>
        <w:rPr>
          <w:noProof/>
        </w:rPr>
        <w:t xml:space="preserve">Ehdotuksessa määritellään unionin kanta, joka otetaan äänestettäessä </w:t>
      </w:r>
    </w:p>
    <w:p>
      <w:pPr>
        <w:pStyle w:val="Tiret0"/>
        <w:numPr>
          <w:ilvl w:val="0"/>
          <w:numId w:val="10"/>
        </w:numPr>
        <w:rPr>
          <w:noProof/>
        </w:rPr>
      </w:pPr>
      <w:r>
        <w:rPr>
          <w:noProof/>
        </w:rPr>
        <w:t xml:space="preserve">ehdotuksista muutoksiksi UNECE:n sääntöihin nro 0, 3, 4, 6, 7, 9, 10, 19, 23, 27, 38, 41, 48, 50, 51, 53, 55, 58, 62, 67, 69, 70, 73, 74, 77, 86, 87, 91, 92, 98, 104, 106, 107, 110, 112, 113, 116, 119, 122, 123 ja 128 </w:t>
      </w:r>
    </w:p>
    <w:p>
      <w:pPr>
        <w:pStyle w:val="Tiret0"/>
        <w:rPr>
          <w:noProof/>
        </w:rPr>
      </w:pPr>
      <w:r>
        <w:rPr>
          <w:noProof/>
        </w:rPr>
        <w:t xml:space="preserve">ehdotuksesta muutokseksi konsolidoituun päätöslauselmaan R.E.5 </w:t>
      </w:r>
    </w:p>
    <w:p>
      <w:pPr>
        <w:pStyle w:val="Tiret0"/>
        <w:rPr>
          <w:noProof/>
        </w:rPr>
      </w:pPr>
      <w:r>
        <w:rPr>
          <w:noProof/>
        </w:rPr>
        <w:t>ehdotuksista neljäksi uudeksi UNECE:n säännöksi ja</w:t>
      </w:r>
    </w:p>
    <w:p>
      <w:pPr>
        <w:pStyle w:val="Tiret0"/>
        <w:rPr>
          <w:noProof/>
        </w:rPr>
      </w:pPr>
      <w:r>
        <w:rPr>
          <w:noProof/>
        </w:rPr>
        <w:t>ehdotuksesta muutokseksi vuoden 1958 sopimuksen liitteeseen 4.</w:t>
      </w:r>
    </w:p>
    <w:p>
      <w:pPr>
        <w:rPr>
          <w:noProof/>
        </w:rPr>
      </w:pPr>
      <w:r>
        <w:rPr>
          <w:noProof/>
        </w:rPr>
        <w:br w:type="page"/>
      </w:r>
    </w:p>
    <w:p>
      <w:pPr>
        <w:pStyle w:val="Tiret0"/>
        <w:rPr>
          <w:noProof/>
        </w:rPr>
      </w:pPr>
    </w:p>
    <w:p>
      <w:pPr>
        <w:pStyle w:val="Rfrenceinterinstitutionnelle"/>
        <w:rPr>
          <w:noProof/>
        </w:rPr>
      </w:pPr>
      <w:r>
        <w:rPr>
          <w:noProof/>
        </w:rPr>
        <w:t>2019/0038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Yhdistyneiden kansakuntien Euroopan talouskomission (UNECE) asianomaisissa komiteoissa Euroopan unionin puolesta otettavasta kannasta siltä osin kuin on kyse ehdotuksista muutoksiksi UNECE:n sääntöihin nro 0, 3, 4, 6, 7, 9, 10, 19, 23, 27, 38, 41, 48, 50, 51, 53, 55, 58, 62, 67, 69, 70, 73, 74, 77, 86, 87, 91, 92, 98, 104, 106, 107, 110, 112, 113, 116, 119, 122, 123 ja128, ehdotuksesta muutokseksi konsolidoituun päätöslauselmaan R.E.5, ehdotuksista neljäksi uudeksi UNECE:n säännöksi ja ehdotuksesta muutoksesta vuoden 1958 sopimuksen liitteeseen 4</w:t>
      </w:r>
      <w:r>
        <w:rPr>
          <w:noProof/>
        </w:rPr>
        <w:br/>
      </w:r>
    </w:p>
    <w:p>
      <w:pPr>
        <w:pStyle w:val="Institutionquiagit"/>
        <w:rPr>
          <w:noProof/>
        </w:rPr>
      </w:pPr>
      <w:r>
        <w:rPr>
          <w:noProof/>
        </w:rPr>
        <w:t>EUROOPAN UNIONIN NEUVOSTO, joka</w:t>
      </w:r>
    </w:p>
    <w:p>
      <w:pPr>
        <w:rPr>
          <w:noProof/>
        </w:rPr>
      </w:pPr>
      <w:r>
        <w:rPr>
          <w:noProof/>
        </w:rPr>
        <w:t>ottaa huomioon Euroopan unionin toiminnasta tehdyn sopimuksen ja erityisesti sen 114 artiklan luettuna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Unioni on neuvoston päätöksellä 97/836/EY</w:t>
      </w:r>
      <w:r>
        <w:rPr>
          <w:rStyle w:val="FootnoteReference"/>
          <w:noProof/>
        </w:rPr>
        <w:footnoteReference w:id="1"/>
      </w:r>
      <w:r>
        <w:rPr>
          <w:noProof/>
        </w:rPr>
        <w:t xml:space="preserve"> liittynyt Yhdistyneiden kansakuntien Euroopan talouskomission, jäljempänä ’UNECE’,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jäljempänä ’vuoden 1958 tarkistettu sopimus’. Vuoden 1958 tarkistettu sopimus tuli voimaan 24 päivänä maaliskuuta 1998.</w:t>
      </w:r>
    </w:p>
    <w:p>
      <w:pPr>
        <w:pStyle w:val="ManualConsidrant"/>
        <w:rPr>
          <w:noProof/>
        </w:rPr>
      </w:pPr>
      <w:r>
        <w:t>(2)</w:t>
      </w:r>
      <w:r>
        <w:tab/>
      </w:r>
      <w:r>
        <w:rPr>
          <w:noProof/>
        </w:rPr>
        <w:t>Unioni on neuvoston päätöksellä 2000/125/EY</w:t>
      </w:r>
      <w:r>
        <w:rPr>
          <w:rStyle w:val="FootnoteReference"/>
          <w:noProof/>
        </w:rPr>
        <w:footnoteReference w:id="2"/>
      </w:r>
      <w:r>
        <w:rPr>
          <w:noProof/>
        </w:rPr>
        <w:t xml:space="preserve"> liittynyt sopimukseen pyörillä varustettuihin ajoneuvoihin ja niihin asennettaviin ja/tai niissä käytettäviin varusteisiin ja osiin sovellettavien maailmanlaajuisten teknisten sääntöjen vahvistamisesta, jäljempänä ’rinnakkaissopimus’. Rinnakkaissopimus tuli voimaan 15 päivänä helmikuuta 2000.</w:t>
      </w:r>
    </w:p>
    <w:p>
      <w:pPr>
        <w:pStyle w:val="ManualConsidrant"/>
        <w:rPr>
          <w:noProof/>
        </w:rPr>
      </w:pPr>
      <w:r>
        <w:t>(3)</w:t>
      </w:r>
      <w:r>
        <w:tab/>
      </w:r>
      <w:r>
        <w:rPr>
          <w:noProof/>
        </w:rPr>
        <w:t xml:space="preserve">Vuoden 1958 tarkistetun sopimuksen 1 artiklan ja rinnakkaissopimuksen 6 artiklan mukaisesti vuoden 1958 tarkistetun sopimuksen hallintokomitea ja rinnakkaissopimuksen toimeenpaneva komitea, jäljempänä ’Yhdistyneiden </w:t>
      </w:r>
      <w:r>
        <w:rPr>
          <w:noProof/>
        </w:rPr>
        <w:lastRenderedPageBreak/>
        <w:t>kansakuntien Euroopan talouskomission asianomaiset komiteat’, voivat hyväksyä ehdotukset muutoksiksi UNECE:n sääntöihin nro 0, 3, 4, 6, 7, 9, 10, 19, 23, 27, 38, 41, 48, 50, 51, 53, 55, 58, 62, 67, 69, 70, 73, 74, 77, 86, 87, 91, 92, 98, 104, 106, 107, 110, 112, 113, 116, 119, 122, 123 ja 128, ehdotuksen muutokseksi konsolidoituun päätöslauselmaan R.E.5, ehdotukset neljäksi uudeksi UNECE:n säännöksi ja ehdotuksen muutokseksi vuoden 1958 sopimuksen liitteeseen 4 eli niin kutsutun ’megapäätöksen’.</w:t>
      </w:r>
    </w:p>
    <w:p>
      <w:pPr>
        <w:pStyle w:val="ManualConsidrant"/>
        <w:rPr>
          <w:noProof/>
        </w:rPr>
      </w:pPr>
      <w:r>
        <w:t>(4)</w:t>
      </w:r>
      <w:r>
        <w:tab/>
      </w:r>
      <w:r>
        <w:rPr>
          <w:noProof/>
        </w:rPr>
        <w:t>Yhdistyneiden kansakuntien Euroopan talouskomission asianomaisten komiteoiden on 11 ja 15 päivän maaliskuuta 2019 välisenä aikana pidettävän maailmanfoorumin 177. kokouksen aikana määrä hyväksyä megapäätös, joka liittyy pyörillä varustettujen ajoneuvojen ja niihin asennettavien tai niissä käytettävien varusteiden ja/tai osien hyväksymistä koskeviin yhdenmukaisiin teknisiin vaatimuksiin sekä niihin sovellettaviin maailmanlaajuisiin teknisiin sääntöihin</w:t>
      </w:r>
      <w:r>
        <w:t>.</w:t>
      </w:r>
    </w:p>
    <w:p>
      <w:pPr>
        <w:pStyle w:val="ManualConsidrant"/>
        <w:rPr>
          <w:noProof/>
        </w:rPr>
      </w:pPr>
      <w:r>
        <w:t>(5)</w:t>
      </w:r>
      <w:r>
        <w:tab/>
      </w:r>
      <w:r>
        <w:rPr>
          <w:noProof/>
        </w:rPr>
        <w:t>On syytä vahvistaa Yhdistyneiden kansakuntien Euroopan talouskomission asianomaisissa komiteoissa otettava unionin kanta, joka koskee mainittuja muutoksia vuoden 1958 sopimuksen liitteeseen 4, UNECE:n sääntöihin ja konsolidoituun päätöslauselmaan ja uusia UNECE:n sääntöjä, koska säännöt yhdessä konsolidoidun päätöslauselman kanssa sitovat unionia ja voivat vaikuttaa ratkaisevasti ajoneuvojen tyyppihyväksyntää koskevan unionin lainsäädännön sisältöön</w:t>
      </w:r>
      <w:r>
        <w:t>.</w:t>
      </w:r>
    </w:p>
    <w:p>
      <w:pPr>
        <w:pStyle w:val="ManualConsidrant"/>
        <w:rPr>
          <w:noProof/>
        </w:rPr>
      </w:pPr>
      <w:r>
        <w:t>(6)</w:t>
      </w:r>
      <w:r>
        <w:tab/>
      </w:r>
      <w:r>
        <w:rPr>
          <w:noProof/>
        </w:rPr>
        <w:t>Euroopan parlamentin ja neuvoston direktiivillä 2007/46/EY</w:t>
      </w:r>
      <w:r>
        <w:rPr>
          <w:rStyle w:val="FootnoteReference"/>
          <w:noProof/>
        </w:rPr>
        <w:footnoteReference w:id="3"/>
      </w:r>
      <w:r>
        <w:rPr>
          <w:noProof/>
        </w:rPr>
        <w:t xml:space="preserve"> korvattiin jäsenvaltioiden hyväksymisjärjestelmät unionin hyväksymisjärjestelmällä ja vahvistettiin yhdenmukaiset puitteet, jotka sisältävät ne hallinnolliset määräykset ja yleiset tekniset vaatimukset, joita sovelletaan kaikkiin uusiin ajoneuvoihin, järjestelmiin, komponentteihin ja erillisiin teknisiin yksiköihin. Tuolla direktiivillä sisällytettiin vuoden 1958 tarkistetun sopimuksen nojalla vahvistetut UNECE:n säännöt EU-tyyppihyväksyntäjärjestelmään joko tyyppihyväksyntää koskevina vaatimuksina tai unionin lainsäädännön vaihtoehtoina. Direktiivin 2007/46/EU antamisen jälkeen UNECE:n sääntöjä on yhä enemmän sisällytetty unionin lainsäädäntöön.  </w:t>
      </w:r>
    </w:p>
    <w:p>
      <w:pPr>
        <w:pStyle w:val="ManualConsidrant"/>
        <w:rPr>
          <w:noProof/>
        </w:rPr>
      </w:pPr>
      <w:r>
        <w:t>(7)</w:t>
      </w:r>
      <w:r>
        <w:tab/>
      </w:r>
      <w:r>
        <w:rPr>
          <w:noProof/>
        </w:rPr>
        <w:t>Saatujen kokemusten ja tekniikan kehityksen vuoksi olisi muutettava tai täydennettävä tiettyjä vaatimuksia, jotka liittyvät UNECE:n sääntöihin nro 0, 3, 4, 6, 7, 9, 10, 19, 23, 27, 38, 41, 48, 50, 51, 53, 62, 67, 69, 70, 73, 74, 77, 86, 87, 91, 92, 98, 104, 106, 107, 110, 112, 113, 116, 119, 122, 123 ja 128 ja konsolidoituun päätöslauselmaan R.E.5. Lisäksi on tarpeen oikaista tietyt UNECE:n sääntöjen nro 55, 58 ja 107 määräykset.</w:t>
      </w:r>
    </w:p>
    <w:p>
      <w:pPr>
        <w:pStyle w:val="ManualConsidrant"/>
        <w:rPr>
          <w:noProof/>
        </w:rPr>
      </w:pPr>
      <w:r>
        <w:t>(8)</w:t>
      </w:r>
      <w:r>
        <w:tab/>
      </w:r>
      <w:r>
        <w:rPr>
          <w:noProof/>
        </w:rPr>
        <w:t xml:space="preserve">Useisiin UNECE:n sääntöihin tätä nykyä sisältyvien komponentteihin liittyvien vaatimusten selkeyttämiseksi ja konsolidoimiseksi on aiheellista hyväksyä kolme uutta UNECE:n sääntöä, jotka koskevat merkkivalolaitteita, katuvalaistuslaitteita ja heijastinlaitteita. Näillä uusilla UNECE:n säännöillä korvataan ja kumotaan mitään nyt jo voimassa olevaa yksityiskohtaista teknistä vaatimusta muuttamatta 20 UNECE:n sääntöä (säännöt nro 3, 4, 6, 7, 19, 23, 27, 38, 50, 69, 70, 77, 87, 91, 98, 104, 112, 113, 119 ja 123), joita ei jatkossa enää käytetä uusien ajoneuvojen tyyppihyväksynnässä. Neuvosto hyväksyi jo 6 päivänä marraskuuta 2018 päätöksen, joka liittyy kaikkia näitä 23:a UNECE:n sääntöä koskevaan kantaan, joka oli määrä ottaa UNECE:n asianomaisten komiteoiden kokouksessa marraskuussa 2018 (maailmanfoorumin 176. </w:t>
      </w:r>
      <w:r>
        <w:rPr>
          <w:noProof/>
        </w:rPr>
        <w:lastRenderedPageBreak/>
        <w:t xml:space="preserve">kokous). Asianomaiset komiteat eivät tuossa kokouksessa kuitenkaan äänestäneet kyseisistä säännöistä, </w:t>
      </w:r>
    </w:p>
    <w:p>
      <w:pPr>
        <w:rPr>
          <w:noProof/>
        </w:rPr>
      </w:pP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Vuoden 1958 tarkistetun sopimuksen hallintokomiteassa ja rinnakkaissopimuksen toimeenpanevassa komiteassa 11 ja 15 päivän maaliskuuta 2019 välisenä aikana pidettävässä maailmanfoorumin 177. kokouksessa unionin puolesta otettava kanta on äänestää tämän päätöksen liitteessä lueteltujen ehdotusten puolesta.</w:t>
      </w:r>
    </w:p>
    <w:p>
      <w:pPr>
        <w:jc w:val="center"/>
        <w:rPr>
          <w:i/>
          <w:noProof/>
        </w:rPr>
      </w:pPr>
      <w:r>
        <w:rPr>
          <w:i/>
          <w:noProof/>
        </w:rPr>
        <w:t>2 artikla</w:t>
      </w:r>
    </w:p>
    <w:p>
      <w:pPr>
        <w:rPr>
          <w:noProof/>
        </w:rPr>
      </w:pPr>
      <w:r>
        <w:rPr>
          <w:noProof/>
        </w:rPr>
        <w:t>Tämä päätös on osoitettu komissiolle.</w:t>
      </w:r>
    </w:p>
    <w:p>
      <w:pPr>
        <w:pStyle w:val="Fait"/>
        <w:rPr>
          <w:noProof/>
        </w:rPr>
      </w:pPr>
      <w:r>
        <w:t>Tehty Brysselissä</w:t>
      </w:r>
    </w:p>
    <w:p>
      <w:pPr>
        <w:pStyle w:val="Institutionquisigne"/>
        <w:rPr>
          <w:noProof/>
        </w:rPr>
      </w:pPr>
    </w:p>
    <w:p>
      <w:pPr>
        <w:pStyle w:val="Institutionquisigne"/>
        <w:spacing w:before="120"/>
        <w:rPr>
          <w:noProof/>
        </w:rPr>
      </w:pPr>
      <w:r>
        <w:rPr>
          <w:noProof/>
        </w:rPr>
        <w:tab/>
        <w:t>Neuvoston puolesta</w:t>
      </w:r>
    </w:p>
    <w:p>
      <w:pPr>
        <w:pStyle w:val="Personnequisigne"/>
        <w:rPr>
          <w:noProof/>
        </w:rPr>
      </w:pPr>
      <w:r>
        <w:rPr>
          <w:noProof/>
        </w:rPr>
        <w:tab/>
        <w:t>Puheenjohtaja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97/836/EY, tehty 27 päivänä marraskuuta 1997, Euroopan yhteisön liittymisestä Yhdistyneiden kansakuntien Euroopan talouskomission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(EYVL L 346, 17.12.1997, s. 78).</w:t>
      </w:r>
    </w:p>
  </w:footnote>
  <w:footnote w:id="2">
    <w:p>
      <w:pPr>
        <w:pStyle w:val="FootnoteText"/>
      </w:pPr>
      <w:r>
        <w:rPr>
          <w:rStyle w:val="FootnoteReference"/>
        </w:rPr>
        <w:footnoteRef/>
      </w:r>
      <w:r>
        <w:tab/>
        <w:t>Neuvoston päätös 2000/125/EY, tehty 31 päivänä tammikuuta 2000, pyörillä varustettuihin ajoneuvoihin ja niihin asennettaviin ja/tai niissä käytettäviin varusteisiin ja osiin sovellettavien maailmanlaajuisten teknisten sääntöjen vahvistamista koskevan sopimuksen (”rinnakkaissopimus”) tekemisestä (EYVL L 35, 10.2.2000, s. 12).</w:t>
      </w:r>
    </w:p>
  </w:footnote>
  <w:footnote w:id="3">
    <w:p>
      <w:pPr>
        <w:pStyle w:val="FootnoteText"/>
      </w:pPr>
      <w:r>
        <w:rPr>
          <w:rStyle w:val="FootnoteReference"/>
        </w:rPr>
        <w:footnoteRef/>
      </w:r>
      <w:r>
        <w:tab/>
        <w:t>Euroopan parlamentin ja neuvoston direktiivi 2007/46/EY, annettu 5 päivänä syyskuuta 2007, puitteiden luomisesta moottoriajoneuvojen ja niiden perävaunujen sekä tällaisiin ajoneuvoihin tarkoitettujen järjestelmien, osien ja erillisten teknisten yksiköiden hyväksymiselle (Puitedirektiivi) (EUVL L 263, 9.10.2007,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4: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4504253-1625-4CE6-9D17-573E76DEA730"/>
    <w:docVar w:name="LW_COVERPAGE_TYPE" w:val="1"/>
    <w:docVar w:name="LW_CROSSREFERENCE" w:val="&lt;UNUSED&gt;"/>
    <w:docVar w:name="LW_DocType" w:val="COM"/>
    <w:docVar w:name="LW_EMISSION" w:val="11.2.2019"/>
    <w:docVar w:name="LW_EMISSION_ISODATE" w:val="2019-02-11"/>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38"/>
    <w:docVar w:name="LW_REF.II.NEW.CP_YEAR" w:val="2019"/>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Yhdistyneiden kansakuntien Euroopan talouskomission (UNECE) asianomaisissa komiteoissa Euroopan unionin puolesta otettavasta kannasta siltä osin kuin on kyse ehdotuksista muutoksiksi UNECE:n sääntöihin nro 0, 3, 4, 6, 7, 9, 10, 19, 23, 27, 38, 41, 48, 50, 51, 53, 55, 58, 62, 67, 69, 70, 73, 74, 77, 86, 87, 91, 92, 98, 104, 106, 107, 110, 112, 113, 116, 119, 122, 123 ja128, ehdotuksesta muutokseksi konsolidoituun päätöslauselmaan R.E.5, ehdotuksista neljäksi uudeksi UNECE:n säännöksi ja ehdotuksesta muutoksesta vuoden 1958 sopimuksen liitteeseen 4_x000b_"/>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3399-658D-41A6-812F-F6E03463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1635</Words>
  <Characters>13153</Characters>
  <Application>Microsoft Office Word</Application>
  <DocSecurity>0</DocSecurity>
  <Lines>222</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2019-01-28T10:48:00Z</cp:lastPrinted>
  <dcterms:created xsi:type="dcterms:W3CDTF">2019-02-07T12:51:00Z</dcterms:created>
  <dcterms:modified xsi:type="dcterms:W3CDTF">2019-02-08T15:24:00Z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