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B0476C1-777A-45ED-9E82-D4D84BAE198E" style="width:450.75pt;height:447.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ΑΝΤΙΚΕIΜΕΝΟ ΤΗΣ ΠΡOΤΑΣΗΣ</w:t>
      </w:r>
    </w:p>
    <w:p>
      <w:pPr>
        <w:pStyle w:val="ManualHeading1"/>
        <w:ind w:left="0" w:firstLine="0"/>
        <w:rPr>
          <w:b w:val="0"/>
          <w:smallCaps w:val="0"/>
          <w:noProof/>
        </w:rPr>
      </w:pPr>
      <w:r>
        <w:rPr>
          <w:b w:val="0"/>
          <w:smallCaps w:val="0"/>
          <w:noProof/>
        </w:rPr>
        <w:t>Η παρούσα πρόταση αφορά την απόφαση για τον καθορισμό της θέσης που πρέπει να ληφθεί εξ ονόματος της Ένωσης στο πλαίσιο των σχετικών επιτροπών της Οικονομικής Επιτροπής των Ηνωμένων Εθνών για την Ευρώπη, σε σχέση με την προβλεπόμενη έκδοση «μεγάλης απόφασης».</w:t>
      </w:r>
    </w:p>
    <w:p>
      <w:pPr>
        <w:pStyle w:val="ManualHeading1"/>
        <w:rPr>
          <w:noProof/>
        </w:rPr>
      </w:pPr>
      <w:r>
        <w:rPr>
          <w:noProof/>
        </w:rPr>
        <w:t>2.</w:t>
      </w:r>
      <w:r>
        <w:rPr>
          <w:noProof/>
        </w:rPr>
        <w:tab/>
        <w:t>ΠΛΑΙΣΙΟ ΤΗΣ ΠΡΟΤΑΣΗΣ</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Αιτιολόγηση και στόχοι της πρότασης</w:t>
      </w:r>
    </w:p>
    <w:p>
      <w:pPr>
        <w:rPr>
          <w:noProof/>
        </w:rPr>
      </w:pPr>
      <w:r>
        <w:rPr>
          <w:noProof/>
        </w:rPr>
        <w:t>Σε διεθνές επίπεδο, η Οικονομική Επιτροπή των Ηνωμένων Εθνών για την Ευρώπη (ΟΕΕ/ΗΕ) καταρτίζει εναρμονισμένες απαιτήσεις με σκοπό, αφενός, να εξαλειφθούν τα τεχνικά εμπόδια στο εμπόριο μηχανοκίνητων οχημάτων μεταξύ των συμβαλλόμενων μερών της αναθεωρημένης συμφωνίας του 1958 και, αφετέρου, να εξασφαλιστεί ότι τα οχήματα αυτά παρέχουν υψηλό επίπεδο ασφάλειας και περιβαλλοντικής προστασίας.</w:t>
      </w:r>
    </w:p>
    <w:p>
      <w:pPr>
        <w:rPr>
          <w:noProof/>
        </w:rPr>
      </w:pPr>
      <w:r>
        <w:rPr>
          <w:noProof/>
        </w:rPr>
        <w:t>Σύμφωνα με την απόφαση 97/836/ΕΚ του Συμβουλίου, της 27ης Νοεμβρίου 1997, η Ένωση προσχώρησε στη συμφωνία της Οικονομικής Επιτροπής των Ηνωμένων Εθνών για την Ευρώπη («ΟΕΕ/ΗΕ») σχετικά με την υιοθέτηση ομοιόμορφων τεχνικών προδιαγραφών για τροχοφόρα οχήματα, εξοπλισμό και εξαρτήματα τα οποία δύνανται να τοποθετηθούν και/ή να χρησιμοποιηθούν σε τροχοφόρα οχήματα και τις συνθήκες για την αμοιβαία αναγνώριση των εγκρίσεων που χορηγούνται με βάση τις προδιαγραφές αυτές («αναθεωρημένη συμφωνία του 1958») και, σύμφωνα με την απόφαση 2000/125/ΕΚ του Συμβουλίου, της 31ης Ιανουαρίου 2000, για τη σύναψη συμφωνίας που αφορά την κατάρτιση παγκόσμιων τεχνικών κανονισμών για τα τροχοφόρα οχήματα, τον εξοπλισμό και τα εξαρτήματα που μπορούν να τοποθετούνται ή/και να χρησιμοποιούνται σε τροχοφόρα οχήματα («παράλληλη συμφωνία»), η Ένωση προσχώρησε στην παράλληλη συμφωνία.</w:t>
      </w:r>
    </w:p>
    <w:p>
      <w:pPr>
        <w:rPr>
          <w:noProof/>
        </w:rPr>
      </w:pPr>
      <w:r>
        <w:rPr>
          <w:noProof/>
        </w:rPr>
        <w:t>Οι συνεδριάσεις του Παγκόσμιου Φόρουμ για την Εναρμόνιση των Κανονισμών σχετικά με τα Οχήματα (ομάδα εργασίας WP.29 της ΟΕΕ/ΗΕ) πραγματοποιούνται τρεις φορές ετησίως: τον Μάρτιο, τον Ιούνιο και τον Νοέμβριο κάθε ημερολογιακού έτους. Σε κάθε συνεδρίαση εγκρίνονται νέοι κανονισμοί του ΟΗΕ, νέοι παγκόσμιοι τεχνικοί κανονισμοί του ΟΗΕ και/ή τροποποιήσεις στους υπάρχοντες κανονισμούς του ΟΗΕ ή στους παγκόσμιους τεχνικούς κανονισμούς του ΟΗΕ, ώστε να λαμβάνεται υπόψη η τεχνική πρόοδος. Πριν από κάθε συνεδρίαση του WP.29 οι τροποποιήσεις αυτές εγκρίνονται από μία από τις έξι ομάδες εργασίας (GR) που δραστηριοποιούνται στο πλαίσιο του WP.29.</w:t>
      </w:r>
    </w:p>
    <w:p>
      <w:pPr>
        <w:rPr>
          <w:noProof/>
        </w:rPr>
      </w:pPr>
      <w:r>
        <w:rPr>
          <w:noProof/>
        </w:rPr>
        <w:t>Ακολούθως, στο πλαίσιο συνεδρίασης του WP.29 πραγματοποιείται η τελική ψηφοφορία για την έγκριση των τροποποιήσεων, των προσθηκών και των διορθωτικών, υπό την προϋπόθεση ότι υπάρχει απαρτία και ειδική πλειοψηφία μεταξύ των συμβαλλόμενων μερών. Η ΕΕ είναι συμβαλλόμενο μέρος σε δύο συμφωνίες (στις συμφωνίες του 1958 και του 1998) στο πλαίσιο του WP.29. Κάθε φορά καταρτίζεται απόφαση του Συμβουλίου, επονομαζόμενη «μεγάλη απόφαση», που περιέχει τον κατάλογο των κανονισμών, των τροποποιήσεων, των προσθηκών και των διορθωτικών και εξουσιοδοτεί την Επιτροπή να ψηφίσει εξ ονόματος της Ένωσης σε κάθε συνεδρίαση του WP.29.</w:t>
      </w:r>
    </w:p>
    <w:p>
      <w:pPr>
        <w:rPr>
          <w:noProof/>
        </w:rPr>
      </w:pPr>
      <w:r>
        <w:rPr>
          <w:noProof/>
        </w:rPr>
        <w:t xml:space="preserve">Στην παρούσα απόφαση του Συμβουλίου καθορίζεται η θέση της Ένωσης κατά την ψήφιση των κανονισμών, των τροποποιήσεων, των προσθηκών και των διορθωτικών που θα υποβληθούν για ψηφοφορία στη συνεδρίαση του WP.29 τον Μάρτιο του 2019, η οποία θα πραγματοποιηθεί από τις 11 έως τις 15 Μαρτίου 2019. </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Συνέπεια με τις ισχύουσες διατάξεις στον τομέα πολιτικής</w:t>
      </w:r>
    </w:p>
    <w:p>
      <w:pPr>
        <w:rPr>
          <w:noProof/>
        </w:rPr>
      </w:pPr>
      <w:r>
        <w:rPr>
          <w:noProof/>
        </w:rPr>
        <w:t>Η παρούσα πρόταση συμπληρώνει την ενωσιακή πολιτική για την εσωτερική αγορά όσον αφορά την αυτοκινητοβιομηχανία και συνάδει πλήρως με αυτήν.</w:t>
      </w:r>
    </w:p>
    <w:p>
      <w:pPr>
        <w:rPr>
          <w:noProof/>
        </w:rPr>
      </w:pPr>
      <w:r>
        <w:rPr>
          <w:noProof/>
        </w:rPr>
        <w:t>Το σύστημα του WP.29 ενισχύει τη διεθνή εναρμόνιση των προτύπων για τα οχήματα. Η συμφωνία του 1958 συμβάλλει καθοριστικά στην επίτευξη αυτού του στόχου, δεδομένου ότι οι ενωσιακοί κατασκευαστές μπορούν να εφαρμόζουν κοινή δέσμη κανονισμών έγκρισης τύπου, γνωρίζοντας ότι το προϊόν τους θα αναγνωρίζεται από τα συμβαλλόμενα μέρη ως συμμορφούμενο με την εθνική τους νομοθεσία. Για παράδειγμα, το σύστημα αυτό έδωσε τη δυνατότητα να καταργηθούν από τον κανονισμό (ΕΚ) αριθ. 661/2009 για τη γενική ασφάλεια των μηχανοκίνητων οχημάτων περισσότερες από 50 οδηγίες της ΕΕ και να αντικατασταθούν από τους αντίστοιχους κανονισμούς που εκπονήθηκαν στο πλαίσιο της συμφωνίας του 1958.</w:t>
      </w:r>
    </w:p>
    <w:p>
      <w:pPr>
        <w:rPr>
          <w:noProof/>
        </w:rPr>
      </w:pPr>
      <w:r>
        <w:rPr>
          <w:noProof/>
        </w:rPr>
        <w:t>Παρόμοια προσέγγιση ακολουθήθηκε ως προς την οδηγία 2007/46/ΕΚ, η οποία αντικατέστησε τα συστήματα έγκρισης των κρατών μελών με ενωσιακή διαδικασία έγκρισης, θεσπίζοντας εναρμονισμένο πλαίσιο που περιέχει τις διοικητικές διατάξεις και τις γενικές τεχνικές απαιτήσεις για όλα τα νέα οχήματα, τα συστήματα, τα κατασκευαστικά στοιχεία και τις χωριστές τεχνικές μονάδες. Η εν λόγω οδηγία ενσωμάτωσε τους κανονισμούς του ΟΗΕ στο σύστημα έγκρισης τύπου της ΕΕ, είτε ως απαιτήσεις για την έγκριση τύπου είτε ως εναλλακτικές προς την ενωσιακή νομοθεσία απαιτήσεις. Μετά την έκδοση της εν λόγω οδηγίας, οι κανονισμοί του ΟΗΕ ενσωματώνονται όλο και περισσότερο στην ενωσιακή νομοθεσία στο πλαίσιο της έγκρισης τύπου ΕΕ.</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Συνέπεια με άλλες πολιτικές της Ένωσης</w:t>
      </w:r>
    </w:p>
    <w:p>
      <w:pPr>
        <w:rPr>
          <w:noProof/>
        </w:rPr>
      </w:pPr>
      <w:r>
        <w:rPr>
          <w:noProof/>
        </w:rPr>
        <w:t>Το σύστημα του WP.29 συνδέεται με την πολιτική της Ένωσης για την ανταγωνιστικότητα, στην οποία η παρούσα πρωτοβουλία έχει θετικό αντίκτυπο. Η παρούσα πρόταση συνάδει επίσης με τις πολιτικές της Ένωσης στους τομείς των μεταφορών, του κλίματος και της ενέργειας, οι οποίες λαμβάνονται δεόντως υπόψη κατά τη διαδικασία για την εκπόνηση και την έγκριση των κανονισμών του ΟΗΕ στο πλαίσιο της συμφωνίας του 1958.</w:t>
      </w:r>
    </w:p>
    <w:p>
      <w:pPr>
        <w:pStyle w:val="ManualHeading1"/>
        <w:rPr>
          <w:noProof/>
        </w:rPr>
      </w:pPr>
      <w:r>
        <w:rPr>
          <w:noProof/>
        </w:rPr>
        <w:t>3.</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rPr>
          <w:rFonts w:eastAsia="Arial Unicode MS"/>
          <w:noProof/>
        </w:rPr>
      </w:pPr>
      <w:r>
        <w:rPr>
          <w:noProof/>
        </w:rPr>
        <w:t>Νομική βάση της παρούσας πρότασης είναι το άρθρο 114, σε συνδυασμό με το άρθρο 218 παράγραφος 9 της Συνθήκης για τη λειτουργία της Ευρωπαϊκής Ένωσης.</w:t>
      </w:r>
    </w:p>
    <w:p>
      <w:pPr>
        <w:pStyle w:val="ManualHeading2"/>
        <w:rPr>
          <w:rFonts w:eastAsia="Arial Unicode MS"/>
          <w:noProof/>
          <w:u w:color="000000"/>
          <w:bdr w:val="nil"/>
        </w:rPr>
      </w:pPr>
      <w:r>
        <w:rPr>
          <w:noProof/>
          <w:u w:color="000000"/>
          <w:bdr w:val="nil"/>
        </w:rPr>
        <w:t>•</w:t>
      </w:r>
      <w:r>
        <w:rPr>
          <w:noProof/>
          <w:u w:color="000000"/>
          <w:bdr w:val="nil"/>
        </w:rPr>
        <w:tab/>
        <w:t>Επικουρικότητα</w:t>
      </w:r>
    </w:p>
    <w:p>
      <w:pPr>
        <w:rPr>
          <w:noProof/>
        </w:rPr>
      </w:pPr>
      <w:r>
        <w:rPr>
          <w:noProof/>
        </w:rPr>
        <w:t>Η υπερψήφιση διεθνών πράξεων, όπως είναι οι προτάσεις κανονισμών του ΟΗΕ, οι τροποποιήσεις κανονισμών του ΟΗΕ και τα σχέδια παγκόσμιων τεχνικών κανονισμών, καθώς και η ενσωμάτωσή τους στο ενωσιακό σύστημα έγκρισης τύπου μηχανοκίνητων οχημάτων μπορούν να γίνονται μόνο από την Ένωση. Αυτό όχι μόνο εμποδίζει τον κατακερματισμό της εσωτερικής αγοράς, αλλά και εξασφαλίζει ισότιμα περιβαλλοντικά πρότυπα και πρότυπα ασφάλειας σε ολόκληρη την Ένωση. Προσφέρει επίσης πλεονεκτήματα οικονομιών κλίμακας: τα προϊόντα μπορούν να παράγονται για ολόκληρη την ενωσιακή αγορά, ακόμη και για τη διεθνή αγορά, αντί να προσαρμόζονται ώστε να αποκτήσουν την εθνική έγκριση τύπου για κάθε κράτος μέλος χωριστά.</w:t>
      </w:r>
    </w:p>
    <w:p>
      <w:pPr>
        <w:rPr>
          <w:noProof/>
        </w:rPr>
      </w:pPr>
      <w:r>
        <w:rPr>
          <w:noProof/>
        </w:rPr>
        <w:t>Ως εκ τούτου, η παρούσα πρόταση είναι σύμφωνη με την αρχή της επικουρικότητας.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rFonts w:eastAsia="Arial Unicode MS"/>
          <w:noProof/>
        </w:rPr>
      </w:pPr>
      <w:r>
        <w:rPr>
          <w:noProof/>
        </w:rPr>
        <w:t>Η παρούσα απόφαση του Συμβουλίου εξουσιοδοτεί την Επιτροπή να ψηφίσει εξ ονόματος της Ένωσης και είναι το αναλογικό μέσο, σύμφωνα με το άρθρο 5 παράγραφος 1 της απόφασης 97/836/ΕΚ του Συμβουλίου, για τον καθορισμό ενιαίας θέσης της ΕΕ στο πλαίσιο της ΟΕΕ/ΗΕ όσον αφορά την ψηφοφορία επί των εγγράφων εργασίας που προτείνονται στην ημερήσια διάταξη της συνεδρίασης του WP.29. Ως εκ τούτου, η παρούσα πρόταση τηρεί την αρχή της αναλογικότητας, επειδή δεν υπερβαίνει αυτό που είναι αναγκαίο για να εξασφαλιστεί η ορθή λειτουργία της εσωτερικής αγοράς, με την ταυτόχρονη παροχή υψηλού επιπέδου δημόσιας ασφάλειας και προστασίας.</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rPr>
          <w:noProof/>
        </w:rPr>
      </w:pPr>
      <w:r>
        <w:rPr>
          <w:noProof/>
        </w:rPr>
        <w:t>Το άρθρο 218 παράγραφος 9 της ΣΛΕΕ απαιτεί τη λήψη απόφασης του Συμβουλίου για τον καθορισμό των θέσεων που θα πρέπει να ληφθούν εξ ονόματος της Ένωσης σε όργανο το οποίο συνιστάται από διεθνή συμφωνία.</w:t>
      </w:r>
    </w:p>
    <w:p>
      <w:pPr>
        <w:pStyle w:val="ManualHeading1"/>
        <w:rPr>
          <w:noProof/>
        </w:rPr>
      </w:pPr>
      <w:r>
        <w:rPr>
          <w:noProof/>
        </w:rPr>
        <w:t>4.</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rPr>
          <w:noProof/>
        </w:rPr>
      </w:pPr>
      <w:r>
        <w:rPr>
          <w:noProof/>
        </w:rPr>
        <w:t>Δεν ενδείκνυται να ζητηθεί εξωτερική εμπειρογνωσία στην περίπτωση της παρούσας πρότασης. Ωστόσο, η πρόταση εξετάστηκε από την τεχνική επιτροπή για τα μηχανοκίνητα οχήματα.</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rPr>
          <w:noProof/>
        </w:rPr>
      </w:pPr>
      <w:r>
        <w:rPr>
          <w:noProof/>
        </w:rPr>
        <w:t>Η παρούσα πρόταση δεν μπορεί να αποτελέσει αντικείμενο εκτίμησης επιπτώσεων, επειδή δεν είναι νομοθετικής φύσης και επειδή δεν υπάρχουν ή δεν είναι εφικτές εναλλακτικές επιλογές πολιτικής.</w:t>
      </w:r>
    </w:p>
    <w:p>
      <w:pPr>
        <w:pStyle w:val="ManualHeading2"/>
        <w:rPr>
          <w:rFonts w:eastAsia="Arial Unicode MS"/>
          <w:noProof/>
          <w:u w:color="000000"/>
          <w:bdr w:val="nil"/>
        </w:rPr>
      </w:pPr>
      <w:r>
        <w:rPr>
          <w:noProof/>
          <w:u w:color="000000"/>
          <w:bdr w:val="nil"/>
        </w:rPr>
        <w:t>•</w:t>
      </w:r>
      <w:r>
        <w:rPr>
          <w:noProof/>
          <w:u w:color="000000"/>
          <w:bdr w:val="nil"/>
        </w:rPr>
        <w:tab/>
        <w:t>Καταλληλότητα και απλούστευση του κανονιστικού πλαισίου</w:t>
      </w:r>
    </w:p>
    <w:p>
      <w:pPr>
        <w:rPr>
          <w:noProof/>
        </w:rPr>
      </w:pPr>
      <w:r>
        <w:rPr>
          <w:noProof/>
        </w:rPr>
        <w:t>Όσον αφορά τη διοικητική επιβάρυνση, η πρωτοβουλία δεν έχει επιπτώσεις, δεδομένου ότι οι αναφορές στις τροποποιήσεις που προσαρτώνται στη «μεγάλη απόφαση» δεν θα εισαγάγουν νέες υποχρεώσεις υποβολής εκθέσεων ή άλλες διοικητικές υποχρεώσεις για τις επιχειρήσεις, συμπεριλαμβανομένων των ΜΜΕ. Αντιθέτως, στόχος είναι η μείωση της διοικητικής επιβάρυνσης, επειδή η εφαρμογή των εναρμονισμένων απαιτήσεων σε παγκόσμιο επίπεδο επιτρέπει στους κατασκευαστές να υποβάλουν τεκμηρίωση έγκρισης των συστημάτων και των κατασκευαστικών στοιχείων όχι μόνο στην ΕΕ αλλά και στις εξαγωγικές αγορές των συμβαλλόμενων μερών της συμφωνίας του 1958 που βρίσκονται εκτός της ΕΕ.</w:t>
      </w:r>
    </w:p>
    <w:p>
      <w:pPr>
        <w:rPr>
          <w:noProof/>
        </w:rPr>
      </w:pPr>
      <w:r>
        <w:rPr>
          <w:noProof/>
        </w:rPr>
        <w:t>Η πρόταση έχει ιδιαίτερα θετικό αντίκτυπο στην ανταγωνιστικότητα της αυτοκινητοβιομηχανίας της ΕΕ και στο διεθνές εμπόριο. Η αποδοχή διεθνώς εναρμονισμένων κανονισμών οχημάτων από τους εμπορικούς εταίρους της ΕΕ αναγνωρίζεται ως ο καλύτερος τρόπος για την άρση των μη δασμολογικών φραγμών στο εμπόριο και το άνοιγμα ή τη διεύρυνση της πρόσβασης επιχειρήσεων της ενωσιακής αυτοκινητοβιομηχανίας στην αγορά.</w:t>
      </w: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rPr>
          <w:noProof/>
        </w:rPr>
      </w:pPr>
      <w:r>
        <w:rPr>
          <w:noProof/>
        </w:rPr>
        <w:t>Η πρόταση δεν έχει επιπτώσεις στην προστασία των θεμελιωδών δικαιωμάτων.</w:t>
      </w:r>
    </w:p>
    <w:p>
      <w:pPr>
        <w:pStyle w:val="ManualHeading1"/>
        <w:rPr>
          <w:noProof/>
        </w:rPr>
      </w:pPr>
      <w:r>
        <w:rPr>
          <w:noProof/>
        </w:rPr>
        <w:t>5.</w:t>
      </w:r>
      <w:r>
        <w:rPr>
          <w:noProof/>
        </w:rPr>
        <w:tab/>
        <w:t>ΔΗΜΟΣΙΟΝΟΜΙΚΕΣ ΕΠΙΠΤΩΣΕΙΣ</w:t>
      </w:r>
    </w:p>
    <w:p>
      <w:pPr>
        <w:rPr>
          <w:noProof/>
        </w:rPr>
      </w:pPr>
      <w:r>
        <w:rPr>
          <w:noProof/>
        </w:rPr>
        <w:t>Η παρούσα πρωτοβουλία δεν έχει δημοσιονομικές επιπτώσεις.</w:t>
      </w:r>
    </w:p>
    <w:p>
      <w:pPr>
        <w:pStyle w:val="ManualHeading1"/>
        <w:rPr>
          <w:noProof/>
        </w:rPr>
      </w:pPr>
      <w:r>
        <w:rPr>
          <w:noProof/>
        </w:rPr>
        <w:t>6.</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Επεξηγηματικά έγγραφα (για οδηγίες)</w:t>
      </w:r>
    </w:p>
    <w:p>
      <w:pPr>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rPr>
          <w:noProof/>
        </w:rPr>
      </w:pPr>
      <w:r>
        <w:rPr>
          <w:noProof/>
        </w:rPr>
        <w:t xml:space="preserve">Η πρόταση καθορίζει τη θέση της Ένωσης στην ψηφοφορία για: </w:t>
      </w:r>
    </w:p>
    <w:p>
      <w:pPr>
        <w:pStyle w:val="Tiret0"/>
        <w:numPr>
          <w:ilvl w:val="0"/>
          <w:numId w:val="10"/>
        </w:numPr>
        <w:rPr>
          <w:noProof/>
        </w:rPr>
      </w:pPr>
      <w:r>
        <w:rPr>
          <w:noProof/>
        </w:rPr>
        <w:t xml:space="preserve">τις προτάσεις τροποποιήσεων των κανονισμών του ΟΗΕ αριθ. 0, 3, 4, 6, 7, 9, 10, 19, 23, 27, 38, 41, 48, 50, 51, 53, 55, 58, 62, 67, 69, 70, 73, 74, 77, 86, 87, 91, 92, 98, 104, 106, 107, 110, 112, 113, 116, 119, 122, 123 και 128· </w:t>
      </w:r>
    </w:p>
    <w:p>
      <w:pPr>
        <w:pStyle w:val="Tiret0"/>
        <w:rPr>
          <w:noProof/>
        </w:rPr>
      </w:pPr>
      <w:r>
        <w:rPr>
          <w:noProof/>
        </w:rPr>
        <w:t xml:space="preserve">την πρόταση τροποποίησης της ενοποιημένης απόφασης R.E.5· </w:t>
      </w:r>
    </w:p>
    <w:p>
      <w:pPr>
        <w:pStyle w:val="Tiret0"/>
        <w:rPr>
          <w:noProof/>
        </w:rPr>
      </w:pPr>
      <w:r>
        <w:rPr>
          <w:noProof/>
        </w:rPr>
        <w:t>τις προτάσεις για τέσσερις νέους κανονισμούς του ΟΗΕ· και</w:t>
      </w:r>
    </w:p>
    <w:p>
      <w:pPr>
        <w:pStyle w:val="Tiret0"/>
        <w:rPr>
          <w:noProof/>
        </w:rPr>
      </w:pPr>
      <w:r>
        <w:rPr>
          <w:noProof/>
        </w:rPr>
        <w:t>την πρόταση τροποποίησης του παραρτήματος 4 της συμφωνίας του 1958.</w:t>
      </w:r>
    </w:p>
    <w:p>
      <w:pPr>
        <w:rPr>
          <w:noProof/>
        </w:rPr>
      </w:pPr>
      <w:r>
        <w:rPr>
          <w:noProof/>
        </w:rPr>
        <w:br w:type="page"/>
      </w:r>
    </w:p>
    <w:p>
      <w:pPr>
        <w:pStyle w:val="Tiret0"/>
        <w:rPr>
          <w:noProof/>
        </w:rPr>
      </w:pPr>
    </w:p>
    <w:p>
      <w:pPr>
        <w:pStyle w:val="Rfrenceinterinstitutionnelle"/>
        <w:rPr>
          <w:noProof/>
        </w:rPr>
      </w:pPr>
      <w:r>
        <w:rPr>
          <w:noProof/>
        </w:rPr>
        <w:t>2019/0038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στο πλαίσιο των σχετικών επιτροπών της Οικονομικής Επιτροπής των Ηνωμένων Εθνών για την Ευρώπη όσον αφορά τις προτάσεις τροποποίησης των κανονισμών του ΟΗΕ αριθ. 0, 3, 4, 6, 7, 9, 10, 19, 23, 27, 38, 41, 48, 50, 51, 53, 55, 58, 62, 67, 69, 70, 73, 74, 77, 86, 87, 91, 92, 98, 104, 106, 107, 110, 112, 113, 116, 119, 122, 123 και 128, όσον αφορά την πρόταση τροποποίησης της ενοποιημένης απόφασης R.E.5, όσον αφορά τις προτάσεις για τέσσερις νέους κανονισμούς του ΟΗΕ, καθώς και όσον αφορά την πρόταση τροποποίησης του παραρτήματος 4 της συμφωνίας του 1958</w:t>
      </w:r>
      <w:r>
        <w:rPr>
          <w:noProof/>
        </w:rPr>
        <w:br/>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Με την απόφαση 97/836/ΕΚ</w:t>
      </w:r>
      <w:r>
        <w:rPr>
          <w:rStyle w:val="FootnoteReference"/>
          <w:noProof/>
        </w:rPr>
        <w:footnoteReference w:id="1"/>
      </w:r>
      <w:r>
        <w:rPr>
          <w:noProof/>
        </w:rPr>
        <w:t xml:space="preserve"> του Συμβουλίου, η Ένωση προσχώρησε στη συμφωνία της Οικονομικής Επιτροπής των Ηνωμένων Εθνών για την Ευρώπη (ΟΕΕ/ΗΕ) σχετικά με την υιοθέτηση ομοιόμορφων τεχνικών προδιαγραφών για τροχοφόρα οχήματα, εξοπλισμό και εξαρτήματα τα οποία δύνανται να τοποθετηθούν και/ή να χρησιμοποιηθούν σε τροχοφόρα οχήματα και τις συνθήκες για την αμοιβαία αναγνώριση των εγκρίσεων που χορηγούνται με βάση τις προδιαγραφές αυτές («αναθεωρημένη συμφωνία του 1958»). Η αναθεωρημένη συμφωνία του 1958 τέθηκε σε ισχύ στις 24 Μαρτίου 1998.</w:t>
      </w:r>
    </w:p>
    <w:p>
      <w:pPr>
        <w:pStyle w:val="ManualConsidrant"/>
        <w:rPr>
          <w:noProof/>
        </w:rPr>
      </w:pPr>
      <w:r>
        <w:t>(2)</w:t>
      </w:r>
      <w:r>
        <w:tab/>
      </w:r>
      <w:r>
        <w:rPr>
          <w:noProof/>
        </w:rPr>
        <w:t>Με την απόφαση 2000/125/ΕΚ</w:t>
      </w:r>
      <w:r>
        <w:rPr>
          <w:rStyle w:val="FootnoteReference"/>
          <w:noProof/>
        </w:rPr>
        <w:footnoteReference w:id="2"/>
      </w:r>
      <w:r>
        <w:rPr>
          <w:noProof/>
        </w:rPr>
        <w:t xml:space="preserve"> του Συμβουλίου, η Ένωση προσχώρησε στη συμφωνία για την κατάρτιση παγκόσμιων τεχνικών κανονισμών για τα τροχοφόρα οχήματα, τον εξοπλισμό και τα εξαρτήματα που μπορούν να τοποθετούνται και/ή να χρησιμοποιούνται σε τροχοφόρα οχήματα («παράλληλη συμφωνία»). Η παράλληλη συμφωνία τέθηκε σε ισχύ στις 15 Φεβρουαρίου 2000.</w:t>
      </w:r>
    </w:p>
    <w:p>
      <w:pPr>
        <w:pStyle w:val="ManualConsidrant"/>
        <w:rPr>
          <w:noProof/>
        </w:rPr>
      </w:pPr>
      <w:r>
        <w:t>(3)</w:t>
      </w:r>
      <w:r>
        <w:tab/>
      </w:r>
      <w:r>
        <w:rPr>
          <w:noProof/>
        </w:rPr>
        <w:t>Σύμφωνα με το άρθρο 1 της αναθεωρημένης συμφωνίας του 1958 και το άρθρο 6 της παράλληλης συμφωνίας, η διοικητική επιτροπή της αναθεωρημένης συμφωνίας του 1958 και η εκτελεστική επιτροπή της παράλληλης συμφωνίας («οι σχετικές επιτροπές της Οικονομικής Επιτροπής των Ηνωμένων Εθνών για την Ευρώπη») μπορούν να εγκρίνουν τις προτάσεις τροποποίησης των κανονισμών του ΟΗΕ αριθ. 0, 3, 4, 6, 7, 9, 10, 19, 23, 27, 38, 41, 48, 50, 51, 53, 55, 58, 62, 67, 69, 70, 73, 74, 77, 86, 87, 91, 92, 98, 104, 106, 107, 110, 112, 113, 116, 119, 122, 123 και 128· την πρόταση τροποποίησης της ενοποιημένης απόφασης R.E.5· τις προτάσεις για τέσσερις νέους κανονισμούς του ΟΗΕ· και την πρόταση τροποποίησης του παραρτήματος 4 της συμφωνίας του 1958 («μεγάλη απόφαση»).</w:t>
      </w:r>
    </w:p>
    <w:p>
      <w:pPr>
        <w:pStyle w:val="ManualConsidrant"/>
        <w:rPr>
          <w:noProof/>
        </w:rPr>
      </w:pPr>
      <w:r>
        <w:t>(4)</w:t>
      </w:r>
      <w:r>
        <w:tab/>
      </w:r>
      <w:r>
        <w:rPr>
          <w:noProof/>
        </w:rPr>
        <w:t xml:space="preserve">Οι σχετικές επιτροπές της Οικονομικής Επιτροπής των Ηνωμένων Εθνών για την Ευρώπη, κατά </w:t>
      </w:r>
      <w:r>
        <w:rPr>
          <w:noProof/>
          <w:color w:val="4C4845"/>
          <w:sz w:val="23"/>
          <w:szCs w:val="23"/>
        </w:rPr>
        <w:t>την 177η σύνοδο του</w:t>
      </w:r>
      <w:r>
        <w:rPr>
          <w:noProof/>
          <w:sz w:val="23"/>
          <w:szCs w:val="23"/>
        </w:rPr>
        <w:t xml:space="preserve"> Παγκόσμιου Φόρουμ</w:t>
      </w:r>
      <w:r>
        <w:rPr>
          <w:noProof/>
        </w:rPr>
        <w:t>, που θα πραγματοποιηθεί μεταξύ της 11ης και της 15ης Μαρτίου 2019, πρόκειται να εκδώσουν μια «μεγάλη απόφαση» σε σχέση με τις διοικητικές διατάξεις και τις ομοιόμορφες τεχνικές προδιαγραφές για την έγκριση παγκόσμιων τεχνικών κανονισμών για τα τροχοφόρα οχήματα, τον εξοπλισμό και τα εξαρτήματα που μπορούν να τοποθετούνται και/ή να χρησιμοποιούνται σε τροχοφόρα οχήματα</w:t>
      </w:r>
      <w:r>
        <w:t>.</w:t>
      </w:r>
    </w:p>
    <w:p>
      <w:pPr>
        <w:pStyle w:val="ManualConsidrant"/>
        <w:rPr>
          <w:noProof/>
        </w:rPr>
      </w:pPr>
      <w:r>
        <w:t>(5)</w:t>
      </w:r>
      <w:r>
        <w:tab/>
      </w:r>
      <w:r>
        <w:rPr>
          <w:noProof/>
        </w:rPr>
        <w:t>Είναι αναγκαίο να καθοριστεί η θέση που πρέπει να ληφθεί εξ ονόματος της Ένωσης στο πλαίσιο των σχετικών επιτροπών της Οικονομικής Επιτροπής των Ηνωμένων Εθνών για την Ευρώπη, όσον αφορά την έγκριση των εν λόγω τροποποιήσεων του παραρτήματος 4 της συμφωνίας του 1958, των κανονισμών του ΟΗΕ και της ενοποιημένης απόφασης, καθώς και των εν λόγω νέων κανονισμών του ΟΗΕ</w:t>
      </w:r>
      <w:r>
        <w:t xml:space="preserve">, </w:t>
      </w:r>
      <w:r>
        <w:rPr>
          <w:noProof/>
        </w:rPr>
        <w:t>δεδομένου ότι οι κανονισμοί, σε συνδυασμό με την ενοποιημένη απόφαση, θα είναι δεσμευτικοί για την Ένωση και θα μπορούν να επηρεάσουν με καθοριστικό τρόπο το περιεχόμενο του δικαίου της Ένωσης στον τομέα της έγκρισης τύπου οχημάτων.</w:t>
      </w:r>
    </w:p>
    <w:p>
      <w:pPr>
        <w:pStyle w:val="ManualConsidrant"/>
        <w:rPr>
          <w:noProof/>
        </w:rPr>
      </w:pPr>
      <w:r>
        <w:t>(6)</w:t>
      </w:r>
      <w:r>
        <w:tab/>
      </w:r>
      <w:r>
        <w:rPr>
          <w:noProof/>
        </w:rPr>
        <w:t>Η οδηγία 2007/46/ΕΚ του Ευρωπαϊκού Κοινοβουλίου και του Συμβουλίου</w:t>
      </w:r>
      <w:r>
        <w:rPr>
          <w:rStyle w:val="FootnoteReference"/>
          <w:noProof/>
        </w:rPr>
        <w:footnoteReference w:id="3"/>
      </w:r>
      <w:r>
        <w:rPr>
          <w:noProof/>
        </w:rPr>
        <w:t xml:space="preserve"> αντικατέστησε τα συστήματα έγκρισης των κρατών μελών με ενωσιακή διαδικασία έγκρισης και θέσπισε εναρμονισμένο πλαίσιο που περιέχει τις διοικητικές διατάξεις και τις γενικές τεχνικές απαιτήσεις για όλα τα νέα οχήματα, τα συστήματα, τα κατασκευαστικά στοιχεία και τις χωριστές τεχνικές μονάδες. Η εν λόγω οδηγία ενσωμάτωσε τους κανονισμούς που εκδόθηκαν δυνάμει της αναθεωρημένης συμφωνίας του 1958 («κανονισμοί του ΟΗΕ») στο σύστημα έγκρισης τύπου της ΕΕ, είτε ως απαιτήσεις για την έγκριση τύπου είτε ως εναλλακτικές προς την ενωσιακή νομοθεσία απαιτήσεις. Μετά την έκδοση της οδηγίας 2007/46/ΕΚ, οι κανονισμοί του ΟΗΕ ενσωματώνονται όλο και περισσότερο στην ενωσιακή νομοθεσία.  </w:t>
      </w:r>
    </w:p>
    <w:p>
      <w:pPr>
        <w:pStyle w:val="ManualConsidrant"/>
        <w:rPr>
          <w:noProof/>
        </w:rPr>
      </w:pPr>
      <w:r>
        <w:t>(7)</w:t>
      </w:r>
      <w:r>
        <w:tab/>
      </w:r>
      <w:r>
        <w:rPr>
          <w:noProof/>
        </w:rPr>
        <w:t>Με βάση την πείρα και τις τεχνικές εξελίξεις, πρέπει να τροποποιηθούν ή να συμπληρωθούν οι απαιτήσεις σχετικά με ορισμένα στοιχεία ή χαρακτηριστικά που καλύπτονται από τους κανονισμούς του ΟΗΕ αριθ. 0, 3, 4, 6, 7, 9, 10, 19, 23, 27, 38, 41, 48, 50, 51, 53, 62, 67, 69, 70, 73, 74, 77, 86, 87, 91, 92, 98, 104, 106, 107, 110, 112, 113, 116, 119, 122, 123 και 128, καθώς και από την ενοποιημένη απόφαση R.E.5. Επιπλέον, πρέπει να διορθωθούν ορισμένες διατάξεις των κανονισμών του ΟΗΕ αριθ. 55, 58 και 107.</w:t>
      </w:r>
    </w:p>
    <w:p>
      <w:pPr>
        <w:pStyle w:val="ManualConsidrant"/>
        <w:rPr>
          <w:noProof/>
        </w:rPr>
      </w:pPr>
      <w:r>
        <w:t>(8)</w:t>
      </w:r>
      <w:r>
        <w:tab/>
      </w:r>
      <w:r>
        <w:rPr>
          <w:noProof/>
        </w:rPr>
        <w:t xml:space="preserve">Προκειμένου να αποσαφηνιστούν και να ενοποιηθούν οι απαιτήσεις σχετικά με τα κατασκευαστικά στοιχεία που περιέχονται επί του παρόντος σε διάφορους κανονισμούς του ΟΗΕ, πρέπει να θεσπιστούν τρεις νέοι κανονισμοί του ΟΗΕ για τις διατάξεις φωτεινής σηματοδότησης (LSD), τις διατάξεις οδικού φωτισμού (RID) και τις αντανακλαστικές διατάξεις (RRD). Οι εν λόγω νέοι κανονισμοί του ΟΗΕ θα αντικαταστήσουν, χωρίς να αλλάξουν καμία από τις λεπτομερείς τεχνικές απαιτήσεις που ήδη ισχύουν μέχρι σήμερα, 20 κανονισμούς του ΟΗΕ (αριθ. 3, 4, 6, 7, 19, 23, 27, 38, 50, 69, 70, 77, 87, 91, 98, 104, 112, 113, 119 και 123), που δεν θα χρησιμοποιούνται πλέον για νέες εγκρίσεις τύπου οχημάτων. Ήδη στις 6 Νοεμβρίου 2018 το Συμβούλιο εξέδωσε απόφαση σχετικά με τη θέση που έπρεπε να ληφθεί όσον αφορά όλους αυτούς τους 23 κανονισμούς του ΟΗΕ κατά τη σύνοδο του Νοεμβρίου 2018 των σχετικών επιτροπών της ΟΕΕ/ΗΕ (176η σύνοδος του Παγκόσμιου Φόρουμ). Ωστόσο, οι σχετικές επιτροπές δεν ψήφισαν σχετικά με τους εν λόγω κανονισμούς στο πλαίσιο της εν λόγω συνόδου. </w:t>
      </w:r>
    </w:p>
    <w:p>
      <w:pPr>
        <w:rPr>
          <w:noProof/>
        </w:rPr>
      </w:pP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 xml:space="preserve">Η θέση που πρέπει να ληφθεί εξ ονόματος της Ένωσης στο πλαίσιο της διοικητικής επιτροπής της αναθεωρημένης συμφωνίας του 1958 και της εκτελεστικής επιτροπής της παράλληλης συμφωνίας κατά την </w:t>
      </w:r>
      <w:r>
        <w:rPr>
          <w:noProof/>
          <w:sz w:val="23"/>
          <w:szCs w:val="23"/>
        </w:rPr>
        <w:t>177η σύνοδο του Παγκόσμιου Φόρουμ</w:t>
      </w:r>
      <w:r>
        <w:rPr>
          <w:noProof/>
        </w:rPr>
        <w:t>, η οποία θα λάβει χώρα από τις 11 έως τις 15 Μαρτίου 2019, είναι να υπερψηφιστούν οι προτάσεις που απαριθμούνται στο παράρτημα της παρούσας απόφασης.</w:t>
      </w:r>
    </w:p>
    <w:p>
      <w:pPr>
        <w:jc w:val="center"/>
        <w:rPr>
          <w:i/>
          <w:noProof/>
        </w:rPr>
      </w:pPr>
      <w:r>
        <w:rPr>
          <w:i/>
          <w:noProof/>
        </w:rPr>
        <w:t>Άρθρο 2</w:t>
      </w:r>
    </w:p>
    <w:p>
      <w:pPr>
        <w:rPr>
          <w:noProof/>
        </w:rPr>
      </w:pPr>
      <w:r>
        <w:rPr>
          <w:noProof/>
        </w:rPr>
        <w:t>Η παρούσα απόφαση απευθύνεται στην Επιτροπή.</w:t>
      </w:r>
    </w:p>
    <w:p>
      <w:pPr>
        <w:pStyle w:val="Fait"/>
        <w:rPr>
          <w:noProof/>
        </w:rPr>
      </w:pPr>
      <w:r>
        <w:t>Βρυξέλλες,</w:t>
      </w:r>
    </w:p>
    <w:p>
      <w:pPr>
        <w:pStyle w:val="Institutionquisigne"/>
        <w:rPr>
          <w:noProof/>
        </w:rPr>
      </w:pPr>
    </w:p>
    <w:p>
      <w:pPr>
        <w:pStyle w:val="Institutionquisigne"/>
        <w:spacing w:before="120"/>
        <w:rPr>
          <w:noProof/>
        </w:rPr>
      </w:pPr>
      <w:r>
        <w:rPr>
          <w:noProof/>
        </w:rPr>
        <w:tab/>
        <w:t>Για το Συμβούλιο</w:t>
      </w:r>
    </w:p>
    <w:p>
      <w:pPr>
        <w:pStyle w:val="Personnequisigne"/>
        <w:rPr>
          <w:noProof/>
        </w:rPr>
      </w:pPr>
      <w:r>
        <w:rPr>
          <w:noProof/>
        </w:rPr>
        <w:tab/>
        <w:t>Ο Πρόεδρος</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97/836/EK του Συμβουλίου, της 27ης Νοεμβρίου 1997, ενόψει της προσχωρήσεως της Ευρωπαϊκής Κοινότητας στη συμφωνία της οικονομικής επιτροπής των Ηνωμένων Εθνών για την Ευρώπη σχετικά με την υιοθέτηση ομοιόμορφων τεχνικών προδιαγραφών για τροχοφόρα οχήματα, εξοπλισμό και εξαρτήματα τα οποία δύνανται να τοποθετηθούν ή/και να χρησιμοποιηθούν σε τροχοφόρα οχήματα και τις συνθήκες για την αμοιβαία αναγνώριση των εγκρίσεων που χορηγούνται με βάση τις προδιαγραφές αυτές («αναθεωρημένη συμφωνία του 1958») (ΕΕ L 346 της 17.12.1997, σ. 78).</w:t>
      </w:r>
    </w:p>
  </w:footnote>
  <w:footnote w:id="2">
    <w:p>
      <w:pPr>
        <w:pStyle w:val="FootnoteText"/>
      </w:pPr>
      <w:r>
        <w:rPr>
          <w:rStyle w:val="FootnoteReference"/>
        </w:rPr>
        <w:footnoteRef/>
      </w:r>
      <w:r>
        <w:tab/>
        <w:t>Απόφαση 2000/125/ΕΚ του Συμβουλίου, της 31ης Ιανουαρίου 2000, για τη σύναψη συμφωνίας που αφορά την κατάρτιση παγκόσμιων τεχνικών κανονισμών για τα τροχοφόρα οχήματα, τον εξοπλισμό και τα εξαρτήματα που μπορούν να τοποθετούνται ή/και να χρησιμοποιούνται σε τροχοφόρα οχήματα («παράλληλη συμφωνία») (ΕΕ L 35 της 10.2.2000, σ. 12).</w:t>
      </w:r>
    </w:p>
  </w:footnote>
  <w:footnote w:id="3">
    <w:p>
      <w:pPr>
        <w:pStyle w:val="FootnoteText"/>
      </w:pPr>
      <w:r>
        <w:rPr>
          <w:rStyle w:val="FootnoteReference"/>
        </w:rPr>
        <w:footnoteRef/>
      </w:r>
      <w:r>
        <w:tab/>
        <w:t>Οδηγία 2007/46/ΕΚ του Ευρωπαϊκού Κοινοβουλίου και του Συμβουλίου, της 5ης Σεπτεμβρίου 2007, για τη θέσπιση πλαισίου για την έγκριση των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(οδηγία-πλαίσιο) (ΕΕ L 263 της 9.10.2007,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6:21: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B0476C1-777A-45ED-9E82-D4D84BAE198E"/>
    <w:docVar w:name="LW_COVERPAGE_TYPE" w:val="1"/>
    <w:docVar w:name="LW_CROSSREFERENCE" w:val="&lt;UNUSED&gt;"/>
    <w:docVar w:name="LW_DocType" w:val="COM"/>
    <w:docVar w:name="LW_EMISSION" w:val="11.2.2019"/>
    <w:docVar w:name="LW_EMISSION_ISODATE" w:val="2019-02-11"/>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38"/>
    <w:docVar w:name="LW_REF.II.NEW.CP_YEAR" w:val="2019"/>
    <w:docVar w:name="LW_REF.INST.NEW" w:val="COM"/>
    <w:docVar w:name="LW_REF.INST.NEW_ADOPTED" w:val="final"/>
    <w:docVar w:name="LW_REF.INST.NEW_TEXT" w:val="(2019)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9? \u960?\u955?\u945?\u943?\u963?\u953?\u959? \u964?\u969?\u957? \u963?\u967?\u949?\u964?\u953?\u954?\u974?\u957? \u949?\u960?\u953?\u964?\u961?\u959?\u960?\u974?\u957? \u964?\u951?\u962? \u927?\u953?\u954?\u959?\u957?\u959?\u956?\u953?\u954?\u942?\u962? \u917?\u960?\u953?\u964?\u961?\u959?\u960?\u942?\u962? \u964?\u969?\u957? \u919?\u957?\u969?\u956?\u941?\u957?\u969?\u957? \u917?\u952?\u957?\u974?\u957? \u947?\u953?\u945? \u964?\u951?\u957? \u917?\u965?\u961?\u974?\u960?\u951? \u972?\u963?\u959?\u957? \u945?\u966?\u959?\u961?\u940? \u964?\u953?\u962? \u960?\u961?\u959?\u964?\u940?\u963?\u949?\u953?\u962? \u964?\u961?\u959?\u960?\u959?\u960?\u959?\u943?\u951?\u963?\u951?\u962? \u964?\u969?\u957? \u954?\u945?\u957?\u959?\u957?\u953?\u963?\u956?\u974?\u957? \u964?\u959?\u965? \u927?\u919?\u917? \u945?\u961?\u953?\u952?. 0, 3, 4, 6, 7, 9, 10, 19, 23, 27, 38, 41, 48, 50, 51, 53, 55, 58, 62, 67, 69, 70, 73, 74, 77, 86, 87, 91, 92, 98, 104, 106, 107, 110, 112, 113, 116, 119, 122, 123 \u954?\u945?\u953? 128, \u972?\u963?\u959?\u957? \u945?\u966?\u959?\u961?\u940? \u964?\u951?\u957? \u960?\u961?\u972?\u964?\u945?\u963?\u951? \u964?\u961?\u959?\u960?\u959?\u960?\u959?\u943?\u951?\u963?\u951?\u962? \u964?\u951?\u962? \u949?\u957?\u959?\u960?\u959?\u953?\u951?\u956?\u941?\u957?\u951?\u962? \u945?\u960?\u972?\u966?\u945?\u963?\u951?\u962? R.E.5, \u972?\u963?\u959?\u957? \u945?\u966?\u959?\u961?\u940? \u964?\u953?\u962? \u960?\u961?\u959?\u964?\u940?\u963?\u949?\u953?\u962? \u947?\u953?\u945? \u964?\u941?\u963?\u963?\u949?\u961?\u953?\u962? \u957?\u941?\u959?\u965?\u962? \u954?\u945?\u957?\u959?\u957?\u953?\u963?\u956?\u959?\u973?\u962? \u964?\u959?\u965? \u927?\u919?\u917?, \u954?\u945?\u952?\u974?\u962? \u954?\u945?\u953? \u972?\u963?\u959?\u957? \u945?\u966?\u959?\u961?\u940? \u964?\u951?\u957? \u960?\u961?\u972?\u964?\u945?\u963?\u951? \u964?\u961?\u959?\u960?\u959?\u960?\u959?\u943?\u951?\u963?\u951?\u962? \u964?\u959?\u965? \u960?\u945?\u961?\u945?\u961?\u964?\u942?\u956?\u945?\u964?\u959?\u962? 4 \u964?\u951?\u962? \u963?\u965?\u956?\u966?\u969?\u957?\u943?\u945?\u962? \u964?\u959?\u965? 1958_x000b_"/>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34F9-B6F5-4280-884B-405FA5A2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2445</Words>
  <Characters>13867</Characters>
  <Application>Microsoft Office Word</Application>
  <DocSecurity>0</DocSecurity>
  <Lines>252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2019-01-28T10:48:00Z</cp:lastPrinted>
  <dcterms:created xsi:type="dcterms:W3CDTF">2019-02-05T08:58:00Z</dcterms:created>
  <dcterms:modified xsi:type="dcterms:W3CDTF">2019-02-08T15:21:00Z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