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BA27866-8F09-4679-87E4-42C56F179BBA" style="width:450.25pt;height:465.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ANEXĂ</w:t>
      </w:r>
    </w:p>
    <w:p>
      <w:pPr>
        <w:rPr>
          <w:noProof/>
        </w:rPr>
      </w:pPr>
    </w:p>
    <w:tbl>
      <w:tblPr>
        <w:tblW w:w="9087" w:type="dxa"/>
        <w:tblInd w:w="93" w:type="dxa"/>
        <w:tblLook w:val="04A0" w:firstRow="1" w:lastRow="0" w:firstColumn="1" w:lastColumn="0" w:noHBand="0" w:noVBand="1"/>
      </w:tblPr>
      <w:tblGrid>
        <w:gridCol w:w="1656"/>
        <w:gridCol w:w="4181"/>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bCs/>
                <w:noProof/>
              </w:rPr>
              <w:t>Regulamentul nr.</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bCs/>
                <w:noProof/>
              </w:rPr>
              <w:t>Titlul punctului de pe ordinea de zi</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bCs/>
                <w:noProof/>
              </w:rPr>
              <w:t>Referința documentului</w:t>
            </w:r>
            <w:r>
              <w:rPr>
                <w:rStyle w:val="FootnoteReference"/>
                <w:b/>
                <w:bCs/>
                <w:noProof/>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0 privind dispozițiile uniforme referitoare la omologarea internațională de tip a întregului vehicul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p>
          <w:p>
            <w:pPr>
              <w:rPr>
                <w:rFonts w:ascii="Times" w:hAnsi="Times" w:cs="Times"/>
                <w:noProof/>
                <w:sz w:val="20"/>
                <w:szCs w:val="20"/>
              </w:rPr>
            </w:pPr>
            <w:r>
              <w:rPr>
                <w:rFonts w:ascii="Times" w:hAnsi="Times"/>
                <w:noProof/>
                <w:sz w:val="20"/>
                <w:szCs w:val="20"/>
              </w:rPr>
              <w:t>ECE/TRANS/WP.29/2018/82</w:t>
            </w:r>
          </w:p>
          <w:p>
            <w:pPr>
              <w:rPr>
                <w:rFonts w:ascii="Times" w:hAnsi="Times" w:cs="Times"/>
                <w:noProof/>
                <w:sz w:val="20"/>
                <w:szCs w:val="20"/>
              </w:rPr>
            </w:pP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03 la Regulamentul ONU nr. 3 (Dispozitive retroreflectorizante)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ECE/TRANS/WP.29/2018/91/Rev.1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4 (Iluminarea plăcuțelor de înmatriculare spate)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ECE/TRANS/WP.29/2018/92/Rev.1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6</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02 la Regulamentul ONU nr. 6 (Lămpi indicatoare de direcție)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ECE/TRANS/WP.29/2018/93/Rev.1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03 la Regulamentul ONU nr. 7 (Lămpi de poziție, de stop și de gabarit)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ECE/TRANS/WP.29/2018/94/Rev.1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08 la Regulamentul ONU nr. 9 (Emisii sonore ale vehiculelor cu trei roți)</w:t>
            </w:r>
          </w:p>
          <w:p>
            <w:pPr>
              <w:rPr>
                <w:rFonts w:ascii="Times" w:hAnsi="Times" w:cs="Times"/>
                <w:noProof/>
                <w:sz w:val="20"/>
                <w:szCs w:val="20"/>
              </w:rPr>
            </w:pP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o nouă serie de amendamente 06 la Regulamentul ONU nr. 10 (Compatibilitate electromagnetică)</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ECE/TRANS/WP.29/2019/20</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05 la Regulamentul ONU nr. 19 (Lămpi de ceață față)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ECE/TRANS/WP.29/2018/95/Rev.1</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23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23 (Lămpi pentru mersul înapoi)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ECE/TRANS/WP.29/2018/96/Rev.1</w:t>
            </w:r>
          </w:p>
        </w:tc>
      </w:tr>
      <w:tr>
        <w:trPr>
          <w:trHeight w:val="58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27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05 la Regulamentul ONU nr. 27 (Triunghiuri reflectorizante de avertizare)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38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38 (Lămpi de ceață spate)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7 la seria de amendamente 04 la Regulamentul ONU nr. 41</w:t>
            </w:r>
            <w:r>
              <w:rPr>
                <w:rFonts w:ascii="Times" w:hAnsi="Times"/>
                <w:noProof/>
                <w:sz w:val="20"/>
                <w:szCs w:val="20"/>
              </w:rPr>
              <w:br/>
              <w:t>(Emisii sonore ale motocicletelor)</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12 la seria de amendamente 06 la Regulamentul ONU nr. 48 (Instalarea dispozitivelor de iluminat și de semnalizare luminoasă)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ECE/TRANS/WP.29/2018/99/Rev.2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13 la seria de amendamente 05 la Regulamentul ONU nr. 48 (Instalarea dispozitivelor de iluminat și de semnalizare luminoasă)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18 la seria de amendamente 04 la Regulamentul ONU nr. 48 (Instalarea dispozitivelor de iluminat și de semnalizare luminoasă)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6 la seria de amendamente 03 la Regulamentul ONU nr. 48 (Instalarea dispozitivelor de iluminat și de semnalizare luminoasă)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50 (Lămpi de poziție, de stop și indicatoare de direcție pentru motorete și motociclete)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de completare 5 la seria de amendamente 03 la Regulamentul ONU nr. 51 </w:t>
            </w:r>
            <w:r>
              <w:rPr>
                <w:rFonts w:ascii="Times" w:hAnsi="Times"/>
                <w:noProof/>
                <w:sz w:val="20"/>
                <w:szCs w:val="20"/>
              </w:rPr>
              <w:br/>
              <w:t>(Emisii sonore ale vehiculelor din categoriile M și N)</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ECE/TRANS/WP.29/2019/4/Rev.1</w:t>
            </w:r>
          </w:p>
          <w:p>
            <w:pPr>
              <w:rPr>
                <w:rFonts w:ascii="Times" w:hAnsi="Times" w:cs="Times"/>
                <w:noProof/>
                <w:sz w:val="20"/>
                <w:szCs w:val="20"/>
              </w:rPr>
            </w:pP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 la seria de amendamente 02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ECE/TRANS/WP.29/2018/86/Rev.1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20 la seria de amendamente 01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ECE/TRANS/WP.29/2018/87/Rev.2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 la seria de amendamente 02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20 la seria de amendamente 01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3 la seria de amendamente 02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21 la seria de amendamente 01 la Regulamentul ONU nr. 53 (Instalarea dispozitivelor de iluminat și de semnalizare luminoasă pentru vehiculele de tip L3)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55</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1 la revizia 2 la Regulamentul ONU nr. 55 (Cuplaje mecanice)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58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de rectificare 1 la revizia 3 la Regulamentul ONU nr. 58 (Protecție antiîmpănare spate)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62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3 la Regulamentul ONU nr. 62 (Sisteme antifurt pentru motorete și motociclete)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16 la seria de amendamente 01 la Regulamentul ONU nr. 67 (Vehicule GPL)</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 la seria de amendamente 02 la Regulamentul ONU nr. 67 (Vehicule GPL)</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ECE/TRANS/WP.29/2019/10</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69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02 la Regulamentul ONU nr. 69 (Plăci de identificare spate pentru vehicule lente)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70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02 la Regulamentul ONU nr. 70 (Plăci de identificare spate pentru vehicule grele și lungi)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73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de completare 2 la seria de amendamente 01 la Regulamentul ONU nr. 73 </w:t>
            </w:r>
            <w:r>
              <w:rPr>
                <w:rFonts w:ascii="Times" w:hAnsi="Times"/>
                <w:noProof/>
                <w:sz w:val="20"/>
                <w:szCs w:val="20"/>
              </w:rPr>
              <w:br/>
              <w:t>(Dispozitive de protecție laterală)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74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Propunerea de completare 11 la seria de amendamente 01 la Regulamentul ONU nr. 74 (Instalarea dispozitivelor de iluminat și de semnalizare luminoasă pentru motorete)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ECE/TRANS/WP.29/2018/108/Rev.2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77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77 (Lămpi de staționare)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ECE/TRANS/WP.29/2018/109/Rev.1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1 la seria de amendamente 01 la Regulamentul ONU nr. 86 (Instalarea dispozitivelor de iluminat și de semnalizare luminoasă pentru vehiculele agricole)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7 la versiunea inițială a Regulamentului ONU nr. 86 (Instalarea dispozitivelor de iluminat și de semnalizare luminoasă pentru vehiculele agricole)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87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01 la Regulamentul ONU nr. 87 (Lămpi pentru circulație diurnă)</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ECE/TRANS/WP.29/2018/112/Rev.1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91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01 la Regulamentul ONU nr. 91 (Lămpi de poziție laterale)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92</w:t>
            </w:r>
          </w:p>
        </w:tc>
        <w:tc>
          <w:tcPr>
            <w:tcW w:w="4500" w:type="dxa"/>
            <w:tcBorders>
              <w:top w:val="single" w:sz="4" w:space="0" w:color="auto"/>
              <w:left w:val="nil"/>
              <w:bottom w:val="single" w:sz="4" w:space="0" w:color="auto"/>
              <w:right w:val="single" w:sz="4" w:space="0" w:color="auto"/>
            </w:tcBorders>
            <w:shd w:val="clear" w:color="auto" w:fill="auto"/>
          </w:tcPr>
          <w:p>
            <w:pPr>
              <w:ind w:left="57"/>
              <w:rPr>
                <w:rFonts w:ascii="Times" w:hAnsi="Times" w:cs="Times"/>
                <w:noProof/>
                <w:sz w:val="20"/>
                <w:szCs w:val="20"/>
              </w:rPr>
            </w:pPr>
            <w:r>
              <w:rPr>
                <w:rFonts w:ascii="Times" w:hAnsi="Times"/>
                <w:noProof/>
                <w:sz w:val="20"/>
                <w:szCs w:val="20"/>
              </w:rPr>
              <w:t>Propunere pentru seria de amendamente 02 la Regulamentul ONU nr. 92 (Sisteme de schimb de amortizare a zgomotului la evacuare pentru motociclete)</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98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02 la Regulamentul ONU nr. 98 (Faruri cu surse luminoase cu descărcare în gaz)</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01 la Regulamentul ONU nr. 104 (Marcaje retroreflectorizante)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ECE/TRANS/WP.29/2018/115/Rev.1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de completare 17 la seria originală de amendamente la Regulamentul ONU nr. 106 </w:t>
            </w:r>
            <w:r>
              <w:rPr>
                <w:rFonts w:ascii="Times" w:hAnsi="Times"/>
                <w:noProof/>
                <w:sz w:val="20"/>
                <w:szCs w:val="20"/>
              </w:rPr>
              <w:br/>
              <w:t>(Pneuri pentru vehiculele agricole și remorcile acestora)</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de completare 1 la seria de amendamente 08 la Regulamentul ONU nr. 107 </w:t>
            </w:r>
            <w:r>
              <w:rPr>
                <w:rFonts w:ascii="Times" w:hAnsi="Times"/>
                <w:noProof/>
                <w:sz w:val="20"/>
                <w:szCs w:val="20"/>
              </w:rPr>
              <w:br/>
              <w:t>(vehicule de tip M2 și M3)</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2 la revizia 4 la Regulamentul ONU nr. 107 (vehicule de tip M2 și M3)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2 la revizia 5 la Regulamentul ONU nr. 107 (vehicule de tip M2 și M3)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3 la revizia 6 la Regulamentul ONU nr. 107 (vehicule de tip M2 și M3)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2 la revizia 7 la Regulamentul ONU nr. 107 (vehicule de tip M2 și M3)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rectificare 1 la revizia 8 la Regulamentul ONU nr. 107 (vehicule de tip M2 și M3)</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ECE/TRANS/WP.29/2019/27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2 la seria de amendamente 03 la Regulamentul ONU nr. 110 (Vehicule GNC și GNL)</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04 la Regulamentul ONU nr. 110 (Vehicule GNC și GNL)</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02 la Regulamentul ONU nr. 112 (Faruri care emit o lumină de întâlnire asimetrică)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03 la Regulamentul ONU nr. 113 (Faruri care emit o lumină de întâlnire simetrică)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6 la Regulamentul ONU nr. 116 (sisteme de alarmă și antifurt)</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119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pentru seria de amendamente 02 la Regulamentul ONU nr. 119 (Lămpi de viraj)</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122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5 la Regulamentul ONU nr. 122 (Sisteme de încălzire)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123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seria de amendamente 02 la Regulamentul ONU nr. 123 [Sisteme adaptabile de iluminare față (AFS)]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ECE/TRANS/WP.29/2018/119/Rev.1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128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Propunere de completare 9 la versiunea originală a Regulamentului ONU nr. 128 [Surse de lumină cu diode electroluminiscente (LED)]</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ECE/TRANS/WP.29/2019/19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Regulament ONU nou</w:t>
            </w:r>
          </w:p>
        </w:tc>
        <w:tc>
          <w:tcPr>
            <w:tcW w:w="4500" w:type="dxa"/>
            <w:tcBorders>
              <w:top w:val="single" w:sz="4" w:space="0" w:color="auto"/>
              <w:left w:val="nil"/>
              <w:bottom w:val="single" w:sz="4" w:space="0" w:color="auto"/>
              <w:right w:val="single" w:sz="4" w:space="0" w:color="auto"/>
            </w:tcBorders>
            <w:shd w:val="clear" w:color="auto" w:fill="auto"/>
          </w:tcPr>
          <w:p>
            <w:pPr>
              <w:pStyle w:val="SingleTxtG"/>
              <w:ind w:left="5" w:right="240" w:hanging="5"/>
              <w:jc w:val="left"/>
              <w:rPr>
                <w:rFonts w:ascii="Times" w:hAnsi="Times" w:cs="Times"/>
                <w:noProof/>
                <w:sz w:val="20"/>
                <w:szCs w:val="20"/>
              </w:rPr>
            </w:pPr>
            <w:r>
              <w:rPr>
                <w:rFonts w:ascii="Times" w:hAnsi="Times"/>
                <w:noProof/>
                <w:sz w:val="20"/>
                <w:szCs w:val="20"/>
              </w:rPr>
              <w:t>Propunere pentru un nou regulament ONU privind dispozițiile uniforme referitoare la omologarea autovehiculelor în ceea ce privește Sistemul de informare pentru unghiul mort pentru detectarea bicicletelor</w:t>
            </w:r>
          </w:p>
        </w:tc>
        <w:tc>
          <w:tcPr>
            <w:tcW w:w="3250" w:type="dxa"/>
            <w:tcBorders>
              <w:top w:val="single" w:sz="4" w:space="0" w:color="auto"/>
              <w:left w:val="nil"/>
              <w:bottom w:val="single" w:sz="4" w:space="0" w:color="auto"/>
              <w:right w:val="single" w:sz="4" w:space="0" w:color="auto"/>
            </w:tcBorders>
            <w:shd w:val="clear" w:color="auto" w:fill="auto"/>
          </w:tcPr>
          <w:p>
            <w:pPr>
              <w:pStyle w:val="SingleTxtG"/>
              <w:ind w:left="147" w:right="141"/>
              <w:rPr>
                <w:rFonts w:ascii="Times" w:hAnsi="Times" w:cs="Times"/>
                <w:noProof/>
                <w:sz w:val="20"/>
                <w:szCs w:val="20"/>
              </w:rPr>
            </w:pPr>
            <w:r>
              <w:rPr>
                <w:rFonts w:ascii="Times" w:hAnsi="Times"/>
                <w:noProof/>
                <w:sz w:val="20"/>
                <w:szCs w:val="20"/>
              </w:rPr>
              <w:t>ECE/TRANS/WP.29/2019/28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Regulament ONU nou</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un nou regulament ONU privind dispozitivele de semnalizare luminoasă (LSD)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ECE/TRANS/WP.29/2018/157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Regulament ONU nou</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un nou regulament ONU privind dispozitivele de iluminare a drumului (RID)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ECE/TRANS/WP.29/2018/158/Rev.1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szCs w:val="20"/>
              </w:rPr>
              <w:t>Regulament ONU nou</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 xml:space="preserve">Propunere pentru un nou regulament ONU privind dispozitivele retroreflectorizante (RRD)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szCs w:val="20"/>
              </w:rPr>
              <w:t>ECE/TRANS/WP.29/2018/159/Rev.1</w:t>
            </w:r>
          </w:p>
        </w:tc>
      </w:tr>
    </w:tbl>
    <w:p>
      <w:pPr>
        <w:spacing w:before="0" w:after="200" w:line="276" w:lineRule="auto"/>
        <w:jc w:val="left"/>
        <w:rPr>
          <w:rFonts w:asciiTheme="minorHAnsi" w:hAnsiTheme="minorHAnsi" w:cstheme="minorBidi"/>
          <w:noProof/>
          <w:sz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bCs/>
                <w:noProof/>
              </w:rPr>
              <w:t>Rezoluția consolidată nr.</w:t>
            </w:r>
          </w:p>
        </w:tc>
        <w:tc>
          <w:tcPr>
            <w:tcW w:w="4678" w:type="dxa"/>
            <w:shd w:val="clear" w:color="auto" w:fill="auto"/>
            <w:hideMark/>
          </w:tcPr>
          <w:p>
            <w:pPr>
              <w:spacing w:before="0" w:after="0"/>
              <w:jc w:val="left"/>
              <w:rPr>
                <w:rFonts w:eastAsia="Times New Roman"/>
                <w:b/>
                <w:bCs/>
                <w:noProof/>
                <w:szCs w:val="24"/>
              </w:rPr>
            </w:pPr>
            <w:r>
              <w:rPr>
                <w:b/>
                <w:bCs/>
                <w:noProof/>
              </w:rPr>
              <w:t>Titlul punctului de pe ordinea de zi</w:t>
            </w:r>
          </w:p>
        </w:tc>
        <w:tc>
          <w:tcPr>
            <w:tcW w:w="2977" w:type="dxa"/>
            <w:shd w:val="clear" w:color="auto" w:fill="auto"/>
            <w:hideMark/>
          </w:tcPr>
          <w:p>
            <w:pPr>
              <w:spacing w:before="0" w:after="0"/>
              <w:jc w:val="left"/>
              <w:rPr>
                <w:rFonts w:eastAsia="Times New Roman"/>
                <w:b/>
                <w:bCs/>
                <w:noProof/>
                <w:szCs w:val="24"/>
              </w:rPr>
            </w:pPr>
            <w:r>
              <w:rPr>
                <w:b/>
                <w:bCs/>
                <w:noProof/>
              </w:rPr>
              <w:t>Referința documentului</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szCs w:val="20"/>
              </w:rPr>
              <w:t xml:space="preserve">R.E.5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szCs w:val="20"/>
              </w:rPr>
              <w:t>Propunere de amendament 3 la Rezoluția consolidată privind specificațiile comune ale categoriilor de surse luminoase (R.E.5)</w:t>
            </w:r>
          </w:p>
          <w:p>
            <w:pPr>
              <w:rPr>
                <w:rFonts w:ascii="Times" w:hAnsi="Times" w:cs="Times"/>
                <w:noProof/>
                <w:sz w:val="20"/>
                <w:szCs w:val="20"/>
              </w:rPr>
            </w:pPr>
          </w:p>
        </w:tc>
        <w:tc>
          <w:tcPr>
            <w:tcW w:w="2977" w:type="dxa"/>
            <w:shd w:val="clear" w:color="auto" w:fill="auto"/>
          </w:tcPr>
          <w:p>
            <w:pPr>
              <w:rPr>
                <w:rFonts w:ascii="Times" w:hAnsi="Times" w:cs="Times"/>
                <w:noProof/>
                <w:sz w:val="20"/>
                <w:szCs w:val="20"/>
              </w:rPr>
            </w:pPr>
            <w:r>
              <w:rPr>
                <w:rFonts w:ascii="Times" w:hAnsi="Times"/>
                <w:noProof/>
                <w:sz w:val="20"/>
                <w:szCs w:val="20"/>
              </w:rPr>
              <w:t>ECE/TRANS/WP.29/2019/29</w:t>
            </w:r>
          </w:p>
        </w:tc>
      </w:tr>
    </w:tbl>
    <w:p>
      <w:pPr>
        <w:pStyle w:val="Default"/>
        <w:rPr>
          <w:rFonts w:ascii="MS Mincho" w:eastAsia="MS Mincho"/>
          <w:noProof/>
          <w:color w:val="auto"/>
        </w:rPr>
      </w:pPr>
    </w:p>
    <w:p>
      <w:pPr>
        <w:pStyle w:val="Default"/>
        <w:rPr>
          <w:rFonts w:ascii="MS Mincho" w:eastAsia="MS Mincho"/>
          <w:noProof/>
          <w:color w:val="auto"/>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bCs/>
                <w:noProof/>
              </w:rPr>
              <w:t>Acordul revizuit din 1958</w:t>
            </w:r>
          </w:p>
        </w:tc>
        <w:tc>
          <w:tcPr>
            <w:tcW w:w="4678" w:type="dxa"/>
            <w:shd w:val="clear" w:color="auto" w:fill="auto"/>
            <w:hideMark/>
          </w:tcPr>
          <w:p>
            <w:pPr>
              <w:spacing w:before="0" w:after="0"/>
              <w:jc w:val="left"/>
              <w:rPr>
                <w:rFonts w:eastAsia="Times New Roman"/>
                <w:b/>
                <w:bCs/>
                <w:noProof/>
                <w:szCs w:val="24"/>
              </w:rPr>
            </w:pPr>
            <w:r>
              <w:rPr>
                <w:b/>
                <w:bCs/>
                <w:noProof/>
              </w:rPr>
              <w:t>Titlul punctului de pe ordinea de zi</w:t>
            </w:r>
          </w:p>
        </w:tc>
        <w:tc>
          <w:tcPr>
            <w:tcW w:w="2977" w:type="dxa"/>
            <w:shd w:val="clear" w:color="auto" w:fill="auto"/>
            <w:hideMark/>
          </w:tcPr>
          <w:p>
            <w:pPr>
              <w:spacing w:before="0" w:after="0"/>
              <w:jc w:val="left"/>
              <w:rPr>
                <w:rFonts w:eastAsia="Times New Roman"/>
                <w:b/>
                <w:bCs/>
                <w:noProof/>
                <w:szCs w:val="24"/>
              </w:rPr>
            </w:pPr>
            <w:r>
              <w:rPr>
                <w:b/>
                <w:bCs/>
                <w:noProof/>
              </w:rPr>
              <w:t>Referința documentului</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szCs w:val="20"/>
              </w:rPr>
              <w:t xml:space="preserve">Anexa 4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szCs w:val="20"/>
              </w:rPr>
              <w:t>Propunere de amendament la anexa 4 la Acordul din 1958</w:t>
            </w:r>
          </w:p>
        </w:tc>
        <w:tc>
          <w:tcPr>
            <w:tcW w:w="2977" w:type="dxa"/>
            <w:shd w:val="clear" w:color="auto" w:fill="auto"/>
          </w:tcPr>
          <w:p>
            <w:pPr>
              <w:rPr>
                <w:rFonts w:ascii="Times" w:hAnsi="Times" w:cs="Times"/>
                <w:noProof/>
                <w:sz w:val="20"/>
                <w:szCs w:val="20"/>
              </w:rPr>
            </w:pPr>
            <w:r>
              <w:rPr>
                <w:rFonts w:ascii="Times" w:hAnsi="Times"/>
                <w:noProof/>
                <w:sz w:val="20"/>
                <w:szCs w:val="20"/>
              </w:rPr>
              <w:t>ECE/TRANS/WP.29/2018/165</w:t>
            </w:r>
          </w:p>
        </w:tc>
      </w:tr>
    </w:tbl>
    <w:p>
      <w:pPr>
        <w:pStyle w:val="Default"/>
        <w:rPr>
          <w:rFonts w:eastAsia="MS Mincho"/>
          <w:noProof/>
          <w:color w:val="auto"/>
        </w:rPr>
      </w:pPr>
      <w:r>
        <w:rPr>
          <w:noProof/>
        </w:rPr>
        <w:t xml:space="preserve"> </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Toate documentele la care se face trimitere în tabel sunt disponibile la adresa: </w:t>
      </w:r>
    </w:p>
    <w:p>
      <w:pPr>
        <w:pStyle w:val="FootnoteText"/>
        <w:rPr>
          <w:sz w:val="18"/>
        </w:rPr>
      </w:pPr>
      <w:hyperlink r:id="rId1" w:history="1">
        <w:r>
          <w:rPr>
            <w:rStyle w:val="Hyperlink"/>
            <w:sz w:val="18"/>
          </w:rPr>
          <w:t>http://www.unece.org/trans/main/wp29/wp29wgs/wp29gen/gen2018.html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hideSpellingErrors/>
  <w:hideGrammaticalErrors/>
  <w:attachedTemplate r:id="rId1"/>
  <w:revisionView w:markup="0"/>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6: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EBA27866-8F09-4679-87E4-42C56F179BBA"/>
    <w:docVar w:name="LW_COVERPAGE_TYPE" w:val="1"/>
    <w:docVar w:name="LW_CROSSREFERENCE" w:val="&lt;UNUSED&gt;"/>
    <w:docVar w:name="LW_DocType" w:val="ANNEX"/>
    <w:docVar w:name="LW_EMISSION" w:val="11.2.2019"/>
    <w:docVar w:name="LW_EMISSION_ISODATE" w:val="2019-02-11"/>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elor relevante ale Comisiei Economice pentru Europa a Organiza\u539?iei Na\u539?iunilor Unite în ceea ce prive\u537?te propunerile de modific\u259?ri la Regulamentele ONU nr. 0, 3, 4, 6, 7, 9, 10, 19, 23, 27, 38, 41, 48, 50, 51, 53, 55, 58, 62, 67, 69, 70, 73, 74, 77, 86, 87, 91, 92, 98, 104, 106, 107, 110, 112, 113, 116, 119, 122, 123 \u537?i 128, în ceea ce prive\u537?te propunerea de amendament la Rezolu\u539?ia consolidat\u259? R.E.5, în ceea ce prive\u537?te propunerile de patru noi regulamente ONU \u537?i în ceea ce prive\u537?te propunerea de amendament la anexa 4 la Acordul din 1958"/>
    <w:docVar w:name="LW_OBJETACTEPRINCIPAL.CP" w:val="privind pozi\u539?ia care urmeaz\u259? s\u259? fie adoptat\u259? în numele Uniunii Europene în cadrul comitetelor relevante ale Comisiei Economice pentru Europa a Organiza\u539?iei Na\u539?iunilor Unite în ceea ce prive\u537?te propunerile de modific\u259?ri la Regulamentele ONU nr. 0, 3, 4, 6, 7, 9, 10, 19, 23, 27, 38, 41, 48, 50, 51, 53, 55, 58, 62, 67, 69, 70, 73, 74, 77, 86, 87, 91, 92, 98, 104, 106, 107, 110, 112, 113, 116, 119, 122, 123 \u537?i 128, în ceea ce prive\u537?te propunerea de amendament la Rezolu\u539?ia consolidat\u259? R.E.5, în ceea ce prive\u537?te propunerile de patru noi regulamente ONU \u537?i în ceea ce prive\u537?te propunerea de amendament la anexa 4 la Acordul din 1958"/>
    <w:docVar w:name="LW_PART_NBR" w:val="1"/>
    <w:docVar w:name="LW_PART_NBR_TOTAL" w:val="1"/>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ro-RO"/>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ro-RO"/>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FAB1-7BF0-43BB-865D-3250C8CD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1348</Words>
  <Characters>8578</Characters>
  <Application>Microsoft Office Word</Application>
  <DocSecurity>0</DocSecurity>
  <Lines>372</Lines>
  <Paragraphs>230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DIGIT/C6</cp:lastModifiedBy>
  <cp:revision>8</cp:revision>
  <cp:lastPrinted>2019-01-10T13:37:00Z</cp:lastPrinted>
  <dcterms:created xsi:type="dcterms:W3CDTF">2019-02-08T12:27:00Z</dcterms:created>
  <dcterms:modified xsi:type="dcterms:W3CDTF">2019-02-08T15:26:00Z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