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41DE868-3181-4C4F-A733-823D8C01D7FF" style="width:450.4pt;height:437.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t>PRIEDAS</w:t>
      </w:r>
    </w:p>
    <w:p>
      <w:pPr>
        <w:rPr>
          <w:noProof/>
        </w:rPr>
      </w:pPr>
    </w:p>
    <w:tbl>
      <w:tblPr>
        <w:tblW w:w="9087" w:type="dxa"/>
        <w:tblInd w:w="93" w:type="dxa"/>
        <w:tblLook w:val="04A0" w:firstRow="1" w:lastRow="0" w:firstColumn="1" w:lastColumn="0" w:noHBand="0" w:noVBand="1"/>
      </w:tblPr>
      <w:tblGrid>
        <w:gridCol w:w="1337"/>
        <w:gridCol w:w="4500"/>
        <w:gridCol w:w="3250"/>
      </w:tblGrid>
      <w:tr>
        <w:trPr>
          <w:trHeight w:val="630"/>
        </w:trPr>
        <w:tc>
          <w:tcPr>
            <w:tcW w:w="1337" w:type="dxa"/>
            <w:tcBorders>
              <w:top w:val="single" w:sz="8" w:space="0" w:color="auto"/>
              <w:left w:val="single" w:sz="8" w:space="0" w:color="auto"/>
              <w:bottom w:val="single" w:sz="4" w:space="0" w:color="auto"/>
              <w:right w:val="single" w:sz="4" w:space="0" w:color="auto"/>
            </w:tcBorders>
            <w:shd w:val="clear" w:color="auto" w:fill="auto"/>
            <w:hideMark/>
          </w:tcPr>
          <w:p>
            <w:pPr>
              <w:spacing w:before="0" w:after="0"/>
              <w:jc w:val="left"/>
              <w:rPr>
                <w:rFonts w:eastAsia="Times New Roman"/>
                <w:b/>
                <w:bCs/>
                <w:noProof/>
                <w:szCs w:val="24"/>
              </w:rPr>
            </w:pPr>
            <w:r>
              <w:rPr>
                <w:b/>
                <w:noProof/>
              </w:rPr>
              <w:t>Taisyklės Nr.</w:t>
            </w:r>
          </w:p>
        </w:tc>
        <w:tc>
          <w:tcPr>
            <w:tcW w:w="4500"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Cs w:val="24"/>
              </w:rPr>
            </w:pPr>
            <w:r>
              <w:rPr>
                <w:b/>
                <w:noProof/>
              </w:rPr>
              <w:t>Pavadinimas darbotvarkėje</w:t>
            </w:r>
          </w:p>
        </w:tc>
        <w:tc>
          <w:tcPr>
            <w:tcW w:w="3250"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Cs w:val="24"/>
              </w:rPr>
            </w:pPr>
            <w:r>
              <w:rPr>
                <w:b/>
                <w:noProof/>
              </w:rPr>
              <w:t>Dokumento nuoroda</w:t>
            </w:r>
            <w:r>
              <w:rPr>
                <w:rStyle w:val="FootnoteReference"/>
                <w:b/>
                <w:noProof/>
              </w:rPr>
              <w:footnoteReference w:id="1"/>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0</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JT taisyklės Nr. 0 dėl vienodų tarptautinio visos transporto priemonės tipo patvirtinimo nuostatų 01 serijos pakeitimų pasiūlymas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p>
          <w:p>
            <w:pPr>
              <w:rPr>
                <w:rFonts w:ascii="Times" w:hAnsi="Times" w:cs="Times"/>
                <w:noProof/>
                <w:sz w:val="20"/>
                <w:szCs w:val="20"/>
              </w:rPr>
            </w:pPr>
            <w:r>
              <w:rPr>
                <w:rFonts w:ascii="Times" w:hAnsi="Times"/>
                <w:noProof/>
                <w:sz w:val="20"/>
              </w:rPr>
              <w:t>ECE/TRANS/WP.29/2018/82</w:t>
            </w:r>
          </w:p>
          <w:p>
            <w:pPr>
              <w:rPr>
                <w:rFonts w:ascii="Times" w:hAnsi="Times" w:cs="Times"/>
                <w:noProof/>
                <w:sz w:val="20"/>
                <w:szCs w:val="20"/>
              </w:rPr>
            </w:pP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3</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JT taisyklės Nr. 3 (šviesogrąžio atšvaito įtaisai) 03 serijos pakeitimų pasiūlymas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ECE/TRANS/WP.29/2018/91/Rev.1</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4</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JT taisyklės Nr. 4 (galinio valstybinio numerio ženklo apšvietimas) 01 serijos pakeitimų pasiūlymas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ECE/TRANS/WP.29/2018/92/Rev.1</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6</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JT taisyklės Nr. 6 (posūkio rodikliai) 02 serijos pakeitimų pasiūlymas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ECE/TRANS/WP.29/2018/93/Rev.1</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7</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JT taisyklės Nr. 7 (gabaritiniai, stabdymo ir kraštinio kontūro gabaritiniai žibintai) 03 serijos pakeitimų pasiūlymas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ECE/TRANS/WP.29/2018/94/Rev.1</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9</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9 (triračių transporto priemonių skleidžiamas triukšmas) 08 serijos pakeitimų pasiūlymas</w:t>
            </w:r>
          </w:p>
          <w:p>
            <w:pPr>
              <w:rPr>
                <w:rFonts w:ascii="Times" w:hAnsi="Times" w:cs="Times"/>
                <w:noProof/>
                <w:sz w:val="20"/>
                <w:szCs w:val="20"/>
              </w:rPr>
            </w:pP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ECE/TRANS/WP.29/2019/6</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10 (elektromagnetinis suderinamumas) naujos 06 serijos pakeitimų pasiūlymas</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ECE/TRANS/WP.29/2019/20</w:t>
            </w:r>
          </w:p>
        </w:tc>
      </w:tr>
      <w:tr>
        <w:trPr>
          <w:trHeight w:val="765"/>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19</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JT taisyklės Nr. 19 (priekiniai rūko žibintai) 05 serijos pakeitimų pasiūlymas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ECE/TRANS/WP.29/2018/95/Rev.1</w:t>
            </w:r>
          </w:p>
        </w:tc>
      </w:tr>
      <w:tr>
        <w:trPr>
          <w:trHeight w:val="765"/>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23</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JT taisyklės Nr. 23 (atbulinės eigos žibintai) 01 serijos pakeitimų pasiūlymas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ECE/TRANS/WP.29/2018/96/Rev.1</w:t>
            </w:r>
          </w:p>
        </w:tc>
      </w:tr>
      <w:tr>
        <w:trPr>
          <w:trHeight w:val="585"/>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27</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JT taisyklės Nr. 27 (avarinio sustojimo ženklai) 05 serijos pakeitimų pasiūlymas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ECE/TRANS/WP.29/2018/97/Rev.1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38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JT taisyklės Nr. 38 (galiniai rūko žibintai) 01 serijos pakeitimų pasiūlymas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ECE/TRANS/WP.29/2018/98/Rev.1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41</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41 (motociklų skleidžiamas triukšmas) 04 serijos pakeitimų 7 papildymo pasiūlymas</w:t>
            </w:r>
            <w:r>
              <w:rPr>
                <w:rFonts w:ascii="Times" w:hAnsi="Times" w:cs="Times"/>
                <w:noProof/>
                <w:sz w:val="20"/>
                <w:szCs w:val="20"/>
              </w:rPr>
              <w:br/>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ECE/TRANS/WP.29/2019/3</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48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48 (apšvietimo ir šviesos signalinių įtaisų įrengimas) 06 serijos pakeitimų 12 papildymo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ECE/TRANS/WP.29/2018/99/Rev.2</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48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48 (apšvietimo ir šviesos signalinių įtaisų įrengimas) 05 serijos pakeitimų 13 papildymo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ECE/TRANS/WP.29/2018/100/Rev.1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48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48 (apšvietimo ir šviesos signalinių įtaisų įrengimas) 04 serijos pakeitimų 18 papildymo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48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48 (apšvietimo ir šviesos signalinių įtaisų įrengimas) 03 serijos pakeitimų 6 papildymo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ECE/TRANS/WP.29/2018/102</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50</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JT taisyklės Nr. 50 (mopedų ir motociklų gabaritiniai, stabdymo ir posūkių žibintai) 01 serijos pakeitimų pasiūlymas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ECE/TRANS/WP.29/2018/103/Rev.1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51</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51 (M ir N kategorijų transporto priemonių triukšmas) 03 serijos pakeitimų 5 papildymo pasiūlymas</w:t>
            </w:r>
          </w:p>
          <w:p>
            <w:pPr>
              <w:rPr>
                <w:rFonts w:ascii="Times" w:hAnsi="Times" w:cs="Times"/>
                <w:noProof/>
                <w:sz w:val="20"/>
                <w:szCs w:val="20"/>
              </w:rPr>
            </w:pP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ECE/TRANS/WP.29/2019/4/Rev.1</w:t>
            </w:r>
          </w:p>
          <w:p>
            <w:pPr>
              <w:rPr>
                <w:rFonts w:ascii="Times" w:hAnsi="Times" w:cs="Times"/>
                <w:noProof/>
                <w:sz w:val="20"/>
                <w:szCs w:val="20"/>
              </w:rPr>
            </w:pP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53 (apšvietimo ir šviesos signalinių įtaisų įrengimas L3 kategorijos transporto priemonėse) 02 serijos pakeitimų 2 papildymo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ECE/TRANS/WP.29/2018/86/Rev.1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53 (apšvietimo ir šviesos signalinių įtaisų įrengimas L3 kategorijos transporto priemonėse) 01 serijos pakeitimų 20 papildymo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ECE/TRANS/WP.29/2018/87/Rev.2</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53 (apšvietimo ir šviesos signalinių įtaisų įrengimas L3 kategorijos transporto priemonėse) 02 serijos pakeitimų 2 papildymo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ECE/TRANS/WP.29/2018/104/Rev.1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53 (apšvietimo ir šviesos signalinių įtaisų įrengimas L3 kategorijos transporto priemonėse) 01 serijos pakeitimų 20 papildymo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ECE/TRANS/WP.29/2018/105</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53 (apšvietimo ir šviesos signalinių įtaisų įrengimas L3 kategorijos transporto priemonėse) 02 serijos pakeitimų 3 papildymo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ECE/TRANS/WP.29/2019/17</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53 (apšvietimo ir šviesos signalinių įtaisų įrengimas L3 kategorijos transporto priemonėse) 01 serijos pakeitimų 21 papildymo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ECE/TRANS/WP.29/2019/18</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55</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55 (mechaniniai sukabintuvai) 2 redakcijos 1 klaidų ištaisymo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JT taisyklės Nr. 58 (galinė apsauga nuo palindimo po transporto priemone) 3 redakcijos 1 klaidų ištaisymo pasiūlymas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ECE/TRANS/WP.29/2019/22</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62</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62 (mopedų / motociklų apsauga nuo vagystės) 3 papildymo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ECE/TRANS/WP.29/2019/8</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67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67 (SND transporto priemonės) 01 serijos pakeitimų 16 papildymo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ECE/TRANS/WP.29/2019/9</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67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67 (SND transporto priemonės) 02 serijos pakeitimų 1 papildymo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ECE/TRANS/WP.29/2019/10</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69</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69 (lėtaeigių transporto priemonių galiniai numerio ženklai) 02 serijos pakeitimų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ECE/TRANS/WP.29/2018/106/Rev.1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70</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JT taisyklės Nr. 70 (sunkiųjų transporto priemonių ir autotraukinių galiniai numerio ženklai) 02 serijos pakeitimų pasiūlymas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ECE/TRANS/WP.29/2018/107/Rev.1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73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Taisyklės Nr. 73 (šoninės apsaugos įtaisai) 01 serijos pakeitimų 2 papildymo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74</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74 (mopedų apšvietimo ir šviesos signalinių įtaisų įrengimas) 01 serijos pakeitimų 11 papildymo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ECE/TRANS/WP.29/2018/108/Rev.2</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77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JT taisyklės Nr. 77 (stovėjimo žibintai) 01 serijos pakeitimų pasiūlymas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ECE/TRANS/WP.29/2018/109/Rev.1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86</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86 (apšvietimo ir šviesos signalinių įtaisų įrengimas žemės ūkio transporto priemonėse) 01 serijos pakeitimų 1 papildymo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ECE/TRANS/WP.29/2018/110/Rev.1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86</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86 (apšvietimo ir šviesos signalinių įtaisų įrengimas žemės ūkio transporto priemonėse) pradinės redakcijos 7 papildymo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87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87 (dienos žibintai) 01 serijos pakeitimų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ECE/TRANS/WP.29/2018/112/Rev.1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91</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91 (šoniniai gabaritiniai žibintai) 01 serijos pakeitimų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ECE/TRANS/WP.29/2018/113/Rev.1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92</w:t>
            </w:r>
          </w:p>
        </w:tc>
        <w:tc>
          <w:tcPr>
            <w:tcW w:w="4500" w:type="dxa"/>
            <w:tcBorders>
              <w:top w:val="single" w:sz="4" w:space="0" w:color="auto"/>
              <w:left w:val="nil"/>
              <w:bottom w:val="single" w:sz="4" w:space="0" w:color="auto"/>
              <w:right w:val="single" w:sz="4" w:space="0" w:color="auto"/>
            </w:tcBorders>
            <w:shd w:val="clear" w:color="auto" w:fill="auto"/>
          </w:tcPr>
          <w:p>
            <w:pPr>
              <w:ind w:left="57"/>
              <w:rPr>
                <w:rFonts w:ascii="Times" w:hAnsi="Times" w:cs="Times"/>
                <w:noProof/>
                <w:sz w:val="20"/>
                <w:szCs w:val="20"/>
              </w:rPr>
            </w:pPr>
            <w:r>
              <w:rPr>
                <w:rFonts w:ascii="Times" w:hAnsi="Times"/>
                <w:noProof/>
                <w:sz w:val="20"/>
              </w:rPr>
              <w:t>JT taisyklės Nr. 92 (motociklų pakaitinės išmetimo triukšmo slopinimo sistemos) 02 serijos pakeitimų pasiūlymas</w:t>
            </w:r>
          </w:p>
          <w:p>
            <w:pPr>
              <w:rPr>
                <w:rFonts w:ascii="Times" w:hAnsi="Times" w:cs="Times"/>
                <w:noProof/>
                <w:sz w:val="20"/>
                <w:szCs w:val="20"/>
              </w:rPr>
            </w:pP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ECE/TRANS/WP.29/2019/7</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98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98 (priekiniai žibintai su dujų išlydžio šviesos šaltiniais) 02 serijos pakeitimų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ECE/TRANS/WP.29/2018/114/Rev.1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104</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JT taisyklės Nr. 104 (šviesogrąžiai ženklai) 01 serijos pakeitimų pasiūlymas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ECE/TRANS/WP.29/2018/115/Rev.1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106</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106 (žemės ūkio transporto priemonių ir jų priekabų padangos) originalios serijos pakeitimų 17 papildymo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ECE/TRANS/WP.29/2019/5</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Taisyklės Nr. 107 (M2 ir M3 kategorijų transporto priemonės) 08 serijos pakeitimų 1 papildymo pasiūlymas</w:t>
            </w:r>
          </w:p>
          <w:p>
            <w:pPr>
              <w:rPr>
                <w:rFonts w:ascii="Times" w:hAnsi="Times" w:cs="Times"/>
                <w:noProof/>
                <w:sz w:val="20"/>
                <w:szCs w:val="20"/>
              </w:rPr>
            </w:pP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ECE/TRANS/WP.29/2019/12</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Taisyklės Nr. 107 (M2 ir M3 kategorijų transporto priemonės) 4 redakcijos 2 klaidų ištaisymo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ECE/TRANS/WP.29/2019/23</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Taisyklės Nr. 107 (M2 ir M3 kategorijų transporto priemonės) 5 redakcijos 2 klaidų ištaisymo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ECE/TRANS/WP.29/2019/24</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Taisyklės Nr. 107 (M2 ir M3 kategorijų transporto priemonės) 6 redakcijos 3 klaidų ištaisymo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ECE/TRANS/WP.29/2019/25</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Taisyklės Nr. 107 (M2 ir M3 kategorijų transporto priemonės) 7 redakcijos 2 klaidų ištaisymo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ECE/TRANS/WP.29/2019/26</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Taisyklės Nr. 107 (M2 ir M3 kategorijų transporto priemonės) 8 redakcijos 1 klaidų ištaisymo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ECE/TRANS/WP.29/2019/27</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110</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110 (suslėgtomis GD arba suskystintomis GD varomos transporto priemonės) 03 serijos pakeitimų 2 papildymo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ECE/TRANS/WP.29/2019/13</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110</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Taisyklės Nr. 110 (suslėgtomis GD arba suskystintomis GD varomos transporto priemonės) 04 serijos pakeitimų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ECE/TRANS/WP.29/2019/16</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112</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JT taisyklės Nr. 112 (priekiniai žibintai, skleidžiantys asimetriškus artimosios šviesos spindulius) 02 serijos pakeitimų pasiūlymas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ECE/TRANS/WP.29/2018/116/Rev.1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JT taisyklės Nr. 113 (priekiniai žibintai, skleidžiantys simetriškus artimosios šviesos spindulius) 03 serijos pakeitimų pasiūlymas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ECE/TRANS/WP.29/2018/117/Rev.1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116</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Taisyklės Nr. 116 (apsaugos nuo vagystės ir signalizacijos sistemos) 6 papildymo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ECE/TRANS/WP.29/2019/14</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119</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119 (posūkio apšvietimo žibintai) 02 serijos pakeitimų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ECE/TRANS/WP.29/2018/118/Rev.1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122</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Taisyklės Nr. 122 (šildymo sistemos) 5 papildymo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ECE/TRANS/WP.29/2019/15</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123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JT taisyklės Nr. 123 (adaptyviosios priekinio apšvietimo sistemos) 02 serijos pakeitimų pasiūlymas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ECE/TRANS/WP.29/2018/119/Rev.1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128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JT taisyklės Nr. 128 (LED šviesos šaltiniai) pradinės redakcijos 9 papildymo pasiūlymas</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ECE/TRANS/WP.29/2019/19</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Nauja JT taisyklė</w:t>
            </w:r>
          </w:p>
        </w:tc>
        <w:tc>
          <w:tcPr>
            <w:tcW w:w="4500" w:type="dxa"/>
            <w:tcBorders>
              <w:top w:val="single" w:sz="4" w:space="0" w:color="auto"/>
              <w:left w:val="nil"/>
              <w:bottom w:val="single" w:sz="4" w:space="0" w:color="auto"/>
              <w:right w:val="single" w:sz="4" w:space="0" w:color="auto"/>
            </w:tcBorders>
            <w:shd w:val="clear" w:color="auto" w:fill="auto"/>
          </w:tcPr>
          <w:p>
            <w:pPr>
              <w:pStyle w:val="SingleTxtG"/>
              <w:ind w:left="5" w:right="240" w:hanging="5"/>
              <w:jc w:val="left"/>
              <w:rPr>
                <w:rFonts w:ascii="Times" w:hAnsi="Times" w:cs="Times"/>
                <w:noProof/>
                <w:sz w:val="20"/>
                <w:szCs w:val="20"/>
              </w:rPr>
            </w:pPr>
            <w:r>
              <w:rPr>
                <w:rFonts w:ascii="Times" w:hAnsi="Times"/>
                <w:noProof/>
                <w:sz w:val="20"/>
              </w:rPr>
              <w:t>Naujos JT taisyklės dėl vienodų nuostatų dėl motorinių transporto priemonių patvirtinimo, atsižvelgiant į dviračiams aptikti skirtą nematomos zonos informacinę sistemą, pasiūlymas</w:t>
            </w:r>
          </w:p>
        </w:tc>
        <w:tc>
          <w:tcPr>
            <w:tcW w:w="3250" w:type="dxa"/>
            <w:tcBorders>
              <w:top w:val="single" w:sz="4" w:space="0" w:color="auto"/>
              <w:left w:val="nil"/>
              <w:bottom w:val="single" w:sz="4" w:space="0" w:color="auto"/>
              <w:right w:val="single" w:sz="4" w:space="0" w:color="auto"/>
            </w:tcBorders>
            <w:shd w:val="clear" w:color="auto" w:fill="auto"/>
          </w:tcPr>
          <w:p>
            <w:pPr>
              <w:pStyle w:val="SingleTxtG"/>
              <w:ind w:left="147" w:right="141"/>
              <w:rPr>
                <w:rFonts w:ascii="Times" w:hAnsi="Times" w:cs="Times"/>
                <w:noProof/>
                <w:sz w:val="20"/>
                <w:szCs w:val="20"/>
              </w:rPr>
            </w:pPr>
            <w:r>
              <w:rPr>
                <w:rFonts w:ascii="Times" w:hAnsi="Times"/>
                <w:noProof/>
                <w:sz w:val="20"/>
              </w:rPr>
              <w:t>ECE/TRANS/WP.29/2019/28</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Nauja JT taisyklė</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Naujos JT taisyklės dėl šviesos signalinių įtaisų pasiūlymas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ECE/TRANS/WP.29/2018/157</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Nauja JT taisyklė</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Naujos JT taisyklės dėl kelio apšvietimo įtaisų pasiūlymas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ECE/TRANS/WP.29/2018/158/Rev.1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Nauja JT taisyklė</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Naujos JT taisyklės dėl šviesogrąžio atšvaito įtaisų pasiūlymas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ECE/TRANS/WP.29/2018/159/Rev.1</w:t>
            </w:r>
          </w:p>
        </w:tc>
      </w:tr>
    </w:tbl>
    <w:p>
      <w:pPr>
        <w:spacing w:before="0" w:after="200" w:line="276" w:lineRule="auto"/>
        <w:jc w:val="left"/>
        <w:rPr>
          <w:rFonts w:asciiTheme="minorHAnsi" w:hAnsiTheme="minorHAnsi" w:cstheme="minorBidi"/>
          <w:noProof/>
          <w:sz w:val="22"/>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2977"/>
      </w:tblGrid>
      <w:tr>
        <w:trPr>
          <w:trHeight w:val="465"/>
        </w:trPr>
        <w:tc>
          <w:tcPr>
            <w:tcW w:w="1291" w:type="dxa"/>
            <w:shd w:val="clear" w:color="auto" w:fill="auto"/>
            <w:hideMark/>
          </w:tcPr>
          <w:p>
            <w:pPr>
              <w:spacing w:before="0" w:after="0"/>
              <w:jc w:val="left"/>
              <w:rPr>
                <w:rFonts w:eastAsia="Times New Roman"/>
                <w:b/>
                <w:bCs/>
                <w:noProof/>
                <w:szCs w:val="24"/>
              </w:rPr>
            </w:pPr>
            <w:r>
              <w:rPr>
                <w:b/>
                <w:noProof/>
              </w:rPr>
              <w:t>Suvestinė rezoliucija Nr.</w:t>
            </w:r>
          </w:p>
        </w:tc>
        <w:tc>
          <w:tcPr>
            <w:tcW w:w="4678" w:type="dxa"/>
            <w:shd w:val="clear" w:color="auto" w:fill="auto"/>
            <w:hideMark/>
          </w:tcPr>
          <w:p>
            <w:pPr>
              <w:spacing w:before="0" w:after="0"/>
              <w:jc w:val="left"/>
              <w:rPr>
                <w:rFonts w:eastAsia="Times New Roman"/>
                <w:b/>
                <w:bCs/>
                <w:noProof/>
                <w:szCs w:val="24"/>
              </w:rPr>
            </w:pPr>
            <w:r>
              <w:rPr>
                <w:b/>
                <w:noProof/>
              </w:rPr>
              <w:t>Pavadinimas darbotvarkėje</w:t>
            </w:r>
          </w:p>
        </w:tc>
        <w:tc>
          <w:tcPr>
            <w:tcW w:w="2977" w:type="dxa"/>
            <w:shd w:val="clear" w:color="auto" w:fill="auto"/>
            <w:hideMark/>
          </w:tcPr>
          <w:p>
            <w:pPr>
              <w:spacing w:before="0" w:after="0"/>
              <w:jc w:val="left"/>
              <w:rPr>
                <w:rFonts w:eastAsia="Times New Roman"/>
                <w:b/>
                <w:bCs/>
                <w:noProof/>
                <w:szCs w:val="24"/>
              </w:rPr>
            </w:pPr>
            <w:r>
              <w:rPr>
                <w:b/>
                <w:noProof/>
              </w:rPr>
              <w:t>Dokumento nuoroda</w:t>
            </w:r>
          </w:p>
        </w:tc>
      </w:tr>
      <w:tr>
        <w:trPr>
          <w:trHeight w:val="600"/>
        </w:trPr>
        <w:tc>
          <w:tcPr>
            <w:tcW w:w="1291" w:type="dxa"/>
            <w:shd w:val="clear" w:color="auto" w:fill="auto"/>
          </w:tcPr>
          <w:p>
            <w:pPr>
              <w:rPr>
                <w:rFonts w:ascii="Times" w:hAnsi="Times" w:cs="Times"/>
                <w:noProof/>
                <w:sz w:val="20"/>
                <w:szCs w:val="20"/>
              </w:rPr>
            </w:pPr>
            <w:r>
              <w:rPr>
                <w:rFonts w:ascii="Times" w:hAnsi="Times"/>
                <w:noProof/>
                <w:sz w:val="20"/>
              </w:rPr>
              <w:t xml:space="preserve">R.E.5 </w:t>
            </w:r>
          </w:p>
        </w:tc>
        <w:tc>
          <w:tcPr>
            <w:tcW w:w="4678" w:type="dxa"/>
            <w:shd w:val="clear" w:color="auto" w:fill="auto"/>
          </w:tcPr>
          <w:p>
            <w:pPr>
              <w:pStyle w:val="SingleTxtG"/>
              <w:ind w:left="0" w:right="238" w:hanging="6"/>
              <w:jc w:val="left"/>
              <w:rPr>
                <w:rFonts w:ascii="Times" w:hAnsi="Times" w:cs="Times"/>
                <w:noProof/>
                <w:sz w:val="20"/>
                <w:szCs w:val="20"/>
              </w:rPr>
            </w:pPr>
            <w:r>
              <w:rPr>
                <w:rFonts w:ascii="Times" w:hAnsi="Times"/>
                <w:noProof/>
                <w:sz w:val="20"/>
              </w:rPr>
              <w:t>Suvestinės rezoliucijos dėl šviesos šaltinių kategorijų bendrosios specifikacijos (R.E.5) 3 pakeitimo pasiūlymas</w:t>
            </w:r>
          </w:p>
          <w:p>
            <w:pPr>
              <w:rPr>
                <w:rFonts w:ascii="Times" w:hAnsi="Times" w:cs="Times"/>
                <w:noProof/>
                <w:sz w:val="20"/>
                <w:szCs w:val="20"/>
              </w:rPr>
            </w:pPr>
          </w:p>
        </w:tc>
        <w:tc>
          <w:tcPr>
            <w:tcW w:w="2977" w:type="dxa"/>
            <w:shd w:val="clear" w:color="auto" w:fill="auto"/>
          </w:tcPr>
          <w:p>
            <w:pPr>
              <w:rPr>
                <w:rFonts w:ascii="Times" w:hAnsi="Times" w:cs="Times"/>
                <w:noProof/>
                <w:sz w:val="20"/>
                <w:szCs w:val="20"/>
              </w:rPr>
            </w:pPr>
            <w:r>
              <w:rPr>
                <w:rFonts w:ascii="Times" w:hAnsi="Times"/>
                <w:noProof/>
                <w:sz w:val="20"/>
              </w:rPr>
              <w:t>ECE/TRANS/WP.29/2019/29</w:t>
            </w:r>
          </w:p>
        </w:tc>
      </w:tr>
    </w:tbl>
    <w:p>
      <w:pPr>
        <w:pStyle w:val="Default"/>
        <w:rPr>
          <w:rFonts w:ascii="MS Mincho" w:eastAsia="MS Mincho"/>
          <w:noProof/>
          <w:color w:val="auto"/>
        </w:rPr>
      </w:pPr>
    </w:p>
    <w:p>
      <w:pPr>
        <w:pStyle w:val="Default"/>
        <w:rPr>
          <w:rFonts w:ascii="MS Mincho" w:eastAsia="MS Mincho"/>
          <w:noProof/>
          <w:color w:val="auto"/>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2977"/>
      </w:tblGrid>
      <w:tr>
        <w:trPr>
          <w:trHeight w:val="465"/>
        </w:trPr>
        <w:tc>
          <w:tcPr>
            <w:tcW w:w="1291" w:type="dxa"/>
            <w:shd w:val="clear" w:color="auto" w:fill="auto"/>
            <w:hideMark/>
          </w:tcPr>
          <w:p>
            <w:pPr>
              <w:spacing w:before="0" w:after="0"/>
              <w:jc w:val="left"/>
              <w:rPr>
                <w:rFonts w:eastAsia="Times New Roman"/>
                <w:b/>
                <w:bCs/>
                <w:noProof/>
                <w:szCs w:val="24"/>
              </w:rPr>
            </w:pPr>
            <w:r>
              <w:rPr>
                <w:b/>
                <w:noProof/>
              </w:rPr>
              <w:t>Pataisytas 1958 m. susitarimas</w:t>
            </w:r>
          </w:p>
        </w:tc>
        <w:tc>
          <w:tcPr>
            <w:tcW w:w="4678" w:type="dxa"/>
            <w:shd w:val="clear" w:color="auto" w:fill="auto"/>
            <w:hideMark/>
          </w:tcPr>
          <w:p>
            <w:pPr>
              <w:spacing w:before="0" w:after="0"/>
              <w:jc w:val="left"/>
              <w:rPr>
                <w:rFonts w:eastAsia="Times New Roman"/>
                <w:b/>
                <w:bCs/>
                <w:noProof/>
                <w:szCs w:val="24"/>
              </w:rPr>
            </w:pPr>
            <w:r>
              <w:rPr>
                <w:b/>
                <w:noProof/>
              </w:rPr>
              <w:t>Pavadinimas darbotvarkėje</w:t>
            </w:r>
          </w:p>
        </w:tc>
        <w:tc>
          <w:tcPr>
            <w:tcW w:w="2977" w:type="dxa"/>
            <w:shd w:val="clear" w:color="auto" w:fill="auto"/>
            <w:hideMark/>
          </w:tcPr>
          <w:p>
            <w:pPr>
              <w:spacing w:before="0" w:after="0"/>
              <w:jc w:val="left"/>
              <w:rPr>
                <w:rFonts w:eastAsia="Times New Roman"/>
                <w:b/>
                <w:bCs/>
                <w:noProof/>
                <w:szCs w:val="24"/>
              </w:rPr>
            </w:pPr>
            <w:r>
              <w:rPr>
                <w:b/>
                <w:noProof/>
              </w:rPr>
              <w:t>Dokumento nuoroda</w:t>
            </w:r>
          </w:p>
        </w:tc>
      </w:tr>
      <w:tr>
        <w:trPr>
          <w:trHeight w:val="600"/>
        </w:trPr>
        <w:tc>
          <w:tcPr>
            <w:tcW w:w="1291" w:type="dxa"/>
            <w:shd w:val="clear" w:color="auto" w:fill="auto"/>
          </w:tcPr>
          <w:p>
            <w:pPr>
              <w:rPr>
                <w:rFonts w:ascii="Times" w:hAnsi="Times" w:cs="Times"/>
                <w:noProof/>
                <w:sz w:val="20"/>
                <w:szCs w:val="20"/>
              </w:rPr>
            </w:pPr>
            <w:r>
              <w:rPr>
                <w:rFonts w:ascii="Times" w:hAnsi="Times"/>
                <w:noProof/>
                <w:sz w:val="20"/>
              </w:rPr>
              <w:t xml:space="preserve">4 aprašas </w:t>
            </w:r>
          </w:p>
        </w:tc>
        <w:tc>
          <w:tcPr>
            <w:tcW w:w="4678" w:type="dxa"/>
            <w:shd w:val="clear" w:color="auto" w:fill="auto"/>
          </w:tcPr>
          <w:p>
            <w:pPr>
              <w:pStyle w:val="SingleTxtG"/>
              <w:ind w:left="0" w:right="238" w:hanging="6"/>
              <w:jc w:val="left"/>
              <w:rPr>
                <w:rFonts w:ascii="Times" w:hAnsi="Times" w:cs="Times"/>
                <w:noProof/>
                <w:sz w:val="20"/>
                <w:szCs w:val="20"/>
              </w:rPr>
            </w:pPr>
            <w:r>
              <w:rPr>
                <w:rFonts w:ascii="Times" w:hAnsi="Times"/>
                <w:noProof/>
                <w:sz w:val="20"/>
              </w:rPr>
              <w:t>Pasiūlymas dėl 1958 m. susitarimo 4 aprašo pakeitimo</w:t>
            </w:r>
          </w:p>
        </w:tc>
        <w:tc>
          <w:tcPr>
            <w:tcW w:w="2977" w:type="dxa"/>
            <w:shd w:val="clear" w:color="auto" w:fill="auto"/>
          </w:tcPr>
          <w:p>
            <w:pPr>
              <w:rPr>
                <w:rFonts w:ascii="Times" w:hAnsi="Times" w:cs="Times"/>
                <w:noProof/>
                <w:sz w:val="20"/>
                <w:szCs w:val="20"/>
              </w:rPr>
            </w:pPr>
            <w:r>
              <w:rPr>
                <w:rFonts w:ascii="Times" w:hAnsi="Times"/>
                <w:noProof/>
                <w:sz w:val="20"/>
              </w:rPr>
              <w:t>ECE/TRANS/WP.29/2018/165</w:t>
            </w:r>
          </w:p>
        </w:tc>
      </w:tr>
    </w:tbl>
    <w:p>
      <w:pPr>
        <w:pStyle w:val="Default"/>
        <w:rPr>
          <w:rFonts w:eastAsia="MS Mincho"/>
          <w:noProof/>
          <w:color w:val="auto"/>
        </w:rPr>
      </w:pPr>
      <w:r>
        <w:rPr>
          <w:rFonts w:hint="eastAsia"/>
          <w:noProof/>
          <w:color w:val="auto"/>
        </w:rPr>
        <w:t xml:space="preserve"> </w:t>
      </w:r>
    </w:p>
    <w:p>
      <w:pPr>
        <w:rPr>
          <w:noProof/>
        </w:rPr>
      </w:pPr>
    </w:p>
    <w:sectPr>
      <w:footerReference w:type="default" r:id="rId16"/>
      <w:footerReference w:type="first" r:id="rId17"/>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rPr>
      </w:pPr>
      <w:r>
        <w:rPr>
          <w:rStyle w:val="FootnoteReference"/>
        </w:rPr>
        <w:footnoteRef/>
      </w:r>
      <w:r>
        <w:tab/>
      </w:r>
      <w:r>
        <w:rPr>
          <w:sz w:val="18"/>
        </w:rPr>
        <w:t xml:space="preserve">Visus šioje lentelėje nurodytus dokumentus galima rasti adresu: </w:t>
      </w:r>
    </w:p>
    <w:p>
      <w:pPr>
        <w:pStyle w:val="FootnoteText"/>
        <w:rPr>
          <w:sz w:val="18"/>
        </w:rPr>
      </w:pPr>
      <w:hyperlink r:id="rId1">
        <w:r>
          <w:rPr>
            <w:rStyle w:val="Hyperlink"/>
            <w:sz w:val="18"/>
          </w:rPr>
          <w:t>http://www.unece.org/trans/main/wp29/wp29wgs/wp29gen/gen2018.html</w:t>
        </w:r>
      </w:hyperlink>
    </w:p>
    <w:p>
      <w:pPr>
        <w:pStyle w:val="FootnoteText"/>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942D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C83C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D4DD18"/>
    <w:lvl w:ilvl="0">
      <w:start w:val="1"/>
      <w:numFmt w:val="decimal"/>
      <w:pStyle w:val="ListNumber2"/>
      <w:lvlText w:val="%1."/>
      <w:lvlJc w:val="left"/>
      <w:pPr>
        <w:tabs>
          <w:tab w:val="num" w:pos="643"/>
        </w:tabs>
        <w:ind w:left="643" w:hanging="360"/>
      </w:pPr>
    </w:lvl>
  </w:abstractNum>
  <w:abstractNum w:abstractNumId="4">
    <w:nsid w:val="FFFFFF81"/>
    <w:multiLevelType w:val="singleLevel"/>
    <w:tmpl w:val="82B0373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AB94DC26"/>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76168A0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923A696E"/>
    <w:lvl w:ilvl="0">
      <w:start w:val="1"/>
      <w:numFmt w:val="decimal"/>
      <w:pStyle w:val="ListNumber"/>
      <w:lvlText w:val="%1."/>
      <w:lvlJc w:val="left"/>
      <w:pPr>
        <w:tabs>
          <w:tab w:val="num" w:pos="360"/>
        </w:tabs>
        <w:ind w:left="360" w:hanging="360"/>
      </w:pPr>
    </w:lvl>
  </w:abstractNum>
  <w:abstractNum w:abstractNumId="8">
    <w:nsid w:val="FFFFFF89"/>
    <w:multiLevelType w:val="singleLevel"/>
    <w:tmpl w:val="240C621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9"/>
  </w:num>
  <w:num w:numId="11">
    <w:abstractNumId w:val="13"/>
  </w:num>
  <w:num w:numId="12">
    <w:abstractNumId w:val="21"/>
  </w:num>
  <w:num w:numId="13">
    <w:abstractNumId w:val="12"/>
  </w:num>
  <w:num w:numId="14">
    <w:abstractNumId w:val="14"/>
  </w:num>
  <w:num w:numId="15">
    <w:abstractNumId w:val="10"/>
  </w:num>
  <w:num w:numId="16">
    <w:abstractNumId w:val="20"/>
  </w:num>
  <w:num w:numId="17">
    <w:abstractNumId w:val="9"/>
  </w:num>
  <w:num w:numId="18">
    <w:abstractNumId w:val="15"/>
  </w:num>
  <w:num w:numId="19">
    <w:abstractNumId w:val="17"/>
  </w:num>
  <w:num w:numId="20">
    <w:abstractNumId w:val="18"/>
  </w:num>
  <w:num w:numId="21">
    <w:abstractNumId w:val="11"/>
  </w:num>
  <w:num w:numId="22">
    <w:abstractNumId w:val="16"/>
  </w:num>
  <w:num w:numId="23">
    <w:abstractNumId w:val="22"/>
  </w:num>
  <w:num w:numId="24">
    <w:abstractNumId w:val="19"/>
  </w:num>
  <w:num w:numId="25">
    <w:abstractNumId w:val="13"/>
  </w:num>
  <w:num w:numId="26">
    <w:abstractNumId w:val="21"/>
  </w:num>
  <w:num w:numId="27">
    <w:abstractNumId w:val="12"/>
  </w:num>
  <w:num w:numId="28">
    <w:abstractNumId w:val="14"/>
  </w:num>
  <w:num w:numId="29">
    <w:abstractNumId w:val="10"/>
  </w:num>
  <w:num w:numId="30">
    <w:abstractNumId w:val="20"/>
  </w:num>
  <w:num w:numId="31">
    <w:abstractNumId w:val="9"/>
  </w:num>
  <w:num w:numId="32">
    <w:abstractNumId w:val="15"/>
  </w:num>
  <w:num w:numId="33">
    <w:abstractNumId w:val="17"/>
  </w:num>
  <w:num w:numId="34">
    <w:abstractNumId w:val="18"/>
  </w:num>
  <w:num w:numId="35">
    <w:abstractNumId w:val="11"/>
  </w:num>
  <w:num w:numId="36">
    <w:abstractNumId w:val="16"/>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hideSpellingErrors/>
  <w:hideGrammaticalErrors/>
  <w:attachedTemplate r:id="rId1"/>
  <w:revisionView w:markup="0"/>
  <w:defaultTabStop w:val="720"/>
  <w:hyphenationZone w:val="425"/>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8 16:26: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4"/>
    <w:docVar w:name="DQCResult_UnknownFonts" w:val="0;0"/>
    <w:docVar w:name="DQCResult_UnknownStyles" w:val="0;3"/>
    <w:docVar w:name="DQCStatus" w:val="Green"/>
    <w:docVar w:name="DQCVersion" w:val="3"/>
    <w:docVar w:name="DQCWithWarnings" w:val="0"/>
    <w:docVar w:name="LW_ACCOMPAGNANT" w:val="prie"/>
    <w:docVar w:name="LW_ACCOMPAGNANT.CP" w:val="prie"/>
    <w:docVar w:name="LW_ANNEX_NBR_FIRST" w:val="1"/>
    <w:docVar w:name="LW_ANNEX_NBR_LAST" w:val="1"/>
    <w:docVar w:name="LW_ANNEX_UNIQUE" w:val="1"/>
    <w:docVar w:name="LW_CORRIGENDUM" w:val="&lt;UNUSED&gt;"/>
    <w:docVar w:name="LW_COVERPAGE_EXISTS" w:val="True"/>
    <w:docVar w:name="LW_COVERPAGE_GUID" w:val="441DE868-3181-4C4F-A733-823D8C01D7FF"/>
    <w:docVar w:name="LW_COVERPAGE_TYPE" w:val="1"/>
    <w:docVar w:name="LW_CROSSREFERENCE" w:val="&lt;UNUSED&gt;"/>
    <w:docVar w:name="LW_DocType" w:val="ANNEX"/>
    <w:docVar w:name="LW_EMISSION" w:val="2019 02 11"/>
    <w:docVar w:name="LW_EMISSION_ISODATE" w:val="2019-02-11"/>
    <w:docVar w:name="LW_EMISSION_LOCATION" w:val="BRX"/>
    <w:docVar w:name="LW_EMISSION_PREFIX" w:val="Briuselis, "/>
    <w:docVar w:name="LW_EMISSION_SUFFIX" w:val=" "/>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d\u279?l pozicijos, kurios Europos S\u261?jungos vardu tur\u279?t\u371? b\u363?ti laikomasi atitinkamuose Jungtini\u371? Taut\u371? Europos ekonomikos komisijos komitetuose d\u279?l JT taisykli\u371? Nr. 0, 3, 4, 6, 7, 9, 10, 19, 23, 27, 38, 41, 48, 50, 51, 53, 55, 58, 62, 67, 69, 70, 73, 74, 77, 86, 87, 91, 92, 98, 104, 106, 107, 110, 112, 113, 116, 119, 122, 123 ir 128 pakeitim\u371? pasi\u363?lym\u371?, d\u279?l Suvestin\u279?s rezoliucijos R.E.5 pakeitimo pasi\u363?lymo, d\u279?l keturi\u371? nauj\u371? JT taisykli\u371? pasi\u363?lym\u371? ir d\u279?l 1958 m. Susitarimo 4 apra\u353?o pakeitimo pasi\u363?lymo"/>
    <w:docVar w:name="LW_OBJETACTEPRINCIPAL.CP" w:val="d\u279?l pozicijos, kurios Europos S\u261?jungos vardu tur\u279?t\u371? b\u363?ti laikomasi atitinkamuose Jungtini\u371? Taut\u371? Europos ekonomikos komisijos komitetuose d\u279?l JT taisykli\u371? Nr. 0, 3, 4, 6, 7, 9, 10, 19, 23, 27, 38, 41, 48, 50, 51, 53, 55, 58, 62, 67, 69, 70, 73, 74, 77, 86, 87, 91, 92, 98, 104, 106, 107, 110, 112, 113, 116, 119, 122, 123 ir 128 pakeitim\u371? pasi\u363?lym\u371?, d\u279?l Suvestin\u279?s rezoliucijos R.E.5 pakeitimo pasi\u363?lymo, d\u279?l keturi\u371? nauj\u371? JT taisykli\u371? pasi\u363?lym\u371? ir d\u279?l 1958 m. Susitarimo 4 apra\u353?o pakeitimo pasi\u363?lymo"/>
    <w:docVar w:name="LW_PART_NBR" w:val="1"/>
    <w:docVar w:name="LW_PART_NBR_TOTAL" w:val="1"/>
    <w:docVar w:name="LW_REF.INST.NEW" w:val="COM"/>
    <w:docVar w:name="LW_REF.INST.NEW_ADOPTED" w:val="final"/>
    <w:docVar w:name="LW_REF.INST.NEW_TEXT" w:val="(2019) 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EDAS"/>
    <w:docVar w:name="LW_TYPE.DOC.CP" w:val="PRIEDAS"/>
    <w:docVar w:name="LW_TYPEACTEPRINCIPAL" w:val="Pasi\u363?lymo d\u279?l Tarybos sprendimo"/>
    <w:docVar w:name="LW_TYPEACTEPRINCIPAL.CP" w:val="Pasi\u363?lymo d\u279?l Tarybos sprendimo"/>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lt-LT"/>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lt-LT"/>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432">
      <w:bodyDiv w:val="1"/>
      <w:marLeft w:val="0"/>
      <w:marRight w:val="0"/>
      <w:marTop w:val="0"/>
      <w:marBottom w:val="0"/>
      <w:divBdr>
        <w:top w:val="none" w:sz="0" w:space="0" w:color="auto"/>
        <w:left w:val="none" w:sz="0" w:space="0" w:color="auto"/>
        <w:bottom w:val="none" w:sz="0" w:space="0" w:color="auto"/>
        <w:right w:val="none" w:sz="0" w:space="0" w:color="auto"/>
      </w:divBdr>
    </w:div>
    <w:div w:id="450436389">
      <w:bodyDiv w:val="1"/>
      <w:marLeft w:val="0"/>
      <w:marRight w:val="0"/>
      <w:marTop w:val="0"/>
      <w:marBottom w:val="0"/>
      <w:divBdr>
        <w:top w:val="none" w:sz="0" w:space="0" w:color="auto"/>
        <w:left w:val="none" w:sz="0" w:space="0" w:color="auto"/>
        <w:bottom w:val="none" w:sz="0" w:space="0" w:color="auto"/>
        <w:right w:val="none" w:sz="0" w:space="0" w:color="auto"/>
      </w:divBdr>
    </w:div>
    <w:div w:id="1276327042">
      <w:bodyDiv w:val="1"/>
      <w:marLeft w:val="0"/>
      <w:marRight w:val="0"/>
      <w:marTop w:val="0"/>
      <w:marBottom w:val="0"/>
      <w:divBdr>
        <w:top w:val="none" w:sz="0" w:space="0" w:color="auto"/>
        <w:left w:val="none" w:sz="0" w:space="0" w:color="auto"/>
        <w:bottom w:val="none" w:sz="0" w:space="0" w:color="auto"/>
        <w:right w:val="none" w:sz="0" w:space="0" w:color="auto"/>
      </w:divBdr>
    </w:div>
    <w:div w:id="1751465643">
      <w:bodyDiv w:val="1"/>
      <w:marLeft w:val="0"/>
      <w:marRight w:val="0"/>
      <w:marTop w:val="0"/>
      <w:marBottom w:val="0"/>
      <w:divBdr>
        <w:top w:val="none" w:sz="0" w:space="0" w:color="auto"/>
        <w:left w:val="none" w:sz="0" w:space="0" w:color="auto"/>
        <w:bottom w:val="none" w:sz="0" w:space="0" w:color="auto"/>
        <w:right w:val="none" w:sz="0" w:space="0" w:color="auto"/>
      </w:divBdr>
    </w:div>
    <w:div w:id="1767771731">
      <w:bodyDiv w:val="1"/>
      <w:marLeft w:val="0"/>
      <w:marRight w:val="0"/>
      <w:marTop w:val="0"/>
      <w:marBottom w:val="0"/>
      <w:divBdr>
        <w:top w:val="none" w:sz="0" w:space="0" w:color="auto"/>
        <w:left w:val="none" w:sz="0" w:space="0" w:color="auto"/>
        <w:bottom w:val="none" w:sz="0" w:space="0" w:color="auto"/>
        <w:right w:val="none" w:sz="0" w:space="0" w:color="auto"/>
      </w:divBdr>
    </w:div>
    <w:div w:id="1815756432">
      <w:bodyDiv w:val="1"/>
      <w:marLeft w:val="0"/>
      <w:marRight w:val="0"/>
      <w:marTop w:val="0"/>
      <w:marBottom w:val="0"/>
      <w:divBdr>
        <w:top w:val="none" w:sz="0" w:space="0" w:color="auto"/>
        <w:left w:val="none" w:sz="0" w:space="0" w:color="auto"/>
        <w:bottom w:val="none" w:sz="0" w:space="0" w:color="auto"/>
        <w:right w:val="none" w:sz="0" w:space="0" w:color="auto"/>
      </w:divBdr>
    </w:div>
    <w:div w:id="18364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gen201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9EA46-412E-49D5-ACFC-6E83A7BB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6</Pages>
  <Words>1061</Words>
  <Characters>7949</Characters>
  <Application>Microsoft Office Word</Application>
  <DocSecurity>0</DocSecurity>
  <Lines>345</Lines>
  <Paragraphs>225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BRASSART Odile (GROW)</dc:creator>
  <cp:lastModifiedBy>WES PDFC Administrator</cp:lastModifiedBy>
  <cp:revision>8</cp:revision>
  <cp:lastPrinted>2019-01-10T13:37:00Z</cp:lastPrinted>
  <dcterms:created xsi:type="dcterms:W3CDTF">2019-02-08T15:11:00Z</dcterms:created>
  <dcterms:modified xsi:type="dcterms:W3CDTF">2019-02-08T15:26:00Z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