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FC486FE-FA01-42F6-B912-50614DC2295F" style="width:450.45pt;height:334.1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FRÅN KOMMISSIONEN TILL EUROPAPARLAMENTET OCH RÅDET</w:t>
      </w:r>
    </w:p>
    <w:p>
      <w:pPr>
        <w:pStyle w:val="Titreobjet"/>
        <w:rPr>
          <w:noProof/>
        </w:rPr>
      </w:pPr>
      <w:r>
        <w:rPr>
          <w:noProof/>
        </w:rPr>
        <w:t>om utövande av den delegering av befogenhet som getts kommissionen enligt Europaparlamentets och rådets förordning (EG) nr 1760/2000 om upprättande av ett system för identifiering och registrering av nötkreatur samt märkning av nötkött och nötköttsprodukter och om upphävande av rådets förordning (EG) nr 820/97</w:t>
      </w:r>
    </w:p>
    <w:p>
      <w:pPr>
        <w:spacing w:before="120" w:after="120" w:line="240" w:lineRule="auto"/>
        <w:ind w:left="567" w:hanging="567"/>
        <w:jc w:val="both"/>
        <w:rPr>
          <w:rFonts w:ascii="Times New Roman" w:hAnsi="Times New Roman" w:cs="Times New Roman"/>
          <w:b/>
          <w:noProof/>
          <w:sz w:val="24"/>
          <w:szCs w:val="24"/>
        </w:rPr>
      </w:pPr>
      <w:r>
        <w:rPr>
          <w:rFonts w:ascii="Times New Roman" w:hAnsi="Times New Roman"/>
          <w:b/>
          <w:noProof/>
          <w:sz w:val="24"/>
        </w:rPr>
        <w:t>1.</w:t>
      </w:r>
      <w:r>
        <w:rPr>
          <w:noProof/>
        </w:rPr>
        <w:tab/>
      </w:r>
      <w:r>
        <w:rPr>
          <w:rFonts w:ascii="Times New Roman" w:hAnsi="Times New Roman"/>
          <w:b/>
          <w:noProof/>
          <w:sz w:val="24"/>
        </w:rPr>
        <w:t>Inledning och rättslig grund</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Enligt artikel 22b.2 i Europaparlamentets och rådets förordning (EG) nr 1760/2000</w:t>
      </w:r>
      <w:r>
        <w:rPr>
          <w:noProof/>
          <w:vertAlign w:val="superscript"/>
        </w:rPr>
        <w:footnoteReference w:id="1"/>
      </w:r>
      <w:r>
        <w:rPr>
          <w:rFonts w:ascii="Times New Roman" w:hAnsi="Times New Roman"/>
          <w:noProof/>
          <w:sz w:val="24"/>
        </w:rPr>
        <w:t xml:space="preserve"> ska kommissionen lägga fram en rapport till Europaparlamentet och rådet om utövandet av den delegering av befogenhet som getts kommissionen enligt den förordningen. Rapporten ska utarbetas senast nio månader före utgången av den femårsperiod som delegeringen gäller. Denna period inleddes den 17 juli 2014. Delegeringen av befogenhet ska genom tyst medgivande förlängas med perioder av samma längd, såvida inte Europaparlamentet eller rådet motsätter sig en sådan förlängning senast tre månader före utgången av perioden i fråga.</w:t>
      </w:r>
    </w:p>
    <w:p>
      <w:pPr>
        <w:spacing w:before="120" w:after="120"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w:t>
      </w:r>
      <w:r>
        <w:rPr>
          <w:noProof/>
        </w:rPr>
        <w:tab/>
      </w:r>
      <w:r>
        <w:rPr>
          <w:rFonts w:ascii="Times New Roman" w:hAnsi="Times New Roman"/>
          <w:b/>
          <w:noProof/>
          <w:sz w:val="24"/>
        </w:rPr>
        <w:t>Utövande av delegeringen</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Artikel 22b.2 i förordning (EG) nr 1760/2000 ska tillämpas på den befogenhet att anta delegerade akter som getts kommissionen genom artiklarna 4.1, 4.3, 4.5, 4a.2, 5, 6.2, 7.1, 7.2, 7.6, 13.6, 14 och 15a i den förordningen.</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Närmare bestämt gäller följande:</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Artikel 4.1 i förordning (EG) nr 1760/2000 ger kommissionen befogenhet att lägga till identifieringsmärken i den förteckning som fastställs i bilaga I och samtidigt se till att de är kompatibla, i syfte att säkerställa anpassningen till teknikens framsteg. För närvarande finns det inga uppgifter om tekniska framsteg vad gäller nya identifieringsmärken för nötkreatur. För att kommissionen ska börja utarbeta en delegerad akt avseende nya identifieringsmärken för nötkreatur måste därför ytterligare tekniska framsteg rapporteras.</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b)</w:t>
      </w:r>
      <w:r>
        <w:rPr>
          <w:noProof/>
        </w:rPr>
        <w:tab/>
      </w:r>
      <w:r>
        <w:rPr>
          <w:rFonts w:ascii="Times New Roman" w:hAnsi="Times New Roman"/>
          <w:noProof/>
          <w:sz w:val="24"/>
        </w:rPr>
        <w:t>Artikel 4.3 i förordning (EG) nr 1760/2000 ger kommissionen befogenhet att anta krav när det gäller de identifieringsmärken som fastställs i bilaga I och de övergångsåtgärder som krävs för införandet av ett särskilt identifieringsmärke. På grundval av delegeringen enligt tidigare artikel 10 a har kommissionen antagit krav när det gäller konventionella öronmärken genom förordning (EG) nr 911/2004</w:t>
      </w:r>
      <w:bookmarkStart w:id="2" w:name="_Ref530058003"/>
      <w:r>
        <w:rPr>
          <w:rStyle w:val="FootnoteReference"/>
          <w:rFonts w:ascii="Times New Roman" w:hAnsi="Times New Roman"/>
          <w:noProof/>
          <w:sz w:val="24"/>
        </w:rPr>
        <w:footnoteReference w:id="2"/>
      </w:r>
      <w:bookmarkEnd w:id="2"/>
      <w:r>
        <w:rPr>
          <w:rFonts w:ascii="Times New Roman" w:hAnsi="Times New Roman"/>
          <w:noProof/>
          <w:sz w:val="24"/>
        </w:rPr>
        <w:t>. Eftersom förordning (EG) nr 1760/2000 kommer att ändras genom förordning (EU) 2016/429</w:t>
      </w:r>
      <w:bookmarkStart w:id="3" w:name="_Ref530056361"/>
      <w:r>
        <w:rPr>
          <w:rStyle w:val="FootnoteReference"/>
          <w:rFonts w:ascii="Times New Roman" w:hAnsi="Times New Roman"/>
          <w:noProof/>
          <w:sz w:val="24"/>
        </w:rPr>
        <w:footnoteReference w:id="3"/>
      </w:r>
      <w:bookmarkEnd w:id="3"/>
      <w:r>
        <w:rPr>
          <w:rFonts w:ascii="Times New Roman" w:hAnsi="Times New Roman"/>
          <w:noProof/>
          <w:sz w:val="24"/>
        </w:rPr>
        <w:t xml:space="preserve"> och artiklarna 1–10 därmed kommer att utgå ska kommissionen anta krav när det gäller elektroniska identifieringsmärken i enlighet med den befogenhet som ges i artiklarna 118.1 a och 120.2 c i förordning (EU)2016/429.</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Artikel 4.5 i förordning (EG) nr 1760/2000 ger kommissionen befogenhet att anta krav när det gäller de alternativa identifieringsmärken som får användas för nötkreatur som är avsedda för kultur- eller tävlingsevenemang samt övergångsåtgärder för införandet av dem. På grundval av delegeringen enligt tidigare artikel 4.1 har kommissionen antagit sådana krav genom förordning (EG) nr 644/2005</w:t>
      </w:r>
      <w:r>
        <w:rPr>
          <w:rStyle w:val="FootnoteReference"/>
          <w:rFonts w:ascii="Times New Roman" w:hAnsi="Times New Roman"/>
          <w:noProof/>
          <w:sz w:val="24"/>
        </w:rPr>
        <w:footnoteReference w:id="4"/>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Artikel 4a.2 i förordning (EG) nr 1760/2000 ger kommissionen befogenhet att fastställa de särskilda omständigheter under vilka medlemsstaterna får förlänga de maximala fristerna för anbringande av identifieringsmärken. Genom besluten 2004/764/EG</w:t>
      </w:r>
      <w:r>
        <w:rPr>
          <w:rStyle w:val="FootnoteReference"/>
          <w:rFonts w:ascii="Times New Roman" w:hAnsi="Times New Roman"/>
          <w:noProof/>
          <w:sz w:val="24"/>
        </w:rPr>
        <w:footnoteReference w:id="5"/>
      </w:r>
      <w:r>
        <w:rPr>
          <w:rFonts w:ascii="Times New Roman" w:hAnsi="Times New Roman"/>
          <w:noProof/>
          <w:sz w:val="24"/>
        </w:rPr>
        <w:t xml:space="preserve"> och 2006/28/EG</w:t>
      </w:r>
      <w:r>
        <w:rPr>
          <w:rStyle w:val="FootnoteReference"/>
          <w:rFonts w:ascii="Times New Roman" w:hAnsi="Times New Roman"/>
          <w:noProof/>
          <w:sz w:val="24"/>
        </w:rPr>
        <w:footnoteReference w:id="6"/>
      </w:r>
      <w:r>
        <w:rPr>
          <w:rFonts w:ascii="Times New Roman" w:hAnsi="Times New Roman"/>
          <w:noProof/>
          <w:sz w:val="24"/>
        </w:rPr>
        <w:t xml:space="preserve"> har särskilda krav antagits för nötkreatur som hålls i naturreservat i Nederländerna och för kalvar av am- och dikor som inte används för mjölkproduktion (innan förordning (EG) nr 1760/2000 ändrades genom förordning (EU) nr 653/2014</w:t>
      </w:r>
      <w:r>
        <w:rPr>
          <w:rStyle w:val="FootnoteReference"/>
          <w:rFonts w:ascii="Times New Roman" w:hAnsi="Times New Roman"/>
          <w:noProof/>
          <w:sz w:val="24"/>
        </w:rPr>
        <w:footnoteReference w:id="7"/>
      </w:r>
      <w:r>
        <w:rPr>
          <w:rFonts w:ascii="Times New Roman" w:hAnsi="Times New Roman"/>
          <w:noProof/>
          <w:sz w:val="24"/>
        </w:rPr>
        <w:t>). För närvarande har det inte förts några diskussioner om ytterligare omständigheter som skulle föranleda antagande av delegerade akter om särskilda krav.</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Artiklarna 5 och 6.2 i förordning (EG) nr 1760/2000 ger kommissionen befogenhet att fastställa bestämmelser om de data som ska utbytas mellan medlemsstaternas databaser och om vilka uppgifter från databasen som ska tas med i djurpasset, inklusive övergångsåtgärder. Eftersom förordning (EG) nr 1760/2000 kommer att ändras genom förordning (EU) 2016/429</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_Ref530056361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fldChar w:fldCharType="end"/>
      </w:r>
      <w:r>
        <w:rPr>
          <w:rFonts w:ascii="Times New Roman" w:hAnsi="Times New Roman"/>
          <w:noProof/>
          <w:sz w:val="24"/>
        </w:rPr>
        <w:t xml:space="preserve"> och artiklarna 1–10 därmed kommer att utgå ska dessa bestämmelser antas av kommissionen i enlighet med den befogenhet som den ges i artikel 118.1 b och c i förordning (EU) 2016/429.</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f)</w:t>
      </w:r>
      <w:r>
        <w:rPr>
          <w:noProof/>
        </w:rPr>
        <w:tab/>
      </w:r>
      <w:r>
        <w:rPr>
          <w:rFonts w:ascii="Times New Roman" w:hAnsi="Times New Roman"/>
          <w:noProof/>
          <w:sz w:val="24"/>
        </w:rPr>
        <w:t>Artikel 7.1 i förordning (EG) nr 1760/2000 ger kommissionen befogenhet att fastställa under vilka exceptionella omständigheter medlemsstaterna får förlänga den maximala tidsfrist inom vilken djurhållare ska rapportera alla förflyttningar till och från anläggningen och alla djur som föds och dör på anläggningen till den behöriga myndigheten. På grundval av delegeringen enligt tidigare artikel 7.1 har kommissionen antagit sådana krav genom förordning (EG) nr 911/2004</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_Ref530058003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g)</w:t>
      </w:r>
      <w:r>
        <w:rPr>
          <w:noProof/>
        </w:rPr>
        <w:tab/>
      </w:r>
      <w:r>
        <w:rPr>
          <w:rFonts w:ascii="Times New Roman" w:hAnsi="Times New Roman"/>
          <w:noProof/>
          <w:sz w:val="24"/>
        </w:rPr>
        <w:t>Artikel 7.2 i förordning (EG) nr 1760/2000 ger kommissionen befogenhet att förteckna sådana medlemsstater eller delar av medlemsstater där särskilda bestämmelser om årstidsbundet bete ska gälla, inklusive längsta frister, särskilda skyldigheter för djurhållarna och bestämmelser om registrering av anläggningarna och av nötkreaturens förflyttningar. Eftersom kommissionen har antagit sådana bestämmelser genom beslut 2001/672/EG</w:t>
      </w:r>
      <w:r>
        <w:rPr>
          <w:rStyle w:val="FootnoteReference"/>
          <w:rFonts w:ascii="Times New Roman" w:hAnsi="Times New Roman"/>
          <w:noProof/>
          <w:sz w:val="24"/>
        </w:rPr>
        <w:footnoteReference w:id="8"/>
      </w:r>
      <w:r>
        <w:rPr>
          <w:rFonts w:ascii="Times New Roman" w:hAnsi="Times New Roman"/>
          <w:noProof/>
          <w:sz w:val="24"/>
        </w:rPr>
        <w:t xml:space="preserve"> har det inte förts några diskussioner om ytterligare omständigheter som skulle föranleda antagande av särskilda krav genom delegerade akter.</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h)</w:t>
      </w:r>
      <w:r>
        <w:rPr>
          <w:noProof/>
        </w:rPr>
        <w:tab/>
      </w:r>
      <w:r>
        <w:rPr>
          <w:rFonts w:ascii="Times New Roman" w:hAnsi="Times New Roman"/>
          <w:noProof/>
          <w:sz w:val="24"/>
        </w:rPr>
        <w:t>Artikel 7.6 i förordning (EG) nr 1760/2000 ger kommissionen befogenhet att fastställa bestämmelser om vilken information som ska ingå i de register som ska föras av djurhållarna. På grundval av delegeringen enligt tidigare artikel 10 c har kommissionen antagit sådana krav genom förordning (EG) nr 911/2004</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_Ref530058003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 xml:space="preserve">i) </w:t>
      </w:r>
      <w:r>
        <w:rPr>
          <w:noProof/>
        </w:rPr>
        <w:tab/>
      </w:r>
      <w:r>
        <w:rPr>
          <w:rFonts w:ascii="Times New Roman" w:hAnsi="Times New Roman"/>
          <w:noProof/>
          <w:sz w:val="24"/>
        </w:rPr>
        <w:t>Artikel 13.6 i förordning (EG) nr 1760/2000 ger kommissionen befogenhet att, i syfte att undvika onödig upprepning, fastställa bestämmelser om förenklad framställning av ursprungsmärkningen om djuret uppehållit sig en mycket kort tid i den medlemsstat eller det tredjeland där det fötts eller slaktats. På grundval av delegeringen enligt tidigare artikel 19 har kommissionen antagit sådana krav genom förordning (EG) nr 1825/2000</w:t>
      </w:r>
      <w:r>
        <w:rPr>
          <w:rStyle w:val="FootnoteReference"/>
          <w:rFonts w:ascii="Times New Roman" w:hAnsi="Times New Roman"/>
          <w:noProof/>
          <w:sz w:val="24"/>
        </w:rPr>
        <w:footnoteReference w:id="9"/>
      </w:r>
      <w:r>
        <w:rPr>
          <w:rFonts w:ascii="Times New Roman" w:hAnsi="Times New Roman"/>
          <w:noProof/>
          <w:sz w:val="24"/>
        </w:rPr>
        <w:t xml:space="preserve">. </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j)</w:t>
      </w:r>
      <w:r>
        <w:rPr>
          <w:noProof/>
        </w:rPr>
        <w:tab/>
      </w:r>
      <w:r>
        <w:rPr>
          <w:rFonts w:ascii="Times New Roman" w:hAnsi="Times New Roman"/>
          <w:noProof/>
          <w:sz w:val="24"/>
        </w:rPr>
        <w:t>Artikel 14 i förordning (EG) nr 1760/2000 ger kommissionen befogenhet att fastställa bestämmelser som motsvarar bestämmelserna om malet nötkött för märkning av putsbitar av nötkött och skuret nötkött. På grundval av delegeringen enligt tidigare artikel 19 har kommissionen antagit sådana krav genom förordning (EG) nr 1825/2000</w:t>
      </w:r>
      <w:r>
        <w:rPr>
          <w:rFonts w:ascii="Times New Roman" w:hAnsi="Times New Roman"/>
          <w:noProof/>
          <w:sz w:val="24"/>
          <w:vertAlign w:val="superscript"/>
        </w:rPr>
        <w:t>9</w:t>
      </w:r>
      <w:r>
        <w:rPr>
          <w:rFonts w:ascii="Times New Roman" w:hAnsi="Times New Roman"/>
          <w:noProof/>
          <w:sz w:val="24"/>
        </w:rPr>
        <w:t>.</w:t>
      </w:r>
    </w:p>
    <w:p>
      <w:pPr>
        <w:spacing w:before="120" w:after="120" w:line="240" w:lineRule="auto"/>
        <w:ind w:left="1134" w:hanging="567"/>
        <w:jc w:val="both"/>
        <w:rPr>
          <w:rFonts w:ascii="Times New Roman" w:hAnsi="Times New Roman" w:cs="Times New Roman"/>
          <w:noProof/>
          <w:sz w:val="24"/>
          <w:szCs w:val="24"/>
        </w:rPr>
      </w:pPr>
      <w:r>
        <w:rPr>
          <w:rFonts w:ascii="Times New Roman" w:hAnsi="Times New Roman"/>
          <w:noProof/>
          <w:sz w:val="24"/>
        </w:rPr>
        <w:t>k)</w:t>
      </w:r>
      <w:r>
        <w:rPr>
          <w:noProof/>
        </w:rPr>
        <w:tab/>
      </w:r>
      <w:r>
        <w:rPr>
          <w:rFonts w:ascii="Times New Roman" w:hAnsi="Times New Roman"/>
          <w:noProof/>
          <w:sz w:val="24"/>
        </w:rPr>
        <w:t>Artikel 15a i förordning (EG) nr 1760/2000 ger kommissionen befogenhet att anta bestämmelser om definitioner och krav avsedda att gälla för termer eller termkategorier som aktörer frivilligt får använda på etiketten. Den frivilliga märkningen har förenklats genom förordning (EU) nr 653/2014</w:t>
      </w:r>
      <w:r>
        <w:rPr>
          <w:rFonts w:ascii="Times New Roman" w:hAnsi="Times New Roman"/>
          <w:noProof/>
          <w:sz w:val="24"/>
          <w:vertAlign w:val="superscript"/>
        </w:rPr>
        <w:t>7</w:t>
      </w:r>
      <w:r>
        <w:rPr>
          <w:rFonts w:ascii="Times New Roman" w:hAnsi="Times New Roman"/>
          <w:noProof/>
          <w:sz w:val="24"/>
        </w:rPr>
        <w:t xml:space="preserve"> om ändring av förordning (EG) nr 1760/2000 och det finns inga omständigheter som tyder på att sådana definitioner och krav skulle behöva regleras genom en delegerad akt.</w:t>
      </w:r>
    </w:p>
    <w:p>
      <w:pPr>
        <w:spacing w:before="120" w:after="120"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3.</w:t>
      </w:r>
      <w:r>
        <w:rPr>
          <w:noProof/>
        </w:rPr>
        <w:tab/>
      </w:r>
      <w:r>
        <w:rPr>
          <w:rFonts w:ascii="Times New Roman" w:hAnsi="Times New Roman"/>
          <w:b/>
          <w:noProof/>
          <w:sz w:val="24"/>
        </w:rPr>
        <w:t>Slutsats</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 xml:space="preserve">Kommissionen har hittills kompletterat kraven i förordning (EG) nr 1760/2000 på de områden som avses i artiklarna 4.3, 4.5, 7.1, 7.6, 13.6 och 14 i den förordningen. </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Kommissionen har för närvarande inte för avsikt att börja utarbeta delegerade akter avseende den delegerade befogenhet som avses i artikel 15a, eftersom det inte har konstaterats föreligga något särskilt behov av ytterligare harmonisering av den frivilliga märkningen av nötkött. De befintliga övergripande bestämmelser om livsmedelsinformation till konsumenterna som finns i förordning (EU) nr 1169/2011</w:t>
      </w:r>
      <w:r>
        <w:rPr>
          <w:rStyle w:val="FootnoteReference"/>
          <w:rFonts w:ascii="Times New Roman" w:hAnsi="Times New Roman"/>
          <w:noProof/>
          <w:sz w:val="24"/>
        </w:rPr>
        <w:footnoteReference w:id="10"/>
      </w:r>
      <w:r>
        <w:rPr>
          <w:rFonts w:ascii="Times New Roman" w:hAnsi="Times New Roman"/>
          <w:noProof/>
          <w:sz w:val="24"/>
        </w:rPr>
        <w:t xml:space="preserve"> anses vara tillräckliga.</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Kommissionen har för närvarande inte för avsikt att börja utarbeta delegerade akter avseende någon av de delegerade befogenheter som avses i artiklarna 4.1, 4a.2, 5, 6.2 eller 7.2 i förordning (EG) nr 1760/2000, eftersom den förordningen kommer att ändras genom förordning (EU) 2016/429</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_Ref530056361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fldChar w:fldCharType="end"/>
      </w:r>
      <w:r>
        <w:rPr>
          <w:rFonts w:ascii="Times New Roman" w:hAnsi="Times New Roman"/>
          <w:noProof/>
          <w:sz w:val="24"/>
        </w:rPr>
        <w:t xml:space="preserve"> och artiklarna 1–10 därmed kommer att utgå från och med den 21 april 2021. </w:t>
      </w:r>
    </w:p>
    <w:p>
      <w:pPr>
        <w:spacing w:before="120" w:after="120" w:line="240" w:lineRule="auto"/>
        <w:ind w:left="567"/>
        <w:jc w:val="both"/>
        <w:rPr>
          <w:rFonts w:ascii="Times New Roman" w:hAnsi="Times New Roman" w:cs="Times New Roman"/>
          <w:noProof/>
          <w:sz w:val="24"/>
          <w:szCs w:val="24"/>
        </w:rPr>
      </w:pPr>
      <w:r>
        <w:rPr>
          <w:rFonts w:ascii="Times New Roman" w:hAnsi="Times New Roman"/>
          <w:noProof/>
          <w:sz w:val="24"/>
        </w:rPr>
        <w:t>Kommissionen anser att eventuella nya krav eller bestämmelser när det gäller identifiering av nötkreatur bör antas på grundval av de delegerade befogenheter som ges kommissionen enligt förordning (EU) 2016/429.</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2289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rPr>
          <w:rFonts w:ascii="Times New Roman" w:hAnsi="Times New Roman" w:cs="Times New Roman"/>
        </w:rPr>
      </w:pPr>
      <w:r>
        <w:rPr>
          <w:rStyle w:val="FootnoteReference"/>
          <w:rFonts w:ascii="Times New Roman" w:hAnsi="Times New Roman"/>
        </w:rPr>
        <w:footnoteRef/>
      </w:r>
      <w:r>
        <w:tab/>
      </w:r>
      <w:r>
        <w:rPr>
          <w:rFonts w:ascii="Times New Roman" w:hAnsi="Times New Roman"/>
          <w:sz w:val="16"/>
        </w:rPr>
        <w:t>Europaparlamentets och rådets förordning (EG) nr 1760/2000 av den 17 juli 2000 om upprättande av ett system för identifiering och registrering av nötkreatur samt märkning av nötkött och nötköttsprodukter och om upphävande av rådets förordning (EG) nr 820/97 (EGT L 204, 11.8.2000, s. 1).</w:t>
      </w:r>
    </w:p>
  </w:footnote>
  <w:footnote w:id="2">
    <w:p>
      <w:pPr>
        <w:pStyle w:val="FootnoteText"/>
        <w:ind w:left="567" w:hanging="567"/>
        <w:rPr>
          <w:rFonts w:ascii="Times New Roman" w:hAnsi="Times New Roman" w:cs="Times New Roman"/>
          <w:sz w:val="16"/>
          <w:szCs w:val="16"/>
        </w:rPr>
      </w:pPr>
      <w:r>
        <w:rPr>
          <w:rStyle w:val="FootnoteReference"/>
          <w:rFonts w:ascii="Times New Roman" w:hAnsi="Times New Roman"/>
        </w:rPr>
        <w:footnoteRef/>
      </w:r>
      <w:r>
        <w:tab/>
      </w:r>
      <w:r>
        <w:rPr>
          <w:rFonts w:ascii="Times New Roman" w:hAnsi="Times New Roman" w:cs="Times New Roman"/>
          <w:sz w:val="16"/>
          <w:szCs w:val="16"/>
        </w:rPr>
        <w:t>Kommissionens förordning (EG) nr 911/2004 av den 29 april 2004 om genomförande av Europaparlamentets och rådets förordning (EG) nr 1760/2000 beträffande öronmärken, pass och register på anläggningarna (EUT L 163, 30.4.2004, s. 65).</w:t>
      </w:r>
    </w:p>
  </w:footnote>
  <w:footnote w:id="3">
    <w:p>
      <w:pPr>
        <w:pStyle w:val="FootnoteText"/>
        <w:ind w:left="567" w:hanging="567"/>
      </w:pPr>
      <w:r>
        <w:rPr>
          <w:rFonts w:ascii="Times New Roman" w:hAnsi="Times New Roman"/>
          <w:sz w:val="16"/>
        </w:rPr>
        <w:footnoteRef/>
      </w:r>
      <w:r>
        <w:tab/>
      </w:r>
      <w:r>
        <w:rPr>
          <w:rFonts w:ascii="Times New Roman" w:hAnsi="Times New Roman"/>
          <w:sz w:val="16"/>
        </w:rPr>
        <w:t>Europaparlamentets och rådets förordning (EU) 2016/429 av den 9 mars 2016 om överförbara djursjukdomar och om ändring och upphävande av vissa akter med avseende på djurhälsa (djurhälsolag) (EUT L 84, 31.3.2016, s. 1).</w:t>
      </w:r>
    </w:p>
  </w:footnote>
  <w:footnote w:id="4">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cs="Times New Roman"/>
          <w:sz w:val="16"/>
          <w:szCs w:val="16"/>
        </w:rPr>
        <w:t>Kommissionens förordning (EG) nr 644/2005 av den 27 april 2005 om att tillåta ett särskilt identifieringssystem för nötkreatur som hålls för kulturella och historiska ändamål på godkända anläggningar som föreskrivs i Europaparlamentets och rådets förordning (EG) nr 1760/2000 (EUT L 107, 28.4.2005, s. 18).</w:t>
      </w:r>
    </w:p>
  </w:footnote>
  <w:footnote w:id="5">
    <w:p>
      <w:pPr>
        <w:pStyle w:val="FootnoteText"/>
        <w:ind w:left="567" w:hanging="567"/>
      </w:pPr>
      <w:r>
        <w:rPr>
          <w:rFonts w:ascii="Times New Roman" w:hAnsi="Times New Roman"/>
          <w:sz w:val="16"/>
        </w:rPr>
        <w:footnoteRef/>
      </w:r>
      <w:r>
        <w:tab/>
      </w:r>
      <w:r>
        <w:rPr>
          <w:rFonts w:ascii="Times New Roman" w:hAnsi="Times New Roman"/>
          <w:sz w:val="16"/>
        </w:rPr>
        <w:t>Kommissionens beslut 2004/764/EG av den 22 oktober 2004 om en förlängning av den maximala tidsfristen för fastsättning av öronmärken på vissa nötkreatur som hålls i naturreservat i Nederländerna (EUT L 339, 16.11.2004, s. 9).</w:t>
      </w:r>
    </w:p>
  </w:footnote>
  <w:footnote w:id="6">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Kommissionens beslut 2006/28/EG av den 18 januari 2006 om förlängning av tidsfristen för anbringande av öronmärken på vissa nötkreatur (EUT L 19, 24.1.2006, s. 32).</w:t>
      </w:r>
    </w:p>
  </w:footnote>
  <w:footnote w:id="7">
    <w:p>
      <w:pPr>
        <w:pStyle w:val="FootnoteText"/>
        <w:ind w:left="567" w:hanging="567"/>
      </w:pPr>
      <w:r>
        <w:rPr>
          <w:rFonts w:ascii="Times New Roman" w:hAnsi="Times New Roman"/>
          <w:sz w:val="16"/>
        </w:rPr>
        <w:footnoteRef/>
      </w:r>
      <w:r>
        <w:tab/>
      </w:r>
      <w:r>
        <w:rPr>
          <w:rFonts w:ascii="Times New Roman" w:hAnsi="Times New Roman"/>
          <w:sz w:val="16"/>
        </w:rPr>
        <w:t>Europaparlamentets och rådets förordning (EU) nr 653/2014 av den 15 maj 2014 om ändring av förordning (EG) nr 1760/2000 vad gäller elektronisk identifiering av nötkreatur och märkning av nötkött (EUT L 189, 27.6.2014, s. 33).</w:t>
      </w:r>
    </w:p>
  </w:footnote>
  <w:footnote w:id="8">
    <w:p>
      <w:pPr>
        <w:pStyle w:val="FootnoteText"/>
        <w:ind w:left="567" w:hanging="567"/>
      </w:pPr>
      <w:r>
        <w:rPr>
          <w:rFonts w:ascii="Times New Roman" w:hAnsi="Times New Roman"/>
          <w:sz w:val="16"/>
        </w:rPr>
        <w:footnoteRef/>
      </w:r>
      <w:r>
        <w:tab/>
      </w:r>
      <w:r>
        <w:rPr>
          <w:rFonts w:ascii="Times New Roman" w:hAnsi="Times New Roman"/>
          <w:sz w:val="16"/>
        </w:rPr>
        <w:t>Kommissionens beslut 2001/672/EG av den 20 augusti 2001 om särskilda bestämmelser avseende förflyttningar av nötkreatur när dessa tas ut på sommarbete i bergsområden (EGT L 235, 4.9.2001, s. 23).</w:t>
      </w:r>
    </w:p>
  </w:footnote>
  <w:footnote w:id="9">
    <w:p>
      <w:pPr>
        <w:pStyle w:val="FootnoteText"/>
        <w:ind w:left="567" w:hanging="567"/>
        <w:rPr>
          <w:rFonts w:ascii="Times New Roman" w:hAnsi="Times New Roman" w:cs="Times New Roman"/>
          <w:sz w:val="16"/>
          <w:szCs w:val="16"/>
        </w:rPr>
      </w:pPr>
      <w:r>
        <w:rPr>
          <w:rFonts w:ascii="Times New Roman" w:hAnsi="Times New Roman"/>
          <w:sz w:val="16"/>
        </w:rPr>
        <w:footnoteRef/>
      </w:r>
      <w:r>
        <w:tab/>
      </w:r>
      <w:r>
        <w:rPr>
          <w:rFonts w:ascii="Times New Roman" w:hAnsi="Times New Roman"/>
          <w:sz w:val="16"/>
        </w:rPr>
        <w:t>Kommissionens förordning (EG) nr 1825/2000 av den 25 augusti 2000 om fastställande av tillämpningsföreskrifter för Europaparlamentets och rådets förordning (EG) nr 1760/2000 när det gäller märkning av nötkött och nötköttsprodukter (EGT L 216, 26.8.2000, s. 8).</w:t>
      </w:r>
    </w:p>
  </w:footnote>
  <w:footnote w:id="10">
    <w:p>
      <w:pPr>
        <w:pStyle w:val="FootnoteText"/>
        <w:ind w:left="567" w:hanging="567"/>
      </w:pPr>
      <w:r>
        <w:rPr>
          <w:rFonts w:ascii="Times New Roman" w:hAnsi="Times New Roman"/>
          <w:sz w:val="16"/>
        </w:rPr>
        <w:footnoteRef/>
      </w:r>
      <w:r>
        <w:tab/>
      </w:r>
      <w:r>
        <w:rPr>
          <w:rFonts w:ascii="Times New Roman" w:hAnsi="Times New Roman"/>
          <w:sz w:val="16"/>
        </w:rPr>
        <w:t>Europaparlamentets och rådets förordning (EU) nr 1169/2011 av den 25 oktober 2011 om tillhandahållande av livsmedelsinformation till konsumenterna, och om ändring av Europaparlamentets och rådets förordningar (EG) nr 1924/2006 och (EG) nr 1925/2006 samt om upphävande av kommissionens direktiv 87/250/EEG, rådets direktiv 90/496/EEG, kommissionens direktiv 1999/10/EG, Europaparlamentets och rådets direktiv 2000/13/EG, kommissionens direktiv 2002/67/EG och 2008/5/EG samt kommissionens förordning (EG) nr 608/2004 (EUT L 304, 22.11.2011, s.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562"/>
    <w:multiLevelType w:val="hybridMultilevel"/>
    <w:tmpl w:val="CCDA7F32"/>
    <w:lvl w:ilvl="0" w:tplc="A11C24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C486FE-FA01-42F6-B912-50614DC2295F"/>
    <w:docVar w:name="LW_COVERPAGE_TYPE" w:val="1"/>
    <w:docVar w:name="LW_CROSSREFERENCE" w:val="&lt;UNUSED&gt;"/>
    <w:docVar w:name="LW_DocType" w:val="NORMAL"/>
    <w:docVar w:name="LW_EMISSION" w:val="11.2.2019"/>
    <w:docVar w:name="LW_EMISSION_ISODATE" w:val="2019-02-11"/>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utövande av den delegering av befogenhet som getts kommissionen enligt Europaparlamentets och rådets förordning (EG) nr 1760/2000 om upprättande av ett system för identifiering och registrering av nötkreatur samt märkning av nötkött och nötköttsprodukter och om upphävande av rådets förordning (EG) nr 820/97"/>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B6B8E7-4585-4E40-B30F-B9272D95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1159</Words>
  <Characters>6947</Characters>
  <Application>Microsoft Office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SANTE/7131/2018-EN CIS</vt:lpstr>
    </vt:vector>
  </TitlesOfParts>
  <Manager/>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SANTE/7131/2018-EN</dc:title>
  <dc:subject>REPORT</dc:subject>
  <dc:creator/>
  <cp:keywords>7131</cp:keywords>
  <dc:description>Outlook 17,1,2019</dc:description>
  <cp:lastModifiedBy>WES PDFC Administrator</cp:lastModifiedBy>
  <cp:revision>18</cp:revision>
  <cp:lastPrinted>2019-01-17T08:56:00Z</cp:lastPrinted>
  <dcterms:created xsi:type="dcterms:W3CDTF">2019-01-17T10:19:00Z</dcterms:created>
  <dcterms:modified xsi:type="dcterms:W3CDTF">2019-02-04T16:01:00Z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