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D6" w:rsidRDefault="00167465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977D1AD-B886-4354-BB43-FF49EE8C4DB0" style="width:451.35pt;height:395.45pt">
            <v:imagedata r:id="rId12" o:title=""/>
          </v:shape>
        </w:pict>
      </w:r>
    </w:p>
    <w:p w:rsidR="008855D6" w:rsidRDefault="008855D6">
      <w:pPr>
        <w:rPr>
          <w:noProof/>
        </w:rPr>
        <w:sectPr w:rsidR="008855D6">
          <w:footerReference w:type="defaul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  <w:bookmarkStart w:id="0" w:name="_GoBack"/>
      <w:bookmarkEnd w:id="0"/>
    </w:p>
    <w:p w:rsidR="008855D6" w:rsidRDefault="00167465">
      <w:pPr>
        <w:pStyle w:val="Exposdesmotifstitre"/>
        <w:rPr>
          <w:noProof/>
        </w:rPr>
      </w:pPr>
      <w:r>
        <w:rPr>
          <w:noProof/>
        </w:rPr>
        <w:lastRenderedPageBreak/>
        <w:t>INDOKOLÁS</w:t>
      </w:r>
    </w:p>
    <w:p w:rsidR="008855D6" w:rsidRDefault="00167465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 w:rsidR="008855D6" w:rsidRDefault="00167465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A javaslat indokai és céljai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Az Egyesült Királyság 2017. március 29-én az Európai Unióról szóló szerződés </w:t>
      </w:r>
      <w:r>
        <w:rPr>
          <w:noProof/>
        </w:rPr>
        <w:t>50. cikkének megfelelően bejelentette az Unióból való kilépésre vonatkozó szándékát. Ez azt jelenti, hogy amennyiben a kilépésről rendelkező megállapodást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nem erősítik meg, az Unió elsődleges és másodlagos joga 2019. március 30-tól (a továbbiakban: a kilé</w:t>
      </w:r>
      <w:r>
        <w:rPr>
          <w:noProof/>
        </w:rPr>
        <w:t>pés napja) az Egyesült Királyságra nem alkalmazandó. Az Egyesült Királyság ezt követően harmadik országgá válik.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Az Egyesült Királyság megállapodás nélküli kilépése az Unióból hatással lesz az Európai Uniót és az Egyesült Királyságot összekötő, határokon </w:t>
      </w:r>
      <w:r>
        <w:rPr>
          <w:noProof/>
        </w:rPr>
        <w:t>átnyúló infrastruktúrák irányításával és üzemeltetésével foglalkozó infrastruktúra-működtetők számára a 2004/49/EK irányelv 11. cikke alapján kiadott biztonsági engedélyek érvényességére.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Bizottság a „Felkészülés az Egyesült Királyságnak az Európai Uniób</w:t>
      </w:r>
      <w:r>
        <w:rPr>
          <w:noProof/>
        </w:rPr>
        <w:t>ól 2019. március 30-án való kilépésére: rendkívüli helyzetre szóló cselekvési terv”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című közleményében meghatározta a rendkívüli intézkedések alapjául szolgáló irányelveket, melyek többek között kimondják, hogy az említett intézkedések nem orvosolják az é</w:t>
      </w:r>
      <w:r>
        <w:rPr>
          <w:noProof/>
        </w:rPr>
        <w:t>rdekelt felek felkészültségi intézkedéseinek hiányát vagy azok végrehajtásának késedelmét. Az említett közleményben a Bizottság felsorolta az általa szükségesnek tartott intézkedéseket, egyúttal emlékeztetve arra, hogy egy későbbi szakaszban további intézk</w:t>
      </w:r>
      <w:r>
        <w:rPr>
          <w:noProof/>
        </w:rPr>
        <w:t>edésekre is szükség lehet.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Az Európai Tanács (50. cikk) 2018. december 13-án megismételte arra vonatkozó felhívását, hogy minden szinten fokozni kell a munkát az Egyesült Királyság kilépésének következményeire való felkészülés érdekében, és ennek során fig</w:t>
      </w:r>
      <w:r>
        <w:rPr>
          <w:noProof/>
        </w:rPr>
        <w:t>yelembe kell venni minden lehetséges kimenetelt.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Bizottság 2018-ban az Európai Unió Tanácsa által szervezett szemináriumok keretében megvitatta a tagállamokkal a kilépés lehetséges következményeit. Emellett egy, az összes tagállamot érintő látogatássoroz</w:t>
      </w:r>
      <w:r>
        <w:rPr>
          <w:noProof/>
        </w:rPr>
        <w:t>at keretén belül a kilépés hatásai és a felkészültségi intézkedések is alapos vita tárgyát képezték.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vasúti közlekedés területén az érdekelt felek a legtöbb esetben különböző intézkedések révén orvosolhatják az Egyesült Királyság Európai Unióból való kil</w:t>
      </w:r>
      <w:r>
        <w:rPr>
          <w:noProof/>
        </w:rPr>
        <w:t>épésének a bizonyítványokra, tanúsítványokra és engedélyekre gyakorolt hatását, például úgy, hogy a tagállamok egyikében telephelyet létesítenek, majd az adott tagállamban beszerzik a megfelelő bizonyítványokat, tanúsítványokat és engedélyeket.</w:t>
      </w:r>
    </w:p>
    <w:p w:rsidR="008855D6" w:rsidRDefault="00167465">
      <w:pPr>
        <w:rPr>
          <w:noProof/>
        </w:rPr>
      </w:pPr>
      <w:r>
        <w:rPr>
          <w:noProof/>
        </w:rPr>
        <w:t>A közvetlen</w:t>
      </w:r>
      <w:r>
        <w:rPr>
          <w:noProof/>
        </w:rPr>
        <w:t>ül a határokon átnyúló vasúti műveletekkel kapcsolatban felmerülő problémák kezeléséhez, az említett műveletek kilépést követő folytonosságának biztosításához és ezáltal az Unióban fellépő zavarok enyhítése érdekében azonban az érintett uniós tagállamok és</w:t>
      </w:r>
      <w:r>
        <w:rPr>
          <w:noProof/>
        </w:rPr>
        <w:t xml:space="preserve"> az Egyesült Királyság közötti megállapodások megtárgyalása és aláírása szükséges. Az ilyen kétoldalú megállapodások megkötése csak azt követően válik lehetségessé, hogy az Egyesült Királyság harmadik országgá vált.</w:t>
      </w:r>
    </w:p>
    <w:p w:rsidR="008855D6" w:rsidRDefault="00167465">
      <w:pPr>
        <w:rPr>
          <w:noProof/>
        </w:rPr>
      </w:pPr>
      <w:r>
        <w:rPr>
          <w:noProof/>
        </w:rPr>
        <w:lastRenderedPageBreak/>
        <w:t>Különösen a Csatorna-alagúttal kapcsolat</w:t>
      </w:r>
      <w:r>
        <w:rPr>
          <w:noProof/>
        </w:rPr>
        <w:t>os Canterburyi Szerződés keretében felállított kétnemzetiségű biztonsági hatóság helyzetét kell az Egyesült Királyság új – harmadik ország – státuszának figyelembe vételével rendezni.</w:t>
      </w:r>
    </w:p>
    <w:p w:rsidR="008855D6" w:rsidRDefault="00167465">
      <w:pPr>
        <w:rPr>
          <w:noProof/>
        </w:rPr>
      </w:pPr>
      <w:r>
        <w:rPr>
          <w:noProof/>
        </w:rPr>
        <w:t>Ezért indokolt, hogy a Bizottság a vonatkozó uniós jogszabályokkal összh</w:t>
      </w:r>
      <w:r>
        <w:rPr>
          <w:noProof/>
        </w:rPr>
        <w:t>angban olyan intézkedéseket javasoljon, amelyek biztosítják az engedélyek folyamatos érvényességét a vasúti infrastruktúra bizonyos részei tekintetében.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meghosszabbított érvényességi időt az Egyesült Királyság és az érintett tagállamok számára elengedhet</w:t>
      </w:r>
      <w:r>
        <w:rPr>
          <w:noProof/>
        </w:rPr>
        <w:t>etlen megállapodások megkötéséhez feltétlenül szükséges időtartamra kell korlátozni.</w:t>
      </w:r>
    </w:p>
    <w:p w:rsidR="008855D6" w:rsidRDefault="00167465">
      <w:pPr>
        <w:rPr>
          <w:noProof/>
        </w:rPr>
      </w:pPr>
      <w:r>
        <w:rPr>
          <w:noProof/>
        </w:rPr>
        <w:t>Ez kizárólag az Európai Uniót és az Egyesült Királyságot összekötő, határokon átnyúló infrastruktúrák irányításával és üzemeltetésével foglalkozó infrastruktúra-működtetők</w:t>
      </w:r>
      <w:r>
        <w:rPr>
          <w:noProof/>
        </w:rPr>
        <w:t xml:space="preserve"> számára a 2004/49/EK irányelv 11. cikke alapján kiadott biztonsági engedélyre vonatkozik.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javasolt rendelkezések célja, hogy a vonatkozó uniós jogi követelményekkel összhangban biztosítsák a folyamatosságot kizárólag a határokon átnyúló műveletek és szo</w:t>
      </w:r>
      <w:r>
        <w:rPr>
          <w:noProof/>
        </w:rPr>
        <w:t>lgáltatások tekintetében. Az említett műveletek megszakadása jelentős társadalmi és gazdasági problémákat vonna maga után. A javaslat – azáltal, hogy biztosítja az érintett szervezetek uniós jognak való megfelelését – egyúttal a fogyasztók és a polgárok vé</w:t>
      </w:r>
      <w:r>
        <w:rPr>
          <w:noProof/>
        </w:rPr>
        <w:t>delmét is szolgálja.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Az e javaslatban szereplő intézkedések feltétele, hogy az Egyesült Királyság területén a határokon átnyúló vasúti összeköttetést biztosító infrastruktúrára az uniós követelményekkel azonos biztonsági normák vonatkozzanak.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jelentős za</w:t>
      </w:r>
      <w:r>
        <w:rPr>
          <w:noProof/>
        </w:rPr>
        <w:t>varok azonban csak akkor kerülhetők el, ha a vasúttársaságok és a nemzeti hatóságok kellő gyorsasággal megtesznek minden szükséges intézkedést annak érdekében, hogy a piacra jutási engedélyek, a vasúti járművezetői engedélyeket, valamint az uniós területek</w:t>
      </w:r>
      <w:r>
        <w:rPr>
          <w:noProof/>
        </w:rPr>
        <w:t>en való műveletekhez szükséges minden egyéb tanúsítványt és engedélyt már 2019. március 30. előtt kellő időben kiadják.</w:t>
      </w:r>
    </w:p>
    <w:p w:rsidR="008855D6" w:rsidRDefault="00167465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Összhang a szabályozási terület jelenlegi rendelkezéseivel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E javaslat célja, hogy </w:t>
      </w:r>
      <w:r>
        <w:rPr>
          <w:i/>
          <w:noProof/>
        </w:rPr>
        <w:t>lex specialisként</w:t>
      </w:r>
      <w:r>
        <w:rPr>
          <w:noProof/>
        </w:rPr>
        <w:t xml:space="preserve"> szabályozza annak bizonyos következményeit, hogy a 2004/49/EK irányelv a továbbiakban nem lesz alkalmazandó az Egyesült Királyságra. A javasolt feltételek szigorúan olyan mértékűre korlátozódnak, ami a határokon átnyúló műveletek során felmerülő zavarok e</w:t>
      </w:r>
      <w:r>
        <w:rPr>
          <w:noProof/>
        </w:rPr>
        <w:t>lkerüléséhez szükséges. Ezenkívül csupán korlátozott ideig lesznek alkalmazandók. Az említett jogi aktusok általános rendelkezéseit egyebekben továbbra is alkalmazni kell. E javaslat tehát teljes mértékben összhangban van a fennálló jogszabályokkal.</w:t>
      </w:r>
    </w:p>
    <w:p w:rsidR="008855D6" w:rsidRDefault="00167465"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Össz</w:t>
      </w:r>
      <w:r>
        <w:rPr>
          <w:noProof/>
        </w:rPr>
        <w:t>hang az Unió egyéb szakpolitikáival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javaslat a vasútbiztonságra és a vasúti összeköttetésre vonatkozik, és különösen azon helyzet szabályozása érdekében egészíti ki a 2004/49/EK irányelvet, amelyben az Egyesült Királyság kilépésről rendelkező megállapodá</w:t>
      </w:r>
      <w:r>
        <w:rPr>
          <w:noProof/>
        </w:rPr>
        <w:t>s nélkül lép ki az Unióból.</w:t>
      </w:r>
    </w:p>
    <w:p w:rsidR="008855D6" w:rsidRDefault="00167465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JOGALAP, SZUBSZIDIARITÁS ÉS ARÁNYOSSÁG</w:t>
      </w:r>
    </w:p>
    <w:p w:rsidR="008855D6" w:rsidRDefault="00167465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Jogalap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jogalap az Európai Unió működéséről szóló szerződés (EUMSZ) 91. cikkének (1) bekezdése.</w:t>
      </w:r>
    </w:p>
    <w:p w:rsidR="008855D6" w:rsidRDefault="00167465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Szubszidiaritás (nem kizárólagos hatáskör esetén)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Mivel a javaslat a hatályos uniós </w:t>
      </w:r>
      <w:r>
        <w:rPr>
          <w:noProof/>
        </w:rPr>
        <w:t>jogszabályokat egészíti ki olyan rendelkezésekkel, amelyek lehetővé teszik az említett jogszabályoknak az Egyesült Királyság Unióból való kilépését követő szabályszerű alkalmazását, célkitűzése kizárólag uniós szintű jogi aktus révén érhető el.</w:t>
      </w:r>
    </w:p>
    <w:p w:rsidR="008855D6" w:rsidRDefault="00167465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</w:r>
      <w:r>
        <w:rPr>
          <w:noProof/>
        </w:rPr>
        <w:t>Arányosság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 javasolt rendelet arányosnak tekinthető, mivel – egy korlátozott és a szükséges mértékre szorítkozó, az Egyesült Királyságot érintő, határokon átnyúló vasúti szolgáltatások folyamatossága iránti igényt kielégítő jogi módosítás bevezetésével – </w:t>
      </w:r>
      <w:r>
        <w:rPr>
          <w:noProof/>
        </w:rPr>
        <w:t>lehetővé teszi a zavarok megelőzését. A javaslat nem lépi túl az e cél eléréséhez szükséges mértéket, és nem rendelkezik sem szélesebb körű módosításokról, sem állandó intézkedésekről.</w:t>
      </w:r>
    </w:p>
    <w:p w:rsidR="008855D6" w:rsidRDefault="00167465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jogi aktus típusának megválasztása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Ez a javaslat korlátozott számú </w:t>
      </w:r>
      <w:r>
        <w:rPr>
          <w:noProof/>
        </w:rPr>
        <w:t>rendelkezést állapít meg egy rendkívül konkrét, egyszeri helyzet szabályozása érdekében. Ezért a 2004/49/EK irányelv és a 2019. június 16-i hatállyal a helyébe lépő (EU) 2016/798 irányelv módosítása nem helyénvaló. Az érintett engedélyekre vonatkozó rendel</w:t>
      </w:r>
      <w:r>
        <w:rPr>
          <w:noProof/>
        </w:rPr>
        <w:t>kezések a 2004/49/EK irányelv hatálya alá tartoznak. Ezt figyelembe véve az európai parlamenti és tanácsi rendelet tűnik a jogi aktusok egyetlen erre a célra alkalmas típusának.</w:t>
      </w:r>
    </w:p>
    <w:p w:rsidR="008855D6" w:rsidRDefault="00167465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AZ UTÓLAGOS ÉRTÉKELÉSEK, AZ ÉRDEKELT FELEKKEL FOLYTATOTT KONZULTÁCIÓK ÉS A </w:t>
      </w:r>
      <w:r>
        <w:rPr>
          <w:noProof/>
        </w:rPr>
        <w:t>HATÁSVIZSGÁLATOK EREDMÉNYEI</w:t>
      </w:r>
    </w:p>
    <w:p w:rsidR="008855D6" w:rsidRDefault="00167465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jelenleg hatályban lévő jogszabályok utólagos értékelése / célravezetőségi vizsgálata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e javaslat kidolgozását szükségessé tevő esemény kivételes és egyszeri jellege miatt tárgytalan.</w:t>
      </w:r>
    </w:p>
    <w:p w:rsidR="008855D6" w:rsidRDefault="00167465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Az érdekelt felekkel folytatott konz</w:t>
      </w:r>
      <w:r>
        <w:rPr>
          <w:noProof/>
        </w:rPr>
        <w:t>ultációk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Az Egyesült Királyságnak az Unióból történő kilépésével kapcsolatos tárgyalások sajátos körülményei és a helyzet folyamatos változása erősen korlátozta a javaslattal kapcsolatos nyilvános konzultációk lehetőségét. Ugyanakkor számos, a vasúti közle</w:t>
      </w:r>
      <w:r>
        <w:rPr>
          <w:noProof/>
        </w:rPr>
        <w:t>kedésben érdekelt fél, valamint tagállami képviselő számolt be az Egyesült Királyság EU-ból való kilépéséből eredő kihívásokról, és vetett fel lehetséges megoldásokat.</w:t>
      </w:r>
    </w:p>
    <w:p w:rsidR="008855D6" w:rsidRDefault="00167465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Szakértői vélemények beszerzése és felhasználása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Ezek az információk belső jogi és műs</w:t>
      </w:r>
      <w:r>
        <w:rPr>
          <w:noProof/>
        </w:rPr>
        <w:t>zaki elemzésnek lettek alávetve annak biztosítása érdekében, hogy a javasolt intézkedés elérje a kívánt célt, ugyanakkor a feltétlenül szükséges mértékre korlátozódjon.</w:t>
      </w:r>
    </w:p>
    <w:p w:rsidR="008855D6" w:rsidRDefault="00167465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Hatásvizsgálat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helyzet kivételes jellege és az Egyesült Királyság státuszának megvá</w:t>
      </w:r>
      <w:r>
        <w:rPr>
          <w:noProof/>
        </w:rPr>
        <w:t>ltozásával érintett időszakhoz kapcsolódó korlátozott igények miatt nincs szükség hatásvizsgálatra. Nincsenek a javasolttól lényegesen eltérő szakpolitikai alternatívák.</w:t>
      </w:r>
    </w:p>
    <w:p w:rsidR="008855D6" w:rsidRDefault="00167465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Alapjogok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javaslat nincs hatással az alapjogok alkalmazására vagy védelmére.</w:t>
      </w:r>
    </w:p>
    <w:p w:rsidR="008855D6" w:rsidRDefault="00167465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</w:t>
      </w:r>
      <w:r>
        <w:rPr>
          <w:noProof/>
        </w:rPr>
        <w:t>LTSÉGVETÉSI VONZATOK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Tárgytalan.</w:t>
      </w:r>
    </w:p>
    <w:p w:rsidR="008855D6" w:rsidRDefault="00167465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EGYÉB ELEMEK</w:t>
      </w:r>
    </w:p>
    <w:p w:rsidR="008855D6" w:rsidRDefault="00167465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Végrehajtási tervek, valamint a nyomon követés, az értékelés és a jelentéstétel szabályai</w:t>
      </w:r>
    </w:p>
    <w:p w:rsidR="008855D6" w:rsidRDefault="0016746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javasolt intézkedés rövid távú jellege miatt tárgytalan.</w:t>
      </w:r>
    </w:p>
    <w:p w:rsidR="008855D6" w:rsidRDefault="008855D6">
      <w:pPr>
        <w:rPr>
          <w:noProof/>
        </w:rPr>
        <w:sectPr w:rsidR="008855D6">
          <w:footerReference w:type="default" r:id="rId14"/>
          <w:footerReference w:type="first" r:id="rId15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8855D6" w:rsidRDefault="00167465">
      <w:pPr>
        <w:pStyle w:val="Rfrenceinterinstitutionnelle"/>
        <w:rPr>
          <w:noProof/>
        </w:rPr>
      </w:pPr>
      <w:r>
        <w:rPr>
          <w:noProof/>
        </w:rPr>
        <w:lastRenderedPageBreak/>
        <w:t>2019/0040 (COD)</w:t>
      </w:r>
    </w:p>
    <w:p w:rsidR="008855D6" w:rsidRDefault="00167465">
      <w:pPr>
        <w:pStyle w:val="Statut"/>
        <w:rPr>
          <w:noProof/>
        </w:rPr>
      </w:pPr>
      <w:r>
        <w:rPr>
          <w:noProof/>
        </w:rPr>
        <w:t>Javaslat</w:t>
      </w:r>
    </w:p>
    <w:p w:rsidR="008855D6" w:rsidRDefault="00167465">
      <w:pPr>
        <w:pStyle w:val="Typedudocument"/>
        <w:rPr>
          <w:noProof/>
        </w:rPr>
      </w:pPr>
      <w:r>
        <w:rPr>
          <w:noProof/>
        </w:rPr>
        <w:t>AZ EURÓPAI PARLAMENT ÉS A TANÁCS RENDELETE</w:t>
      </w:r>
    </w:p>
    <w:p w:rsidR="008855D6" w:rsidRDefault="00167465">
      <w:pPr>
        <w:pStyle w:val="Titreobjet"/>
        <w:rPr>
          <w:noProof/>
        </w:rPr>
      </w:pPr>
      <w:r>
        <w:rPr>
          <w:noProof/>
        </w:rPr>
        <w:t>a vasútbiztonság és a vasúti összeköttetés egyes, Nagy-Britannia és Észak-Írország Egyesült Királyságának az Unióból történő kilépésével összefüggő vonatkozásairól</w:t>
      </w:r>
    </w:p>
    <w:p w:rsidR="008855D6" w:rsidRDefault="00167465">
      <w:pPr>
        <w:pStyle w:val="IntrtEEE"/>
        <w:rPr>
          <w:noProof/>
        </w:rPr>
      </w:pPr>
      <w:r>
        <w:rPr>
          <w:noProof/>
        </w:rPr>
        <w:t xml:space="preserve">(EGT-vonatkozású </w:t>
      </w:r>
      <w:r>
        <w:rPr>
          <w:noProof/>
        </w:rPr>
        <w:t>szöveg)</w:t>
      </w:r>
    </w:p>
    <w:p w:rsidR="008855D6" w:rsidRDefault="00167465">
      <w:pPr>
        <w:pStyle w:val="Institutionquiagit"/>
        <w:rPr>
          <w:noProof/>
        </w:rPr>
      </w:pPr>
      <w:r>
        <w:rPr>
          <w:noProof/>
        </w:rPr>
        <w:t>AZ EURÓPAI PARLAMENT ÉS AZ EURÓPAI UNIÓ TANÁCSA,</w:t>
      </w:r>
    </w:p>
    <w:p w:rsidR="008855D6" w:rsidRDefault="00167465">
      <w:pPr>
        <w:rPr>
          <w:noProof/>
        </w:rPr>
      </w:pPr>
      <w:r>
        <w:rPr>
          <w:noProof/>
        </w:rPr>
        <w:t>tekintettel az Európai Unió működéséről szóló szerződésre és különösen annak 91. cikke (1) bekezdésére,</w:t>
      </w:r>
    </w:p>
    <w:p w:rsidR="008855D6" w:rsidRDefault="00167465">
      <w:pPr>
        <w:rPr>
          <w:noProof/>
        </w:rPr>
      </w:pPr>
      <w:r>
        <w:rPr>
          <w:noProof/>
        </w:rPr>
        <w:t>tekintettel az Európai Bizottság javaslatára,</w:t>
      </w:r>
    </w:p>
    <w:p w:rsidR="008855D6" w:rsidRDefault="00167465">
      <w:pPr>
        <w:rPr>
          <w:noProof/>
        </w:rPr>
      </w:pPr>
      <w:r>
        <w:rPr>
          <w:noProof/>
        </w:rPr>
        <w:t>a jogalkotási aktus tervezete nemzeti parlamentek</w:t>
      </w:r>
      <w:r>
        <w:rPr>
          <w:noProof/>
        </w:rPr>
        <w:t>nek való megküldését követően,</w:t>
      </w:r>
    </w:p>
    <w:p w:rsidR="008855D6" w:rsidRDefault="00167465">
      <w:pPr>
        <w:rPr>
          <w:noProof/>
        </w:rPr>
      </w:pPr>
      <w:r>
        <w:rPr>
          <w:noProof/>
        </w:rPr>
        <w:t>tekintettel az Európai Gazdasági és Szociális Bizottság véleményére</w:t>
      </w:r>
      <w:r>
        <w:rPr>
          <w:rStyle w:val="FootnoteReference"/>
          <w:noProof/>
        </w:rPr>
        <w:footnoteReference w:id="4"/>
      </w:r>
      <w:r>
        <w:rPr>
          <w:noProof/>
        </w:rPr>
        <w:t>,</w:t>
      </w:r>
    </w:p>
    <w:p w:rsidR="008855D6" w:rsidRDefault="00167465">
      <w:pPr>
        <w:rPr>
          <w:noProof/>
        </w:rPr>
      </w:pPr>
      <w:r>
        <w:rPr>
          <w:noProof/>
        </w:rPr>
        <w:t>tekintettel a Régiók Bizottságának véleményére</w:t>
      </w:r>
      <w:r>
        <w:rPr>
          <w:rStyle w:val="FootnoteReference"/>
          <w:noProof/>
        </w:rPr>
        <w:footnoteReference w:id="5"/>
      </w:r>
      <w:r>
        <w:rPr>
          <w:noProof/>
        </w:rPr>
        <w:t>,</w:t>
      </w:r>
    </w:p>
    <w:p w:rsidR="008855D6" w:rsidRDefault="00167465">
      <w:pPr>
        <w:rPr>
          <w:noProof/>
        </w:rPr>
      </w:pPr>
      <w:r>
        <w:rPr>
          <w:noProof/>
        </w:rPr>
        <w:t>rendes jogalkotási eljárás keretében,</w:t>
      </w:r>
    </w:p>
    <w:p w:rsidR="008855D6" w:rsidRDefault="00167465">
      <w:pPr>
        <w:rPr>
          <w:noProof/>
        </w:rPr>
      </w:pPr>
      <w:r>
        <w:rPr>
          <w:noProof/>
        </w:rPr>
        <w:t>mivel:</w:t>
      </w:r>
    </w:p>
    <w:p w:rsidR="008855D6" w:rsidRDefault="00167465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ab/>
        <w:t>2017. március 29-én az Egyesült Királyság az Európai Uni</w:t>
      </w:r>
      <w:r>
        <w:rPr>
          <w:noProof/>
        </w:rPr>
        <w:t>óról szóló szerződés 50. cikke alapján értesítette az Európai Tanácsot az Unióból való kilépésre irányuló szándékáról. A kilépési megállapodás hatálybalépésének időpontjától, illetve ennek hiányában a kilépés bejelentésétől számított két év elteltével, vag</w:t>
      </w:r>
      <w:r>
        <w:rPr>
          <w:noProof/>
        </w:rPr>
        <w:t>yis 2019. március 30-tól a Szerződések az Egyesült Királyság tekintetében hatályukat vesztik, kivéve, ha az Európai Tanács az Egyesült Királysággal egyetértésben a fenti időszak meghosszabbításáról egyhangúlag határoz.</w:t>
      </w:r>
    </w:p>
    <w:p w:rsidR="008855D6" w:rsidRDefault="00167465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ab/>
        <w:t>A vasúti közlekedés területén az</w:t>
      </w:r>
      <w:r>
        <w:rPr>
          <w:noProof/>
        </w:rPr>
        <w:t xml:space="preserve"> Egyesült Királyság Európai Unióból való kilépésének a bizonyítványokra, tanúsítványokra és engedélyekre gyakorolt hatását az üzemeltetők olyan, különböző intézkedések révén orvosolhatják, például úgy, hogy a tagállamok egyikében telephelyet létesítenek, m</w:t>
      </w:r>
      <w:r>
        <w:rPr>
          <w:noProof/>
        </w:rPr>
        <w:t>ajd az adott tagállamban beszerzik a megfelelő engedélyeket és tanúsítványokat.</w:t>
      </w:r>
    </w:p>
    <w:p w:rsidR="008855D6" w:rsidRDefault="00167465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Az uniós biztonsági szabályoknak a Csatorna-alagútra való alkalmazása jelenleg a Canterburyi Szerződés keretében létrehozott kétnemzetiségű biztonsági hatóság feladata. Fig</w:t>
      </w:r>
      <w:r>
        <w:rPr>
          <w:noProof/>
        </w:rPr>
        <w:t>yelembe véve, hogy az Egyesült Királyság státuszát tekintve harmadik országgá válik, az említett szerződés által létrehozott rendszert ennek megfelelően ki kell igazítani.</w:t>
      </w:r>
    </w:p>
    <w:p w:rsidR="008855D6" w:rsidRDefault="00167465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ab/>
        <w:t>Az e javaslatban szereplő intézkedések feltétele, hogy az Egyesült Királysággal</w:t>
      </w:r>
      <w:r>
        <w:rPr>
          <w:noProof/>
        </w:rPr>
        <w:t xml:space="preserve"> a határokon átnyúló vasúti összeköttetést biztosító infrastruktúrára az uniós követelményekkel azonos biztonsági normák és eljárások vonatkozzanak.</w:t>
      </w:r>
    </w:p>
    <w:p w:rsidR="008855D6" w:rsidRDefault="00167465">
      <w:pPr>
        <w:pStyle w:val="ManualConsidrant"/>
        <w:rPr>
          <w:noProof/>
        </w:rPr>
      </w:pPr>
      <w:r>
        <w:lastRenderedPageBreak/>
        <w:t>(5)</w:t>
      </w:r>
      <w:r>
        <w:tab/>
      </w:r>
      <w:r>
        <w:rPr>
          <w:noProof/>
        </w:rPr>
        <w:t xml:space="preserve">Annak érdekében, hogy az érintett feleknek lehetőségük legyen megkötni a szükséges megállapodásokat és </w:t>
      </w:r>
      <w:r>
        <w:rPr>
          <w:noProof/>
        </w:rPr>
        <w:t>meghozni a zavarok elkerüléséhez szükséges egyéb intézkedéseket, tekintettel arra, hogy az Egyesült Királyság harmadik országgá válik, egyes engedélyek érvényességét meg kell hosszabbítani.</w:t>
      </w:r>
    </w:p>
    <w:p w:rsidR="008855D6" w:rsidRDefault="00167465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Az engedélyek érvényessége e meghosszabbításának időtartamát a</w:t>
      </w:r>
      <w:r>
        <w:rPr>
          <w:noProof/>
        </w:rPr>
        <w:t>rra az időre kell korlátozni, amely feltétlenül szükséges ahhoz, hogy az érintett tagállamok az uniós jog alkalmazandó rendelkezéseivel összhangban megtegyék a szükséges lépéseket.</w:t>
      </w:r>
    </w:p>
    <w:p w:rsidR="008855D6" w:rsidRDefault="00167465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Annak érdekében, hogy elkerülhető legyen az Egyesült Királyság viszonyl</w:t>
      </w:r>
      <w:r>
        <w:rPr>
          <w:noProof/>
        </w:rPr>
        <w:t>atában nyújtott, határokon átnyúló vasúti szolgáltatások jelentős zavara, alapvető fontosságú az is, hogy a vasúttársaságok és a nemzeti hatóságok haladéktalanul meghozzák a szükséges intézkedéseket annak biztosítására, hogy a piacra jutási engedélyeket, a</w:t>
      </w:r>
      <w:r>
        <w:rPr>
          <w:noProof/>
        </w:rPr>
        <w:t xml:space="preserve"> vasúti járművezetői engedélyeket, valamint az Unió területén való működéshez szükséges bizonyítványokat, tanúsítványokat és engedélyeket kellő időben kiadják 2019. március 29. előtt.</w:t>
      </w:r>
    </w:p>
    <w:p w:rsidR="008855D6" w:rsidRDefault="00167465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Annak érdekében, hogy e rendelet végrehajtásához biztosítottak legye</w:t>
      </w:r>
      <w:r>
        <w:rPr>
          <w:noProof/>
        </w:rPr>
        <w:t>nek az egységes feltételek, a Bizottságra végrehajtási hatásköröket kell ruházni, hogy visszavonja az engedélyek jogosultjaira háramló előnyöket, amennyiben nem biztosított, hogy valamely érintett infrastruktúrára az uniós követelményekkel egyenértékű bizt</w:t>
      </w:r>
      <w:r>
        <w:rPr>
          <w:noProof/>
        </w:rPr>
        <w:t>onsági előírásokat alkalmaznak. Ezeket a végrehajtási hatásköröket a 182/2011/EU európai parlamenti és tanácsi rendeletnek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megfelelően kell gyakorolni. A szóban forgó intézkedések elfogadására – tekintettel azok vasúti biztonságra gyakorolt lehetséges hat</w:t>
      </w:r>
      <w:r>
        <w:rPr>
          <w:noProof/>
        </w:rPr>
        <w:t>ására – a vizsgálóbizottsági eljárást kell alkalmazni. Tekintettel az ügy sürgősségére, a Bizottságnak azonnal alkalmazandó végrehajtási jogi aktusokat kell elfogadnia.</w:t>
      </w:r>
    </w:p>
    <w:p w:rsidR="008855D6" w:rsidRDefault="00167465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Tekintettel az Egyesült Királyság Európai Unióból való kilépésének körülményeiből f</w:t>
      </w:r>
      <w:r>
        <w:rPr>
          <w:noProof/>
        </w:rPr>
        <w:t>akadó sürgető helyzetre, indokolt kivételt biztosítani a nemzeti parlamenteknek az Európai Unióban betöltött szerepéről szóló, az Európai Unióról szóló szerződéshez, az Európai Unió működéséről szóló szerződéshez és az Európai Atomenergia-közösséget létreh</w:t>
      </w:r>
      <w:r>
        <w:rPr>
          <w:noProof/>
        </w:rPr>
        <w:t>ozó szerződéshez csatolt 1. jegyzőkönyv 4. cikkében említett nyolchetes időszak alól.</w:t>
      </w:r>
    </w:p>
    <w:p w:rsidR="008855D6" w:rsidRDefault="00167465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E rendelet rendelkezéseit sürgősen hatályba kell léptetni, és azokat az azt az időpontot követő naptól kell alkalmazni, amikortól a Szerződések már nem alkalmazandók</w:t>
      </w:r>
      <w:r>
        <w:rPr>
          <w:noProof/>
        </w:rPr>
        <w:t xml:space="preserve"> az Egyesült Királyságra, illetve az Egyesült Királyság területén, kivéve, ha addig az időpontig hatályba lép az Egyesült Királysággal kötött, kilépésről rendelkező megállapodás,</w:t>
      </w:r>
    </w:p>
    <w:p w:rsidR="008855D6" w:rsidRDefault="008855D6">
      <w:pPr>
        <w:rPr>
          <w:noProof/>
        </w:rPr>
      </w:pPr>
    </w:p>
    <w:p w:rsidR="008855D6" w:rsidRDefault="00167465">
      <w:pPr>
        <w:pStyle w:val="Formuledadoption"/>
        <w:rPr>
          <w:noProof/>
        </w:rPr>
      </w:pPr>
      <w:r>
        <w:rPr>
          <w:noProof/>
        </w:rPr>
        <w:lastRenderedPageBreak/>
        <w:t>ELFOGADTA EZT A RENDELETET:</w:t>
      </w:r>
    </w:p>
    <w:p w:rsidR="008855D6" w:rsidRDefault="00167465">
      <w:pPr>
        <w:pStyle w:val="Titrearticle"/>
        <w:rPr>
          <w:noProof/>
        </w:rPr>
      </w:pPr>
      <w:r>
        <w:rPr>
          <w:noProof/>
        </w:rPr>
        <w:t>1. cikk</w:t>
      </w:r>
    </w:p>
    <w:p w:rsidR="008855D6" w:rsidRDefault="00167465">
      <w:pPr>
        <w:pStyle w:val="Titrearticle"/>
        <w:rPr>
          <w:b/>
          <w:i w:val="0"/>
          <w:noProof/>
        </w:rPr>
      </w:pPr>
      <w:r>
        <w:rPr>
          <w:b/>
          <w:i w:val="0"/>
          <w:noProof/>
        </w:rPr>
        <w:t>Tárgy és hatály</w:t>
      </w:r>
    </w:p>
    <w:p w:rsidR="008855D6" w:rsidRDefault="00167465">
      <w:pPr>
        <w:pStyle w:val="Point0number"/>
        <w:numPr>
          <w:ilvl w:val="0"/>
          <w:numId w:val="14"/>
        </w:numPr>
        <w:rPr>
          <w:noProof/>
        </w:rPr>
      </w:pPr>
      <w:r>
        <w:rPr>
          <w:noProof/>
        </w:rPr>
        <w:t xml:space="preserve">Ez a rendelet </w:t>
      </w:r>
      <w:r>
        <w:rPr>
          <w:noProof/>
        </w:rPr>
        <w:t>Nagy-Britannia és Észak-Írország Egyesült Királyságának (a továbbiakban: Egyesült Királyság) az Európai Unióból való kilépésére tekintettel különös rendelkezéseket állapít meg bizonyos, a 2004/49/EK európai parlamenti és tanácsi irányelv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alapján kiállítot</w:t>
      </w:r>
      <w:r>
        <w:rPr>
          <w:noProof/>
        </w:rPr>
        <w:t>t biztonsági engedélyek vonatkozásában.</w:t>
      </w:r>
    </w:p>
    <w:p w:rsidR="008855D6" w:rsidRDefault="00167465">
      <w:pPr>
        <w:pStyle w:val="Point0number"/>
        <w:rPr>
          <w:noProof/>
        </w:rPr>
      </w:pPr>
      <w:r>
        <w:rPr>
          <w:noProof/>
        </w:rPr>
        <w:t>Ezt a rendeletet a 2004/49/EK irányelv 11. cikke alapján az infrastruktúra működtetői számára az Uniót és az Egyesült Királyságot összekötő, határokon átnyúló infrastruktúra irányítására és üzemeltetésére kiállított,</w:t>
      </w:r>
      <w:r>
        <w:rPr>
          <w:noProof/>
        </w:rPr>
        <w:t xml:space="preserve"> az e rendelet alkalmazásának kezdőnapját megelőző napon érvényes biztonsági engedélyekre kell alkalmazni.</w:t>
      </w:r>
    </w:p>
    <w:p w:rsidR="008855D6" w:rsidRDefault="00167465">
      <w:pPr>
        <w:pStyle w:val="Titrearticle"/>
        <w:rPr>
          <w:noProof/>
        </w:rPr>
      </w:pPr>
      <w:r>
        <w:rPr>
          <w:noProof/>
        </w:rPr>
        <w:t>2. cikk</w:t>
      </w:r>
    </w:p>
    <w:p w:rsidR="008855D6" w:rsidRDefault="00167465">
      <w:pPr>
        <w:pStyle w:val="Titrearticle"/>
        <w:rPr>
          <w:b/>
          <w:i w:val="0"/>
          <w:noProof/>
        </w:rPr>
      </w:pPr>
      <w:r>
        <w:rPr>
          <w:b/>
          <w:i w:val="0"/>
          <w:noProof/>
        </w:rPr>
        <w:t>Fogalommeghatározások</w:t>
      </w:r>
    </w:p>
    <w:p w:rsidR="008855D6" w:rsidRDefault="00167465">
      <w:pPr>
        <w:rPr>
          <w:noProof/>
        </w:rPr>
      </w:pPr>
      <w:r>
        <w:rPr>
          <w:noProof/>
        </w:rPr>
        <w:t>E rendelet alkalmazásában a 2004/49/EK irányelv és az említett irányelv alapján elfogadott végrehajtási jogi aktusok me</w:t>
      </w:r>
      <w:r>
        <w:rPr>
          <w:noProof/>
        </w:rPr>
        <w:t>gfelelő fogalommeghatározásai érvényesek. Az (EU) 2016/798 európai parlamenti és tanácsi irányelv</w:t>
      </w:r>
      <w:r>
        <w:rPr>
          <w:rStyle w:val="FootnoteReference"/>
          <w:noProof/>
        </w:rPr>
        <w:footnoteReference w:id="8"/>
      </w:r>
      <w:r>
        <w:rPr>
          <w:noProof/>
        </w:rPr>
        <w:t>, valamint az említett irányelv alapján elfogadott, felhatalmazáson alapuló és végrehajtási jogi aktusok vonatkozó meghatározásait attól a naptól kell alkalma</w:t>
      </w:r>
      <w:r>
        <w:rPr>
          <w:noProof/>
        </w:rPr>
        <w:t>zni, amelyen az említett irányelv az 1. cikk (2) bekezdésében említett engedélyekre alkalmazandóvá válik.</w:t>
      </w:r>
    </w:p>
    <w:p w:rsidR="008855D6" w:rsidRDefault="00167465">
      <w:pPr>
        <w:pStyle w:val="Titrearticle"/>
        <w:rPr>
          <w:noProof/>
        </w:rPr>
      </w:pPr>
      <w:r>
        <w:rPr>
          <w:noProof/>
        </w:rPr>
        <w:t>3. cikk</w:t>
      </w:r>
    </w:p>
    <w:p w:rsidR="008855D6" w:rsidRDefault="00167465">
      <w:pPr>
        <w:pStyle w:val="Titrearticle"/>
        <w:rPr>
          <w:b/>
          <w:i w:val="0"/>
          <w:noProof/>
        </w:rPr>
      </w:pPr>
      <w:r>
        <w:rPr>
          <w:b/>
          <w:i w:val="0"/>
          <w:noProof/>
        </w:rPr>
        <w:t>A biztonsági engedélyek érvényessége</w:t>
      </w:r>
    </w:p>
    <w:p w:rsidR="008855D6" w:rsidRDefault="00167465">
      <w:pPr>
        <w:rPr>
          <w:noProof/>
        </w:rPr>
      </w:pPr>
      <w:r>
        <w:rPr>
          <w:noProof/>
        </w:rPr>
        <w:t>Az 1. cikk (2) bekezdésében említett engedélyek az e rendelet alkalmazásának kezdőnapjától számított 3 hó</w:t>
      </w:r>
      <w:r>
        <w:rPr>
          <w:noProof/>
        </w:rPr>
        <w:t>napig érvényesek maradnak.</w:t>
      </w:r>
    </w:p>
    <w:p w:rsidR="008855D6" w:rsidRDefault="00167465">
      <w:pPr>
        <w:pStyle w:val="Titrearticle"/>
        <w:rPr>
          <w:noProof/>
        </w:rPr>
      </w:pPr>
      <w:r>
        <w:rPr>
          <w:noProof/>
        </w:rPr>
        <w:t>4. cikk</w:t>
      </w:r>
    </w:p>
    <w:p w:rsidR="008855D6" w:rsidRDefault="00167465">
      <w:pPr>
        <w:pStyle w:val="Titrearticle"/>
        <w:rPr>
          <w:b/>
          <w:i w:val="0"/>
          <w:noProof/>
        </w:rPr>
      </w:pPr>
      <w:r>
        <w:rPr>
          <w:b/>
          <w:i w:val="0"/>
          <w:noProof/>
        </w:rPr>
        <w:t>Az engedélyekkel kapcsolatos szabályok és kötelezettségek</w:t>
      </w:r>
    </w:p>
    <w:p w:rsidR="008855D6" w:rsidRDefault="00167465"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 xml:space="preserve">Az e rendelet 1. cikke (2) bekezdésének hatálya alá tartozó engedélyekre – attól a naptól kezdve, hogy az említett engedélyekre alkalmazandóvá válik – az azokra a </w:t>
      </w:r>
      <w:r>
        <w:rPr>
          <w:noProof/>
        </w:rPr>
        <w:t>2004/49/EK irányelv és az (EU) 2016/798 irányelv, valamint az ezen irányelvek alapján elfogadott végrehajtási és felhatalmazáson alapuló jogi aktusok szerint alkalmazandó szabályok vonatkoznak.</w:t>
      </w:r>
    </w:p>
    <w:p w:rsidR="008855D6" w:rsidRDefault="00167465">
      <w:pPr>
        <w:pStyle w:val="Point0number"/>
        <w:rPr>
          <w:noProof/>
        </w:rPr>
      </w:pPr>
      <w:r>
        <w:rPr>
          <w:noProof/>
        </w:rPr>
        <w:t>Az 1. cikk (2) bekezdésében említett engedélyek jogosultjai és</w:t>
      </w:r>
      <w:r>
        <w:rPr>
          <w:noProof/>
        </w:rPr>
        <w:t xml:space="preserve"> adott esetben az engedélyeket kiállító hatóság, amennyiben ez eltér attól a nemzeti biztonsági hatóságtól, amelynek területén az infrastruktúra az Unióban található, együttműködnek a szóban forgó nemzeti biztonsági hatósággal, és minden lényeges informáci</w:t>
      </w:r>
      <w:r>
        <w:rPr>
          <w:noProof/>
        </w:rPr>
        <w:t>ót és dokumentumot a rendelkezésére bocsátanak.</w:t>
      </w:r>
    </w:p>
    <w:p w:rsidR="008855D6" w:rsidRDefault="00167465">
      <w:pPr>
        <w:pStyle w:val="Point0number"/>
        <w:rPr>
          <w:noProof/>
        </w:rPr>
      </w:pPr>
      <w:r>
        <w:rPr>
          <w:noProof/>
        </w:rPr>
        <w:t>Amennyiben az információkat vagy dokumentumokat nem nyújtják be a (2) bekezdésben említett nemzeti biztonsági hatóság kérésében meghatározott határidőn belül, a Bizottság – a nemzeti biztonsági hatóság értesí</w:t>
      </w:r>
      <w:r>
        <w:rPr>
          <w:noProof/>
        </w:rPr>
        <w:t>tését követően – a 7. cikk (2) bekezdésének megfelelően elfogadott végrehajtási jogi aktusok révén visszavonhatja a jogosultra a 3. cikk alapján háramló előnyt.</w:t>
      </w:r>
    </w:p>
    <w:p w:rsidR="008855D6" w:rsidRDefault="00167465">
      <w:pPr>
        <w:pStyle w:val="Point0number"/>
        <w:rPr>
          <w:noProof/>
        </w:rPr>
      </w:pPr>
      <w:r>
        <w:rPr>
          <w:noProof/>
        </w:rPr>
        <w:t>Az e rendelet 1. cikkének (2) bekezdésében említett engedélyek jogosultjai haladéktalanul tájék</w:t>
      </w:r>
      <w:r>
        <w:rPr>
          <w:noProof/>
        </w:rPr>
        <w:t>oztatják a Bizottságot és az Európai Unió Vasúti Ügynökségét más illetékes biztonsági hatóságok olyan intézkedéseiről, amelyek ellentétesek lehetnek az e rendelet, a 2004/49/EK irányelv és az (EU) 2016/798 irányelv szerinti kötelezettségeikkel.</w:t>
      </w:r>
    </w:p>
    <w:p w:rsidR="008855D6" w:rsidRDefault="00167465">
      <w:pPr>
        <w:pStyle w:val="Point0number"/>
        <w:rPr>
          <w:noProof/>
        </w:rPr>
      </w:pPr>
      <w:r>
        <w:rPr>
          <w:noProof/>
        </w:rPr>
        <w:t>Az előnyökn</w:t>
      </w:r>
      <w:r>
        <w:rPr>
          <w:noProof/>
        </w:rPr>
        <w:t>ek a 3. cikk szerinti visszavonása előtt a Bizottság kellő időben tájékoztatja a (2) bekezdésben említett nemzeti biztonsági hatóságot, az 1. cikk (2) bekezdésében említett engedélyeket kiállító hatóságot, az ilyen engedélyek jogosultjait, valamint az Egye</w:t>
      </w:r>
      <w:r>
        <w:rPr>
          <w:noProof/>
        </w:rPr>
        <w:t>sült Királyság nemzeti biztonsági hatóságát arról, hogy szándékában áll a szóban forgó visszavonással kapcsolatban eljárni, és lehetőséget biztosít számukra álláspontjuk ismertetésére.</w:t>
      </w:r>
    </w:p>
    <w:p w:rsidR="008855D6" w:rsidRDefault="00167465">
      <w:pPr>
        <w:pStyle w:val="Titrearticle"/>
        <w:rPr>
          <w:noProof/>
        </w:rPr>
      </w:pPr>
      <w:r>
        <w:rPr>
          <w:noProof/>
        </w:rPr>
        <w:t>5. cikk</w:t>
      </w:r>
    </w:p>
    <w:p w:rsidR="008855D6" w:rsidRDefault="00167465">
      <w:pPr>
        <w:pStyle w:val="Titrearticle"/>
        <w:rPr>
          <w:b/>
          <w:i w:val="0"/>
          <w:noProof/>
        </w:rPr>
      </w:pPr>
      <w:r>
        <w:rPr>
          <w:b/>
          <w:i w:val="0"/>
          <w:noProof/>
        </w:rPr>
        <w:t>Biztonsági előírások</w:t>
      </w:r>
    </w:p>
    <w:p w:rsidR="008855D6" w:rsidRDefault="00167465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>A 4. cikk (2) bekezdésében említett nemzet</w:t>
      </w:r>
      <w:r>
        <w:rPr>
          <w:noProof/>
        </w:rPr>
        <w:t>i biztonsági hatóság figyelemmel kíséri az 1. cikk (2) bekezdésében említett, határokon átnyúló infrastruktúrára vonatkozó vasútbiztonsági előírásokat. A nemzeti biztonsági hatóság rendszeresen jelentést nyújt be a Bizottságnak és az Európai Unió Vasúti Üg</w:t>
      </w:r>
      <w:r>
        <w:rPr>
          <w:noProof/>
        </w:rPr>
        <w:t>ynökségének e kérdésről, adott esetben a Bizottság (2) bekezdés szerinti intézkedésére vonatkozó ajánlás kíséretében.</w:t>
      </w:r>
    </w:p>
    <w:p w:rsidR="008855D6" w:rsidRDefault="00167465">
      <w:pPr>
        <w:pStyle w:val="Point0number"/>
        <w:rPr>
          <w:noProof/>
        </w:rPr>
      </w:pPr>
      <w:r>
        <w:rPr>
          <w:noProof/>
        </w:rPr>
        <w:t>Amennyiben a Bizottságnak megalapozott kétségei vannak afelől, hogy az e rendelet hatálya alá tartozó infrastruktúrának vagy ugyanazon inf</w:t>
      </w:r>
      <w:r>
        <w:rPr>
          <w:noProof/>
        </w:rPr>
        <w:t>rastruktúra Egyesült Királyságban található részének működésére alkalmazott biztonsági előírások összhangban állnak az uniós jog vonatkozó rendelkezéseivel, a Bizottság a 7. cikk (2) bekezdésével összhangban elfogadott végrehajtási jogi aktusok révén indok</w:t>
      </w:r>
      <w:r>
        <w:rPr>
          <w:noProof/>
        </w:rPr>
        <w:t>olatlan késedelem nélkül visszavonja a jogosultra a 3. cikk alapján háramló előnyt.</w:t>
      </w:r>
    </w:p>
    <w:p w:rsidR="008855D6" w:rsidRDefault="00167465">
      <w:pPr>
        <w:pStyle w:val="Point0number"/>
        <w:rPr>
          <w:noProof/>
        </w:rPr>
      </w:pPr>
      <w:r>
        <w:rPr>
          <w:noProof/>
        </w:rPr>
        <w:t>Az (1) bekezdés alkalmazásában a nemzeti biztonsági hatóság észszerű határidőt megállapítva tájékoztatást kérhet az érintett illetékes hatóságoktól. Amennyiben a szóban for</w:t>
      </w:r>
      <w:r>
        <w:rPr>
          <w:noProof/>
        </w:rPr>
        <w:t>gó érintett illetékes hatóságok nem bocsátják rendelkezésre a nemzeti biztonsági hatóság által megállapított határidőn belül a kért információkat, vagy hiányos információkat szolgáltatnak, a Bizottság – a nemzeti biztonsági hatóság értesítését követően – a</w:t>
      </w:r>
      <w:r>
        <w:rPr>
          <w:noProof/>
        </w:rPr>
        <w:t xml:space="preserve"> 7. cikk (2) bekezdésének megfelelően elfogadott végrehajtási jogi aktusok révén visszavonhatja a jogosultra a 3. cikk alapján háramló előnyt.</w:t>
      </w:r>
    </w:p>
    <w:p w:rsidR="008855D6" w:rsidRDefault="00167465">
      <w:pPr>
        <w:pStyle w:val="Point0number"/>
        <w:rPr>
          <w:noProof/>
        </w:rPr>
      </w:pPr>
      <w:r>
        <w:rPr>
          <w:noProof/>
        </w:rPr>
        <w:t>Az előnyöknek a 3. cikk szerinti visszavonása előtt a Bizottság kellő időben tájékoztatja a 4. cikk (2) bekezdésé</w:t>
      </w:r>
      <w:r>
        <w:rPr>
          <w:noProof/>
        </w:rPr>
        <w:t>ben említett nemzeti biztonsági hatóságot, az 1. cikk (2) bekezdésében említett engedélyeket kiállító hatóságot, az ilyen engedélyek jogosultjait, valamint az Egyesült Királyság nemzeti biztonsági hatóságát arról, hogy szándékában áll a szóban forgó vissza</w:t>
      </w:r>
      <w:r>
        <w:rPr>
          <w:noProof/>
        </w:rPr>
        <w:t>vonással kapcsolatban eljárni, és lehetőséget biztosít számukra álláspontjuk ismertetésére.</w:t>
      </w:r>
    </w:p>
    <w:p w:rsidR="008855D6" w:rsidRDefault="00167465">
      <w:pPr>
        <w:pStyle w:val="Titrearticle"/>
        <w:rPr>
          <w:noProof/>
        </w:rPr>
      </w:pPr>
      <w:r>
        <w:rPr>
          <w:noProof/>
        </w:rPr>
        <w:t>6. cikk</w:t>
      </w:r>
    </w:p>
    <w:p w:rsidR="008855D6" w:rsidRDefault="00167465">
      <w:pPr>
        <w:pStyle w:val="Titrearticle"/>
        <w:rPr>
          <w:b/>
          <w:i w:val="0"/>
          <w:noProof/>
        </w:rPr>
      </w:pPr>
      <w:r>
        <w:rPr>
          <w:b/>
          <w:i w:val="0"/>
          <w:noProof/>
        </w:rPr>
        <w:t>Konzultáció és együttműködés</w:t>
      </w:r>
    </w:p>
    <w:p w:rsidR="008855D6" w:rsidRDefault="00167465">
      <w:pPr>
        <w:pStyle w:val="Point0number"/>
        <w:numPr>
          <w:ilvl w:val="0"/>
          <w:numId w:val="12"/>
        </w:numPr>
        <w:rPr>
          <w:noProof/>
        </w:rPr>
      </w:pPr>
      <w:r>
        <w:rPr>
          <w:noProof/>
        </w:rPr>
        <w:t>A tagállamok illetékes hatóságai e rendelet végrehajtásának biztosítása érdekében szükség szerint konzultálnak és együttműködne</w:t>
      </w:r>
      <w:r>
        <w:rPr>
          <w:noProof/>
        </w:rPr>
        <w:t>k az Egyesült Királyság illetékes hatóságaival.</w:t>
      </w:r>
    </w:p>
    <w:p w:rsidR="008855D6" w:rsidRDefault="00167465">
      <w:pPr>
        <w:pStyle w:val="Point0number"/>
        <w:numPr>
          <w:ilvl w:val="0"/>
          <w:numId w:val="12"/>
        </w:numPr>
        <w:rPr>
          <w:noProof/>
        </w:rPr>
      </w:pPr>
      <w:r>
        <w:rPr>
          <w:noProof/>
        </w:rPr>
        <w:t>A tagállamok kérésre, indokolatlan késedelem nélkül a Bizottság rendelkezésére bocsátják az (1) bekezdés értelmében megszerzett információkat vagy az e rendelet végrehajtása szempontjából lényeges egyéb infor</w:t>
      </w:r>
      <w:r>
        <w:rPr>
          <w:noProof/>
        </w:rPr>
        <w:t>mációkat.</w:t>
      </w:r>
    </w:p>
    <w:p w:rsidR="008855D6" w:rsidRDefault="00167465">
      <w:pPr>
        <w:pStyle w:val="Titrearticle"/>
        <w:rPr>
          <w:noProof/>
        </w:rPr>
      </w:pPr>
      <w:r>
        <w:rPr>
          <w:noProof/>
        </w:rPr>
        <w:t>7. cikk</w:t>
      </w:r>
    </w:p>
    <w:p w:rsidR="008855D6" w:rsidRDefault="00167465">
      <w:pPr>
        <w:pStyle w:val="Titrearticle"/>
        <w:rPr>
          <w:b/>
          <w:bCs/>
          <w:i w:val="0"/>
          <w:noProof/>
        </w:rPr>
      </w:pPr>
      <w:r>
        <w:rPr>
          <w:b/>
          <w:i w:val="0"/>
          <w:noProof/>
        </w:rPr>
        <w:t>A bizottság</w:t>
      </w:r>
    </w:p>
    <w:p w:rsidR="008855D6" w:rsidRDefault="00167465">
      <w:pPr>
        <w:pStyle w:val="ManualNumPar1"/>
        <w:rPr>
          <w:noProof/>
        </w:rPr>
      </w:pPr>
      <w:r>
        <w:rPr>
          <w:noProof/>
        </w:rPr>
        <w:t>(1)</w:t>
      </w:r>
      <w:r>
        <w:rPr>
          <w:noProof/>
        </w:rPr>
        <w:tab/>
        <w:t>A Bizottságot az (EU) 2016/797 európai parlamenti és tanácsi irányelv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51. cikkében említett bizottság segíti. Ez a bizottság a 182/2011/EU rendelet értelmében vett bizottságnak minősül.</w:t>
      </w:r>
    </w:p>
    <w:p w:rsidR="008855D6" w:rsidRDefault="00167465">
      <w:pPr>
        <w:pStyle w:val="ManualNumPar1"/>
        <w:rPr>
          <w:i/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Az e bekezdésre történő </w:t>
      </w:r>
      <w:r>
        <w:rPr>
          <w:noProof/>
        </w:rPr>
        <w:t>hivatkozáskor a 182/2011/EU rendelet 8. cikkét kell alkalmazni, összefüggésben annak 5. cikkével.</w:t>
      </w:r>
    </w:p>
    <w:p w:rsidR="008855D6" w:rsidRDefault="00167465">
      <w:pPr>
        <w:pStyle w:val="Titrearticle"/>
        <w:rPr>
          <w:noProof/>
        </w:rPr>
      </w:pPr>
      <w:r>
        <w:rPr>
          <w:noProof/>
        </w:rPr>
        <w:t>8. cikk</w:t>
      </w:r>
    </w:p>
    <w:p w:rsidR="008855D6" w:rsidRDefault="00167465">
      <w:pPr>
        <w:pStyle w:val="Titrearticle"/>
        <w:rPr>
          <w:b/>
          <w:i w:val="0"/>
          <w:noProof/>
        </w:rPr>
      </w:pPr>
      <w:r>
        <w:rPr>
          <w:b/>
          <w:i w:val="0"/>
          <w:noProof/>
        </w:rPr>
        <w:t>Hatálybalépés és alkalmazás</w:t>
      </w:r>
    </w:p>
    <w:p w:rsidR="008855D6" w:rsidRDefault="00167465">
      <w:pPr>
        <w:pStyle w:val="Point0number"/>
        <w:numPr>
          <w:ilvl w:val="0"/>
          <w:numId w:val="13"/>
        </w:numPr>
        <w:rPr>
          <w:noProof/>
        </w:rPr>
      </w:pPr>
      <w:r>
        <w:rPr>
          <w:noProof/>
        </w:rPr>
        <w:t xml:space="preserve">Ez a rendelet az </w:t>
      </w:r>
      <w:r>
        <w:rPr>
          <w:i/>
          <w:noProof/>
        </w:rPr>
        <w:t>Európai Unió Hivatalos Lapjában</w:t>
      </w:r>
      <w:r>
        <w:rPr>
          <w:noProof/>
        </w:rPr>
        <w:t xml:space="preserve"> való kihirdetését követő napon lép hatályba.</w:t>
      </w:r>
    </w:p>
    <w:p w:rsidR="008855D6" w:rsidRDefault="00167465">
      <w:pPr>
        <w:pStyle w:val="Point0number"/>
        <w:rPr>
          <w:noProof/>
        </w:rPr>
      </w:pPr>
      <w:r>
        <w:rPr>
          <w:noProof/>
        </w:rPr>
        <w:t>Ezt a rendeletet az azon dát</w:t>
      </w:r>
      <w:r>
        <w:rPr>
          <w:noProof/>
        </w:rPr>
        <w:t>umot követő naptól kell alkalmazni, amelytől fogva a Szerződések az Európai Unióról szóló szerződés 50. cikkének (3) bekezdése alapján többé nem alkalmazandók az Egyesült Királyságra és az Egyesült Királyságban.</w:t>
      </w:r>
    </w:p>
    <w:p w:rsidR="008855D6" w:rsidRDefault="00167465">
      <w:pPr>
        <w:pStyle w:val="Point0number"/>
        <w:rPr>
          <w:noProof/>
        </w:rPr>
      </w:pPr>
      <w:r>
        <w:rPr>
          <w:noProof/>
        </w:rPr>
        <w:t>Ez a rendelet nem alkalmazandó, ha az Egyesü</w:t>
      </w:r>
      <w:r>
        <w:rPr>
          <w:noProof/>
        </w:rPr>
        <w:t>lt Királysággal az Európai Unióról szóló szerződés 50. cikke (2) bekezdésének megfelelően megkötött, kilépésről rendelkező megállapodás a (2) bekezdésben említett időpontig hatályba lép.</w:t>
      </w:r>
    </w:p>
    <w:p w:rsidR="008855D6" w:rsidRDefault="00167465">
      <w:pPr>
        <w:pStyle w:val="Point0number"/>
        <w:rPr>
          <w:noProof/>
        </w:rPr>
      </w:pPr>
      <w:r>
        <w:rPr>
          <w:noProof/>
        </w:rPr>
        <w:t>Ez a rendelet az alkalmazásának (2) bekezdés szerinti kezdőnapját köv</w:t>
      </w:r>
      <w:r>
        <w:rPr>
          <w:noProof/>
        </w:rPr>
        <w:t>ető három hónap elteltével hatályát veszti.</w:t>
      </w:r>
    </w:p>
    <w:p w:rsidR="008855D6" w:rsidRDefault="00167465">
      <w:pPr>
        <w:pStyle w:val="Applicationdirecte"/>
        <w:keepNext/>
        <w:keepLines/>
        <w:rPr>
          <w:noProof/>
        </w:rPr>
      </w:pPr>
      <w:r>
        <w:rPr>
          <w:noProof/>
        </w:rPr>
        <w:t>Ez a rendelet teljes egészében kötelező és közvetlenül alkalmazandó valamennyi tagállamban.</w:t>
      </w:r>
    </w:p>
    <w:p w:rsidR="008855D6" w:rsidRDefault="00167465">
      <w:pPr>
        <w:pStyle w:val="Fait"/>
        <w:rPr>
          <w:noProof/>
        </w:rPr>
      </w:pPr>
      <w:r>
        <w:t>Kelt Strasbourgban, -án/-én.</w:t>
      </w:r>
    </w:p>
    <w:p w:rsidR="008855D6" w:rsidRDefault="00167465">
      <w:pPr>
        <w:pStyle w:val="Institutionquisigne"/>
        <w:rPr>
          <w:noProof/>
        </w:rPr>
      </w:pPr>
      <w:r>
        <w:rPr>
          <w:noProof/>
        </w:rPr>
        <w:t>az Európai Parlament részéről</w:t>
      </w:r>
      <w:r>
        <w:rPr>
          <w:noProof/>
        </w:rPr>
        <w:tab/>
        <w:t>a Tanács részéről</w:t>
      </w:r>
    </w:p>
    <w:p w:rsidR="008855D6" w:rsidRDefault="00167465">
      <w:pPr>
        <w:pStyle w:val="Personnequisigne"/>
        <w:rPr>
          <w:noProof/>
        </w:rPr>
      </w:pPr>
      <w:r>
        <w:rPr>
          <w:noProof/>
        </w:rPr>
        <w:t>az elnök</w:t>
      </w:r>
      <w:r>
        <w:rPr>
          <w:noProof/>
        </w:rPr>
        <w:tab/>
        <w:t>az elnök</w:t>
      </w:r>
    </w:p>
    <w:sectPr w:rsidR="008855D6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489827" w16cid:durableId="200746F8"/>
  <w16cid:commentId w16cid:paraId="66D40F26" w16cid:durableId="200746F9"/>
  <w16cid:commentId w16cid:paraId="157B78D3" w16cid:durableId="200746FB"/>
  <w16cid:commentId w16cid:paraId="0EB9E1DA" w16cid:durableId="200746FC"/>
  <w16cid:commentId w16cid:paraId="2C3BCB11" w16cid:durableId="200746FD"/>
  <w16cid:commentId w16cid:paraId="0CEC882F" w16cid:durableId="200746FE"/>
  <w16cid:commentId w16cid:paraId="07ADE9D7" w16cid:durableId="200746FF"/>
  <w16cid:commentId w16cid:paraId="7EF97E35" w16cid:durableId="20074700"/>
  <w16cid:commentId w16cid:paraId="743C7B25" w16cid:durableId="20074701"/>
  <w16cid:commentId w16cid:paraId="5A021876" w16cid:durableId="20074702"/>
  <w16cid:commentId w16cid:paraId="4FB4B8D7" w16cid:durableId="20074703"/>
  <w16cid:commentId w16cid:paraId="4ADED9A0" w16cid:durableId="20074704"/>
  <w16cid:commentId w16cid:paraId="52C4FC7B" w16cid:durableId="20074705"/>
  <w16cid:commentId w16cid:paraId="35415BB9" w16cid:durableId="200747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D6" w:rsidRDefault="00167465">
      <w:pPr>
        <w:spacing w:before="0" w:after="0"/>
      </w:pPr>
      <w:r>
        <w:separator/>
      </w:r>
    </w:p>
  </w:endnote>
  <w:endnote w:type="continuationSeparator" w:id="0">
    <w:p w:rsidR="008855D6" w:rsidRDefault="00167465">
      <w:pPr>
        <w:spacing w:before="0" w:after="0"/>
      </w:pPr>
      <w:r>
        <w:continuationSeparator/>
      </w:r>
    </w:p>
  </w:endnote>
  <w:endnote w:type="continuationNotice" w:id="1">
    <w:p w:rsidR="008855D6" w:rsidRDefault="008855D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D6" w:rsidRDefault="00167465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D6" w:rsidRDefault="00167465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D6" w:rsidRDefault="00885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D6" w:rsidRDefault="00167465">
      <w:pPr>
        <w:spacing w:before="0" w:after="0"/>
      </w:pPr>
      <w:r>
        <w:separator/>
      </w:r>
    </w:p>
  </w:footnote>
  <w:footnote w:type="continuationSeparator" w:id="0">
    <w:p w:rsidR="008855D6" w:rsidRDefault="00167465">
      <w:pPr>
        <w:spacing w:before="0" w:after="0"/>
      </w:pPr>
      <w:r>
        <w:continuationSeparator/>
      </w:r>
    </w:p>
  </w:footnote>
  <w:footnote w:type="continuationNotice" w:id="1">
    <w:p w:rsidR="008855D6" w:rsidRDefault="008855D6">
      <w:pPr>
        <w:spacing w:before="0" w:after="0"/>
      </w:pPr>
    </w:p>
  </w:footnote>
  <w:footnote w:id="2">
    <w:p w:rsidR="008855D6" w:rsidRDefault="00167465">
      <w:pPr>
        <w:pStyle w:val="FootnoteTex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https://ec.europa.eu/commission/sites/beta-political/files/draft_withdrawal_agreement_0.pdf</w:t>
        </w:r>
      </w:hyperlink>
      <w:r>
        <w:t>.</w:t>
      </w:r>
    </w:p>
  </w:footnote>
  <w:footnote w:id="3">
    <w:p w:rsidR="008855D6" w:rsidRDefault="00167465">
      <w:pPr>
        <w:pStyle w:val="FootnoteText"/>
      </w:pPr>
      <w:r>
        <w:rPr>
          <w:rStyle w:val="FootnoteReference"/>
        </w:rPr>
        <w:footnoteRef/>
      </w:r>
      <w:r>
        <w:tab/>
        <w:t>COM(2018) 880 final, 2018. november 13.</w:t>
      </w:r>
    </w:p>
  </w:footnote>
  <w:footnote w:id="4">
    <w:p w:rsidR="008855D6" w:rsidRDefault="00167465">
      <w:pPr>
        <w:pStyle w:val="FootnoteText"/>
      </w:pPr>
      <w:r>
        <w:rPr>
          <w:rStyle w:val="FootnoteReference"/>
        </w:rPr>
        <w:footnoteRef/>
      </w:r>
      <w:r>
        <w:tab/>
        <w:t xml:space="preserve">HL C […], </w:t>
      </w:r>
      <w:r>
        <w:t>[…], […]. o.</w:t>
      </w:r>
    </w:p>
  </w:footnote>
  <w:footnote w:id="5">
    <w:p w:rsidR="008855D6" w:rsidRDefault="00167465">
      <w:pPr>
        <w:pStyle w:val="FootnoteText"/>
      </w:pPr>
      <w:r>
        <w:rPr>
          <w:rStyle w:val="FootnoteReference"/>
        </w:rPr>
        <w:footnoteRef/>
      </w:r>
      <w:r>
        <w:tab/>
        <w:t>HL C […], […], […]. o.</w:t>
      </w:r>
    </w:p>
  </w:footnote>
  <w:footnote w:id="6">
    <w:p w:rsidR="008855D6" w:rsidRDefault="00167465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182/2011/EU rendelete (2011. február 16.) a Bizottság végrehajtási hatásköreinek gyakorlására vonatkozó tagállami ellenőrzési mechanizmusok szabályainak és általános elveinek megállap</w:t>
      </w:r>
      <w:r>
        <w:t>ításáról (HL L 55., 2011.2.28., 13. o.).</w:t>
      </w:r>
    </w:p>
  </w:footnote>
  <w:footnote w:id="7">
    <w:p w:rsidR="008855D6" w:rsidRDefault="00167465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2004/49/EK irányelve (2004. április 29.) a közösségi vasutak biztonságáról, valamint a vasúttársaságok engedélyezéséről szóló 95/18/EK tanácsi irányelv és a vasúti infrastruktúraka</w:t>
      </w:r>
      <w:r>
        <w:t>pacitás elosztásáról, továbbá a vasúti infrastruktúra használati díjának felszámításáról és a biztonsági tanúsítványról szóló 2001/14/EK irányelv módosításáról (HL L 164., 2004.4.30., 44. o.).</w:t>
      </w:r>
    </w:p>
  </w:footnote>
  <w:footnote w:id="8">
    <w:p w:rsidR="008855D6" w:rsidRDefault="00167465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(EU) 2016/798 irányelve (201</w:t>
      </w:r>
      <w:r>
        <w:t>6. május 11.) a vasútbiztonságról (átdolgozás), (HL L 138., 2016.5.26., 102. o.).</w:t>
      </w:r>
    </w:p>
  </w:footnote>
  <w:footnote w:id="9">
    <w:p w:rsidR="008855D6" w:rsidRDefault="00167465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(EU) 2016/797 irányelve (2016. május 11.) a vasúti rendszer Európai Unión belüli kölcsönös átjárhatóságáról (HL L 138., 2016.5.26., 44. o.)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5C27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0640C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FF0A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9B4C4C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20B64A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BD055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1162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AC22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12 15:07:2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977D1AD-B886-4354-BB43-FF49EE8C4DB0"/>
    <w:docVar w:name="LW_COVERPAGE_TYPE" w:val="1"/>
    <w:docVar w:name="LW_CROSSREFERENCE" w:val="&lt;UNUSED&gt;"/>
    <w:docVar w:name="LW_DocType" w:val="COM"/>
    <w:docVar w:name="LW_EMISSION" w:val="2019.2.12."/>
    <w:docVar w:name="LW_EMISSION_ISODATE" w:val="2019-02-12"/>
    <w:docVar w:name="LW_EMISSION_LOCATION" w:val="STR"/>
    <w:docVar w:name="LW_EMISSION_PREFIX" w:val="Strasbourg,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(EGT-vonatkozású szöveg)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40"/>
    <w:docVar w:name="LW_REF.II.NEW.CP_YEAR" w:val="2019"/>
    <w:docVar w:name="LW_REF.INST.NEW" w:val="COM"/>
    <w:docVar w:name="LW_REF.INST.NEW_ADOPTED" w:val="final"/>
    <w:docVar w:name="LW_REF.INST.NEW_TEXT" w:val="(2019) 8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 vasútbiztonság és a vasúti összeköttetés egyes, Nagy-Britannia és Észak-Írország Egyesült Királyságának az Unióból történ\u337? kilépésével összefügg\u337? vonatkozásairól"/>
    <w:docVar w:name="LW_TYPE.DOC.CP" w:val="AZ EURÓPAI PARLAMENT ÉS A TANÁCS RENDELETE"/>
  </w:docVars>
  <w:rsids>
    <w:rsidRoot w:val="008855D6"/>
    <w:rsid w:val="00167465"/>
    <w:rsid w:val="008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customStyle="1" w:styleId="DeltaViewInsertion">
    <w:name w:val="DeltaView Insertion"/>
    <w:uiPriority w:val="99"/>
    <w:rPr>
      <w:b/>
      <w:i/>
      <w:color w:val="0000FF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">
    <w:name w:val="Para"/>
    <w:basedOn w:val="NumPar1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4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29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65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4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commission/sites/beta-political/files/draft_withdrawal_agreement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3828-6C65-40D4-BA74-D9B2A13A829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173920-bf43-43cc-9123-1897e847dfc2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EC84A9-6480-45DC-B25C-A240D9E8E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54933-A1A7-46FC-8A71-8DBA45C8329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09F2297-0230-46F0-A5A3-82C3A9A02C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45931F-AA15-4C92-A8B0-DD752F74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0</TotalTime>
  <Pages>11</Pages>
  <Words>2527</Words>
  <Characters>17947</Characters>
  <Application>Microsoft Office Word</Application>
  <DocSecurity>0</DocSecurity>
  <Lines>314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2019-02-12T14:08:00Z</dcterms:created>
  <dcterms:modified xsi:type="dcterms:W3CDTF">2019-02-12T14:08:00Z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COM/PL/ORG</vt:lpwstr>
  </property>
  <property fmtid="{D5CDD505-2E9C-101B-9397-08002B2CF9AE}" pid="4" name="ContentTypeId">
    <vt:lpwstr>0x010100258AA79CEB83498886A3A0868112325000D33D44CF0C8FEB45875F235DEEF2E1B9</vt:lpwstr>
  </property>
  <property fmtid="{D5CDD505-2E9C-101B-9397-08002B2CF9AE}" pid="5" name="Level of sensitivity">
    <vt:lpwstr>Standard treatment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SJ-023</vt:lpwstr>
  </property>
  <property fmtid="{D5CDD505-2E9C-101B-9397-08002B2CF9AE}" pid="9" name="DQCStatus">
    <vt:lpwstr>Green (DQC version 03)</vt:lpwstr>
  </property>
</Properties>
</file>