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bookmarkStart w:id="0" w:name="LW_BM_COVERPAGE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2" type="#_x0000_t75" alt="29C8511B-398C-4F62-B2DA-2F30D6C6142C" style="width:450.75pt;height:333.75pt">
            <v:imagedata r:id="rId9" o:title=""/>
          </v:shape>
        </w:pict>
      </w:r>
    </w:p>
    <w:bookmarkEnd w:id="0"/>
    <w:p>
      <w:pPr>
        <w:rPr>
          <w:noProof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ListParagraph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bookmarkStart w:id="1" w:name="_GoBack"/>
      <w:bookmarkEnd w:id="1"/>
      <w:r>
        <w:rPr>
          <w:rFonts w:ascii="Times New Roman" w:hAnsi="Times New Roman"/>
          <w:b/>
          <w:noProof/>
          <w:sz w:val="24"/>
          <w:szCs w:val="24"/>
        </w:rPr>
        <w:lastRenderedPageBreak/>
        <w:t>A BIZOTTSÁG JELENTÉSE AZ EURÓPAI PARLAMENTNEK ÉS A TANÁCSNAK</w:t>
      </w:r>
    </w:p>
    <w:p>
      <w:pPr>
        <w:pStyle w:val="ListParagraph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a fát és fatermékeket piaci forgalomba bocsátó piaci szereplők kötelezettségeinek meghatározásáról szóló, 2010. október 20-i 995/2010/EU európai parlamenti és tanácsi rendelet (az uniós fa- és fatermékpiaci rendelet) értelmében a Bizottságnak adott felhatalmazás gyakorlásáról</w:t>
      </w:r>
    </w:p>
    <w:p>
      <w:pPr>
        <w:pStyle w:val="ListParagraph"/>
        <w:rPr>
          <w:rFonts w:ascii="Times New Roman" w:hAnsi="Times New Roman" w:cs="Times New Roman"/>
          <w:b/>
          <w:noProof/>
          <w:sz w:val="24"/>
          <w:szCs w:val="24"/>
        </w:rPr>
      </w:pP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BEVEZETÉS</w:t>
      </w:r>
    </w:p>
    <w:p>
      <w:pPr>
        <w:pStyle w:val="Default"/>
        <w:spacing w:after="200" w:line="276" w:lineRule="auto"/>
        <w:ind w:left="720"/>
        <w:contextualSpacing/>
        <w:jc w:val="both"/>
        <w:rPr>
          <w:noProof/>
        </w:rPr>
      </w:pPr>
      <w:r>
        <w:rPr>
          <w:noProof/>
        </w:rPr>
        <w:t>A 995/2010/EU rendelet</w:t>
      </w:r>
      <w:r>
        <w:rPr>
          <w:rStyle w:val="FootnoteReference"/>
          <w:noProof/>
        </w:rPr>
        <w:footnoteReference w:id="1"/>
      </w:r>
      <w:r>
        <w:rPr>
          <w:noProof/>
        </w:rPr>
        <w:t xml:space="preserve"> (a továbbiakban: az uniós fa- és fatermékpiaci rendelet vagy rendelet) tiltja az illegálisan kitermelt fa és az ilyen fából készült termékek forgalomba hozatalát. Az uniós fa- és fatermékpiaci rendelet a FLEGT cselekvési terv</w:t>
      </w:r>
      <w:r>
        <w:rPr>
          <w:rStyle w:val="FootnoteReference"/>
          <w:noProof/>
        </w:rPr>
        <w:footnoteReference w:id="2"/>
      </w:r>
      <w:r>
        <w:rPr>
          <w:noProof/>
        </w:rPr>
        <w:t xml:space="preserve"> által bevezetett, számos elemből álló intézkedéscsomag részét képezi, mely utóbbi az Unió átfogó válasza az illegális fakitermelés és annak erdőkre gyakorolt pusztító hatása jelentette általános problémára. A rendelet egyúttal hozzájárul az erdőirtás és az erdőpusztulás következtében keletkező kibocsátás csökkentéséhez, valamint az erdőknek a környezet megőrzésében játszott szerepéhez, a fenntartható erdőgazdálkodáshoz és a fejlődő országokbeli erdők szénkészletének növeléséhez. </w:t>
      </w:r>
    </w:p>
    <w:p>
      <w:pPr>
        <w:pStyle w:val="Default"/>
        <w:spacing w:after="200" w:line="276" w:lineRule="auto"/>
        <w:ind w:left="720"/>
        <w:contextualSpacing/>
        <w:jc w:val="both"/>
        <w:rPr>
          <w:noProof/>
        </w:rPr>
      </w:pPr>
    </w:p>
    <w:p>
      <w:pPr>
        <w:pStyle w:val="Default"/>
        <w:spacing w:after="200" w:line="276" w:lineRule="auto"/>
        <w:ind w:left="720"/>
        <w:contextualSpacing/>
        <w:jc w:val="both"/>
        <w:rPr>
          <w:noProof/>
        </w:rPr>
      </w:pPr>
      <w:r>
        <w:rPr>
          <w:noProof/>
        </w:rPr>
        <w:t>Az uniós fa- és fatermékpiaci rendelet három kötelezettséget vezet be:</w:t>
      </w:r>
    </w:p>
    <w:p>
      <w:pPr>
        <w:pStyle w:val="ListParagraph"/>
        <w:numPr>
          <w:ilvl w:val="1"/>
          <w:numId w:val="1"/>
        </w:numPr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tiltja az illegális kitermelésből származó (vagyis a kitermelés szerinti országban alkalmazandó jogszabályokat sértő módon kitermelt) fa és a belőle készült termékek forgalomba hozatalát;</w:t>
      </w:r>
    </w:p>
    <w:p>
      <w:pPr>
        <w:pStyle w:val="ListParagraph"/>
        <w:ind w:left="144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>
      <w:pPr>
        <w:pStyle w:val="ListParagraph"/>
        <w:numPr>
          <w:ilvl w:val="1"/>
          <w:numId w:val="1"/>
        </w:numPr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megköveteli, hogy a piaci szereplők „kellő gondossággal” járjanak el, amikor az uniós piacon első alkalommal bocsátanak forgalomba fát és fatermékeket</w:t>
      </w:r>
      <w:r>
        <w:rPr>
          <w:rFonts w:ascii="Calibri" w:hAnsi="Calibri"/>
          <w:noProof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, vagyis alakítsanak ki kockázatkezelési gyakorlatot annak biztosítása érdekében, hogy kizárólag jogszerűen (vagyis a kitermelés szerinti országban alkalmazandó jogszabályoknak megfelelően) kitermelt fát és abból készült fatermékeket hozzanak forgalomba az EU piacán;</w:t>
      </w:r>
    </w:p>
    <w:p>
      <w:pPr>
        <w:pStyle w:val="ListParagraph"/>
        <w:rPr>
          <w:rFonts w:ascii="Times New Roman" w:eastAsia="Calibri" w:hAnsi="Times New Roman" w:cs="Times New Roman"/>
          <w:noProof/>
          <w:sz w:val="24"/>
          <w:szCs w:val="24"/>
        </w:rPr>
      </w:pPr>
    </w:p>
    <w:p>
      <w:pPr>
        <w:pStyle w:val="ListParagraph"/>
        <w:numPr>
          <w:ilvl w:val="1"/>
          <w:numId w:val="1"/>
        </w:numPr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előírja, hogy az EU-s piacon már forgalomba hozott fát és fatermékeket forgalmazó kereskedők nyilvántartást vezessenek beszállítóikról és ügyfeleikről („a nyomon követhetőségre vonatkozó kötelezettség”).</w:t>
      </w:r>
    </w:p>
    <w:p>
      <w:pPr>
        <w:pStyle w:val="Default"/>
        <w:spacing w:after="200" w:line="276" w:lineRule="auto"/>
        <w:ind w:left="720"/>
        <w:contextualSpacing/>
        <w:jc w:val="both"/>
        <w:rPr>
          <w:noProof/>
        </w:rPr>
      </w:pPr>
      <w:r>
        <w:rPr>
          <w:noProof/>
        </w:rPr>
        <w:t xml:space="preserve">Az uniós fa- és fatermékpiaci rendelet hatálya a fatermékek széles körére kiterjed; ezeket a rendelet melléklete sorolja fel az uniós Kombinált Nómenklatúra szerinti kódok használatával. A rendelet rendelkezik továbbá az „ellenőrző szervezetek” Bizottság általi elismeréséről, amelyek feladata, hogy a kellő gondosságon alapuló rendszereket dolgozzanak ki az uniós piaci szereplők számára, és a kötelezettségeik teljesítéséhez szükséges támogatást nyújtsanak nekik. </w:t>
      </w:r>
    </w:p>
    <w:p>
      <w:pPr>
        <w:pStyle w:val="ListParagraph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Az uniós fa- és fatermékpiaci rendelet 2010 decemberében került elfogadásra, és 2013. március 3-tól kell alkalmazni. A köztes időszakban a Bizottság elfogadott két nem jogalkotási aktust. Az első a kellő gondosság elvén alapuló rendszerre, valamint az ellenőrző szervezetek felett végzendő ellenőrzések gyakoriságára és jellegére vonatkozó részletes szabályokról szóló, 2012. július 6-i 607/2012/EU</w:t>
      </w:r>
      <w:r>
        <w:rPr>
          <w:rStyle w:val="FootnoteReference"/>
          <w:rFonts w:ascii="Times New Roman" w:hAnsi="Times New Roman"/>
          <w:noProof/>
          <w:sz w:val="24"/>
          <w:szCs w:val="24"/>
        </w:rPr>
        <w:footnoteReference w:id="3"/>
      </w:r>
      <w:r>
        <w:rPr>
          <w:rFonts w:ascii="Times New Roman" w:hAnsi="Times New Roman"/>
          <w:noProof/>
          <w:sz w:val="24"/>
          <w:szCs w:val="24"/>
        </w:rPr>
        <w:t xml:space="preserve"> bizottsági végrehajtási rendelet, amely az uniós fa- és fatermékpiaci rendelet 18. cikkének (2) bekezdése és a Bizottságra ruházott végrehajtási hatáskörök gyakorlására vonatkozó eljárások megállapításáról szóló 1999/468/EK határozat 5. és 7. cikke alapján került elfogadásra. A második a 995/2010/EU európai parlamenti és tanácsi rendeletben foglalt ellenőrző szervezetek elismerésére és az elismerés visszavonására vonatkozó eljárási szabályokról szóló, 2012. február 23-i 363/2012/EU</w:t>
      </w:r>
      <w:r>
        <w:rPr>
          <w:rStyle w:val="FootnoteReference"/>
          <w:rFonts w:ascii="Times New Roman" w:hAnsi="Times New Roman"/>
          <w:noProof/>
          <w:sz w:val="24"/>
          <w:szCs w:val="24"/>
        </w:rPr>
        <w:footnoteReference w:id="4"/>
      </w:r>
      <w:r>
        <w:rPr>
          <w:rFonts w:ascii="Times New Roman" w:hAnsi="Times New Roman"/>
          <w:noProof/>
          <w:sz w:val="24"/>
          <w:szCs w:val="24"/>
        </w:rPr>
        <w:t xml:space="preserve"> felhatalmazáson alapuló bizottsági rendelet, amely az uniós fa- és fatermékpiaci rendelet 8. cikkének (7) bekezdése alapján került elfogadásra. </w:t>
      </w:r>
    </w:p>
    <w:p>
      <w:pPr>
        <w:pStyle w:val="ListParagraph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JOGALAP</w:t>
      </w:r>
    </w:p>
    <w:p>
      <w:pPr>
        <w:pStyle w:val="Default"/>
        <w:spacing w:after="200" w:line="276" w:lineRule="auto"/>
        <w:ind w:left="720"/>
        <w:contextualSpacing/>
        <w:jc w:val="both"/>
        <w:rPr>
          <w:noProof/>
          <w:color w:val="auto"/>
        </w:rPr>
      </w:pPr>
      <w:r>
        <w:rPr>
          <w:noProof/>
          <w:color w:val="auto"/>
        </w:rPr>
        <w:t xml:space="preserve">Az uniós fa- és fatermékpiaci rendelet 6. cikkének (3) bekezdése szerint a Bizottság felhatalmazáson alapuló jogi aktusokat fogadhat el olyan további releváns kockázatértékelési kritériumokat illetően, amelyekre az uniós fa- és fatermékpiaci rendeletben említett kritériumok kiegészítéséhez lehet szükség. Az uniós fa- és fatermékpiaci rendelet 8. cikkének (7) bekezdése lehetővé teszi olyan felhatalmazáson alapuló jogi aktusok elfogadását, amelyek az ellenőrző szervezetek elismerésére és az elismerés visszavonására vonatkozó eljárási szabályok kiegészítésére és – amennyiben a tapasztalatok megkívánják – módosítására irányulnak. Az uniós fa- és fatermékpiaci rendelet 14. cikke értelmében a Bizottság felhatalmazáson alapuló jogi aktusokat fogadhat el az uniós fa- és fatermékpiaci rendelet mellékletében meghatározott faanyagok és fatermékek jegyzékének módosításáról és kiegészítéséről. </w:t>
      </w:r>
    </w:p>
    <w:p>
      <w:pPr>
        <w:pStyle w:val="Default"/>
        <w:spacing w:after="200" w:line="276" w:lineRule="auto"/>
        <w:ind w:left="720"/>
        <w:contextualSpacing/>
        <w:jc w:val="both"/>
        <w:rPr>
          <w:noProof/>
          <w:color w:val="auto"/>
        </w:rPr>
      </w:pPr>
    </w:p>
    <w:p>
      <w:pPr>
        <w:pStyle w:val="Default"/>
        <w:spacing w:after="200" w:line="276" w:lineRule="auto"/>
        <w:ind w:left="720"/>
        <w:contextualSpacing/>
        <w:jc w:val="both"/>
        <w:rPr>
          <w:noProof/>
          <w:color w:val="auto"/>
        </w:rPr>
      </w:pPr>
      <w:r>
        <w:rPr>
          <w:noProof/>
          <w:color w:val="auto"/>
        </w:rPr>
        <w:t>Az uniós fa- és fatermékpiaci rendelet 15. cikkének (1) bekezdése szerint a Bizottság felhatalmazást kap a 6. cikk (3) bekezdésében, a 8. cikk (7) bekezdésében és 14. cikkben említett felhatalmazáson alapuló jogi aktusok elfogadására a 2010. december 2-től számított hétéves időtartamra.  Az említett bekezdés rendelkezik továbbá arról, hogy amennyiben az Európai Parlament vagy a Tanács az uniós fa- és fatermékpiaci rendelet 16. cikke szerint nem vonja vissza a felhatalmazást, akkor az a korábbinak megfelelő időtartamra – azaz hét évre – automatikusan meghosszabbodik. Ennek megfelelően a felhatalmazás automatikusan meghosszabbításra került a 2017. december 2-től 2024. december 1-jéig tartó időszakra vonatkozóan.</w:t>
      </w:r>
    </w:p>
    <w:p>
      <w:pPr>
        <w:pStyle w:val="Default"/>
        <w:spacing w:after="200" w:line="276" w:lineRule="auto"/>
        <w:ind w:left="720"/>
        <w:contextualSpacing/>
        <w:jc w:val="both"/>
        <w:rPr>
          <w:noProof/>
          <w:color w:val="auto"/>
        </w:rPr>
      </w:pPr>
    </w:p>
    <w:p>
      <w:pPr>
        <w:pStyle w:val="Default"/>
        <w:spacing w:after="200" w:line="276" w:lineRule="auto"/>
        <w:ind w:left="720"/>
        <w:contextualSpacing/>
        <w:jc w:val="both"/>
        <w:rPr>
          <w:noProof/>
          <w:color w:val="auto"/>
        </w:rPr>
      </w:pPr>
      <w:r>
        <w:rPr>
          <w:noProof/>
          <w:color w:val="auto"/>
        </w:rPr>
        <w:t>Az uniós fa- és fatermékpiaci rendelet 15. cikkének (1) bekezdése továbbá előírja, hogy „a Bizottság legkésőbb három hónappal az e rendelet alkalmazásának időpontját követő hároméves időszak vége [azaz 2013. március 3.] előtt jelentést készít a felhatalmazásról”. A Bizottság ezt 2016. február 18-án tette meg</w:t>
      </w:r>
      <w:r>
        <w:rPr>
          <w:rStyle w:val="FootnoteReference"/>
          <w:noProof/>
          <w:color w:val="auto"/>
        </w:rPr>
        <w:footnoteReference w:id="5"/>
      </w:r>
      <w:r>
        <w:rPr>
          <w:noProof/>
          <w:color w:val="auto"/>
        </w:rPr>
        <w:t xml:space="preserve">.    </w:t>
      </w:r>
    </w:p>
    <w:p>
      <w:pPr>
        <w:pStyle w:val="Default"/>
        <w:spacing w:after="200" w:line="276" w:lineRule="auto"/>
        <w:ind w:left="720"/>
        <w:contextualSpacing/>
        <w:jc w:val="both"/>
        <w:rPr>
          <w:noProof/>
          <w:color w:val="auto"/>
        </w:rPr>
      </w:pPr>
    </w:p>
    <w:p>
      <w:pPr>
        <w:pStyle w:val="Default"/>
        <w:ind w:left="720"/>
        <w:contextualSpacing/>
        <w:jc w:val="both"/>
        <w:rPr>
          <w:noProof/>
          <w:color w:val="auto"/>
        </w:rPr>
      </w:pPr>
      <w:r>
        <w:rPr>
          <w:noProof/>
          <w:color w:val="auto"/>
        </w:rPr>
        <w:t>A 15. cikk (1) bekezdése csupán az első jelentéstételi határidőt, a rendelet alkalmazásának időpontját [azaz a 2015. decemberét] követő hároméves periódus vége előtti időszakot említi, a háromévenkénti jelentéstételi kötelezettség ütemezése ugyanakkor nincs összhangban a hétéves meghosszabbítási időszakkal. Mindazonáltal a felhatalmazásra vonatkozó jelentéstételi gyakorlatból</w:t>
      </w:r>
      <w:r>
        <w:rPr>
          <w:rStyle w:val="FootnoteReference"/>
          <w:noProof/>
          <w:color w:val="auto"/>
        </w:rPr>
        <w:footnoteReference w:id="6"/>
      </w:r>
      <w:r>
        <w:rPr>
          <w:noProof/>
          <w:color w:val="auto"/>
        </w:rPr>
        <w:t xml:space="preserve">, valamint a rendelet eredeti, angol nyelvű változatában a hároméves időszakkal kapcsolatban használt „a” határozatlan névelőből arra lehet következtetni, hogy a Bizottság az említett időpontot követően háromévente készít jelentést a felhatalmazásról. </w:t>
      </w:r>
    </w:p>
    <w:p>
      <w:pPr>
        <w:pStyle w:val="Default"/>
        <w:ind w:left="720"/>
        <w:contextualSpacing/>
        <w:jc w:val="both"/>
        <w:rPr>
          <w:noProof/>
        </w:rPr>
      </w:pPr>
    </w:p>
    <w:p>
      <w:pPr>
        <w:pStyle w:val="Default"/>
        <w:spacing w:after="200" w:line="276" w:lineRule="auto"/>
        <w:ind w:left="720"/>
        <w:contextualSpacing/>
        <w:jc w:val="both"/>
        <w:rPr>
          <w:noProof/>
        </w:rPr>
      </w:pPr>
      <w:r>
        <w:rPr>
          <w:noProof/>
        </w:rPr>
        <w:t>Ennek alapján a Bizottság ezúton benyújtja a felhatalmazás gyakorlására vonatkozó második jelentését.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A FELHATALMAZÁS GYAKORLÁSA</w:t>
      </w:r>
    </w:p>
    <w:p>
      <w:pPr>
        <w:pStyle w:val="Default"/>
        <w:spacing w:after="200" w:line="276" w:lineRule="auto"/>
        <w:ind w:left="720"/>
        <w:contextualSpacing/>
        <w:jc w:val="both"/>
        <w:rPr>
          <w:rFonts w:eastAsia="Times New Roman"/>
          <w:noProof/>
          <w:color w:val="auto"/>
        </w:rPr>
      </w:pPr>
      <w:r>
        <w:rPr>
          <w:noProof/>
        </w:rPr>
        <w:t xml:space="preserve">Az uniós fa- és fatermékpiaci rendelet alkalmazásának kezdőnapjától számított második időszak során a Bizottság e jelentés elfogadásának napjáig nem gyakorolta a ráruházott felhatalmazást. A Bizottság </w:t>
      </w:r>
      <w:r>
        <w:rPr>
          <w:noProof/>
          <w:color w:val="auto"/>
        </w:rPr>
        <w:t>2017-ben hatásvizsgálati tanulmány elkészítésébe kezdett</w:t>
      </w:r>
      <w:r>
        <w:rPr>
          <w:noProof/>
        </w:rPr>
        <w:t xml:space="preserve">. A tanulmány </w:t>
      </w:r>
      <w:r>
        <w:rPr>
          <w:noProof/>
          <w:color w:val="auto"/>
        </w:rPr>
        <w:t>az uniós fa- és fatermékpiaci rendelet első felülvizsgálatát</w:t>
      </w:r>
      <w:r>
        <w:rPr>
          <w:rStyle w:val="FootnoteReference"/>
          <w:noProof/>
        </w:rPr>
        <w:footnoteReference w:id="7"/>
      </w:r>
      <w:r>
        <w:rPr>
          <w:noProof/>
        </w:rPr>
        <w:t xml:space="preserve"> követte, amelynek </w:t>
      </w:r>
      <w:r>
        <w:rPr>
          <w:noProof/>
          <w:color w:val="auto"/>
        </w:rPr>
        <w:t>egyik megállapítása az volt, hogy az uniós fa- és fatermékpiaci rendelet hatálya alá tartozó termékek köre nem optimális, mivel a rendelet nem fedi le a fa- és fatermékek teljes körét</w:t>
      </w:r>
      <w:r>
        <w:rPr>
          <w:noProof/>
        </w:rPr>
        <w:t>.</w:t>
      </w:r>
      <w:r>
        <w:rPr>
          <w:noProof/>
          <w:color w:val="auto"/>
        </w:rPr>
        <w:t xml:space="preserve"> A tanulmány célja az uniós fa- és fatermékpiaci rendelet vizsgálata volt annak szempontjából, hogy a rendelet hatálya alá tartozó termékek jelenlegi köre megfelel-e a rendelet célkitűzésének (azaz az illegális fakitermelés és az ahhoz kapcsolódó kereskedelem elleni küzdelemnek). A tanulmány további célja, hogy felmérje a termékkör felülvizsgálatával járó lehetséges gazdasági, környezeti és társadalmi hatásokat. A tanulmány részeként nyilvános konzultációra is sor került 2018. január 29. és április 24. között</w:t>
      </w:r>
      <w:r>
        <w:rPr>
          <w:rStyle w:val="FootnoteReference"/>
          <w:rFonts w:eastAsia="Times New Roman"/>
          <w:noProof/>
          <w:color w:val="auto"/>
          <w:lang w:val="en-US"/>
        </w:rPr>
        <w:footnoteReference w:id="8"/>
      </w:r>
      <w:r>
        <w:rPr>
          <w:noProof/>
          <w:color w:val="auto"/>
        </w:rPr>
        <w:t xml:space="preserve">. A Bizottság kellő időben nyomon fogja követni a hatásvizsgálati tanulmányt. </w:t>
      </w:r>
    </w:p>
    <w:p>
      <w:pPr>
        <w:pStyle w:val="ListParagraph"/>
        <w:jc w:val="both"/>
        <w:rPr>
          <w:rFonts w:ascii="Times New Roman" w:hAnsi="Times New Roman" w:cs="Times New Roman"/>
          <w:noProof/>
          <w:sz w:val="24"/>
          <w:szCs w:val="24"/>
        </w:rPr>
      </w:pPr>
    </w:p>
    <w:sectPr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17" w:right="1417" w:bottom="1417" w:left="1417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HU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HU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0980310"/>
      <w:docPartObj>
        <w:docPartGallery w:val="Page Numbers (Bottom of Page)"/>
        <w:docPartUnique/>
      </w:docPartObj>
    </w:sdtPr>
    <w:sdtEndPr>
      <w:rPr>
        <w:noProof/>
      </w:rPr>
    </w:sdtEndPr>
    <w:sdtContent>
      <w:p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  <w:footnote w:id="1">
    <w:p>
      <w:pPr>
        <w:pStyle w:val="FootnoteTex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/>
          <w:sz w:val="18"/>
          <w:szCs w:val="18"/>
        </w:rPr>
        <w:t>Az Európai Parlament és a Tanács 2010. október 20-i 995/2010/EU rendelete a fát és fatermékeket piaci forgalomba bocsátó piaci szereplők kötelezettségeinek meghatározásáról (EGT-vonatkozású szöveg) (HL L 295., 2010.11.12., 23.o.).</w:t>
      </w:r>
    </w:p>
  </w:footnote>
  <w:footnote w:id="2">
    <w:p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/>
          <w:color w:val="444444"/>
          <w:sz w:val="18"/>
          <w:szCs w:val="18"/>
        </w:rPr>
        <w:t>A Bizottság közleménye a Tanácsnak és az Európai Parlamentnek – Az erdészeti jogszabályok végrehajtása, erdészeti irányítás és erdészeti termékek kereskedelme (FLEGT) – Javaslat az Unió cselekvési tervére (COM/2003/0251 final).</w:t>
      </w:r>
    </w:p>
  </w:footnote>
  <w:footnote w:id="3">
    <w:p>
      <w:pPr>
        <w:pStyle w:val="FootnoteText"/>
        <w:rPr>
          <w:rFonts w:ascii="Times New Roman" w:hAnsi="Times New Roman" w:cs="Times New Roman"/>
          <w:sz w:val="18"/>
          <w:szCs w:val="18"/>
        </w:rPr>
      </w:pPr>
      <w:r>
        <w:rPr>
          <w:rStyle w:val="FootnoteReference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A Bizottság 607/2012/EU végrehajtási rendelete (HL L 177., 2012.7.7., 16–18. o.).</w:t>
      </w:r>
    </w:p>
  </w:footnote>
  <w:footnote w:id="4">
    <w:p>
      <w:pPr>
        <w:pStyle w:val="FootnoteText"/>
        <w:rPr>
          <w:rFonts w:ascii="Times New Roman" w:hAnsi="Times New Roman" w:cs="Times New Roman"/>
          <w:sz w:val="18"/>
          <w:szCs w:val="18"/>
        </w:rPr>
      </w:pPr>
      <w:r>
        <w:rPr>
          <w:rStyle w:val="FootnoteReference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A Bizottság 363/2012/EU felhatalmazáson alapuló rendelete (HL L 115., 2012.4.27., 12–16. o.).</w:t>
      </w:r>
    </w:p>
  </w:footnote>
  <w:footnote w:id="5">
    <w:p>
      <w:pPr>
        <w:pStyle w:val="FootnoteText"/>
      </w:pPr>
      <w:r>
        <w:rPr>
          <w:rStyle w:val="FootnoteReference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</w:t>
      </w:r>
      <w:hyperlink r:id="rId1" w:history="1">
        <w:r>
          <w:rPr>
            <w:rStyle w:val="Hyperlink"/>
            <w:rFonts w:ascii="Times New Roman" w:hAnsi="Times New Roman"/>
            <w:sz w:val="18"/>
            <w:szCs w:val="18"/>
          </w:rPr>
          <w:t>https://eur-lex.europa.eu/legal-content/HU/TXT/?uri=CELEX:52016DC0060</w:t>
        </w:r>
      </w:hyperlink>
      <w:r>
        <w:rPr>
          <w:rFonts w:ascii="Times New Roman" w:hAnsi="Times New Roman"/>
          <w:sz w:val="18"/>
          <w:szCs w:val="18"/>
        </w:rPr>
        <w:t xml:space="preserve"> </w:t>
      </w:r>
    </w:p>
  </w:footnote>
  <w:footnote w:id="6">
    <w:p>
      <w:pPr>
        <w:pStyle w:val="FootnoteTex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/>
          <w:sz w:val="18"/>
          <w:szCs w:val="18"/>
        </w:rPr>
        <w:t>Az Európai Parlament, az Európai Unió Tanácsa és az Európai Bizottság közötti, a jogalkotás minőségének javításáról szóló 2016. április 13-i intézményközi megállapodáshoz (HL L 123., 2016.5.12., 1. o.) csatolt egyetértési megállapodás 17. pontjában foglalt szokásos záradékok rendelkezései értelmében a Bizottság legkésőbb kilenc hónappal az „egyes időszakok” vége előtt jelentést készít a felhatalmazásról.</w:t>
      </w:r>
    </w:p>
  </w:footnote>
  <w:footnote w:id="7">
    <w:p>
      <w:pPr>
        <w:pStyle w:val="FootnoteText"/>
        <w:jc w:val="both"/>
        <w:rPr>
          <w:sz w:val="18"/>
          <w:szCs w:val="18"/>
        </w:rPr>
      </w:pPr>
      <w:r>
        <w:rPr>
          <w:rStyle w:val="FootnoteReference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A Bizottság jelentése az Európai Parlamentnek és a Tanácsnak – A fát és fatermékeket piaci forgalomba bocsátó piaci szereplők kötelezettségeinek meghatározásáról szóló, 2010. október 20-i 995/2010/EU európai parlamenti és tanácsi rendelet, COM/2016/74 final.</w:t>
      </w:r>
    </w:p>
  </w:footnote>
  <w:footnote w:id="8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/>
          <w:sz w:val="18"/>
          <w:szCs w:val="18"/>
        </w:rPr>
        <w:t>A konzultáció eredményei megtalálhatók a következő weboldalon: https://ec.europa.eu/info/consultations/public-consultation-product-scope-eu-timber-regulation_hu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216557"/>
    <w:multiLevelType w:val="hybridMultilevel"/>
    <w:tmpl w:val="B44C79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5F3740"/>
    <w:multiLevelType w:val="hybridMultilevel"/>
    <w:tmpl w:val="BB2E44F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ctiveWritingStyle w:appName="MSWord" w:lang="pt-PT" w:vendorID="64" w:dllVersion="131078" w:nlCheck="1" w:checkStyle="0"/>
  <w:activeWritingStyle w:appName="MSWord" w:lang="en-GB" w:vendorID="64" w:dllVersion="131078" w:nlCheck="1" w:checkStyle="1"/>
  <w:activeWritingStyle w:appName="MSWord" w:lang="es-ES" w:vendorID="64" w:dllVersion="131078" w:nlCheck="1" w:checkStyle="0"/>
  <w:activeWritingStyle w:appName="MSWord" w:lang="en-IE" w:vendorID="64" w:dllVersion="131078" w:nlCheck="1" w:checkStyle="1"/>
  <w:activeWritingStyle w:appName="MSWord" w:lang="en-US" w:vendorID="64" w:dllVersion="131078" w:nlCheck="1" w:checkStyle="1"/>
  <w:revisionView w:markup="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Status" w:val="Green"/>
    <w:docVar w:name="LW_CORRIGENDUM" w:val="&lt;UNUSED&gt;"/>
    <w:docVar w:name="LW_COVERPAGE_EXISTS" w:val="True"/>
    <w:docVar w:name="LW_COVERPAGE_GUID" w:val="29C8511B-398C-4F62-B2DA-2F30D6C6142C"/>
    <w:docVar w:name="LW_COVERPAGE_TYPE" w:val="1"/>
    <w:docVar w:name="LW_CROSSREFERENCE" w:val="&lt;UNUSED&gt;"/>
    <w:docVar w:name="LW_DocType" w:val="NORMAL"/>
    <w:docVar w:name="LW_EMISSION" w:val="2019.2.18."/>
    <w:docVar w:name="LW_EMISSION_ISODATE" w:val="2019-02-18"/>
    <w:docVar w:name="LW_EMISSION_LOCATION" w:val="BRX"/>
    <w:docVar w:name="LW_EMISSION_PREFIX" w:val="Brüsszel, "/>
    <w:docVar w:name="LW_EMISSION_SUFFIX" w:val=" "/>
    <w:docVar w:name="LW_ID_DOCTYPE_NONLW" w:val="CP-006"/>
    <w:docVar w:name="LW_LANGUE" w:val="HU"/>
    <w:docVar w:name="LW_LEVEL_OF_SENSITIVITY" w:val="Standard treatment"/>
    <w:docVar w:name="LW_NOM.INST" w:val="EURÓPAI BIZOTTSÁG"/>
    <w:docVar w:name="LW_NOM.INST_JOINTDOC" w:val="&lt;EMPTY&gt;"/>
    <w:docVar w:name="LW_PART_NBR" w:val="1"/>
    <w:docVar w:name="LW_PART_NBR_TOTAL" w:val="1"/>
    <w:docVar w:name="LW_REF.INST.NEW" w:val="COM"/>
    <w:docVar w:name="LW_REF.INST.NEW_ADOPTED" w:val="final"/>
    <w:docVar w:name="LW_REF.INST.NEW_TEXT" w:val="(2019) 86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ITRE.OBJ.CP" w:val="&lt;FMT:Bold&gt;a fát és fatermékeket piaci forgalomba bocsátó piaci szerepl\u337?k kötelezettségeinek meghatározásáról szóló, 2010. október 20-i 995/2010/EU európai parlamenti és tanácsi rendelet (az uniós fa- és fatermékpiaci rendelet) értelmében a Bizottságnak adott felhatalmazás gyakorlásáról&lt;/FMT&gt;"/>
    <w:docVar w:name="LW_TYPE.DOC.CP" w:val="A BIZOTTSÁG JELENTÉSE AZ EURÓPAI PARLAMENTNEK ÉS A TANÁCSNAK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FooterSensitivityChar">
    <w:name w:val="Footer Sensitivity Char"/>
    <w:basedOn w:val="DefaultParagraphFont"/>
    <w:link w:val="FooterSensitivity"/>
    <w:rPr>
      <w:rFonts w:ascii="Times New Roman" w:hAnsi="Times New Roman" w:cs="Times New Roman"/>
      <w:b/>
      <w:sz w:val="32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HeaderSensitivityChar">
    <w:name w:val="Header Sensitivity Char"/>
    <w:basedOn w:val="DefaultParagraphFont"/>
    <w:link w:val="HeaderSensitivity"/>
    <w:rPr>
      <w:rFonts w:ascii="Times New Roman" w:hAnsi="Times New Roman" w:cs="Times New Roman"/>
      <w:b/>
      <w:sz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FootnoteReference">
    <w:name w:val="footnote reference"/>
    <w:aliases w:val="number,Footnote symbol,Voetnootverwijzing,Times 10 Point,Exposant 3 Point,Footnote reference number,note TESI,SUPERS,EN Footnote Reference,Ref,de nota al pie,Footnote Reference Superscript,Footnote sign,BVI fnr,stylish"/>
    <w:basedOn w:val="DefaultParagraphFont"/>
    <w:uiPriority w:val="99"/>
    <w:semiHidden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FooterSensitivityChar">
    <w:name w:val="Footer Sensitivity Char"/>
    <w:basedOn w:val="DefaultParagraphFont"/>
    <w:link w:val="FooterSensitivity"/>
    <w:rPr>
      <w:rFonts w:ascii="Times New Roman" w:hAnsi="Times New Roman" w:cs="Times New Roman"/>
      <w:b/>
      <w:sz w:val="32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HeaderSensitivityChar">
    <w:name w:val="Header Sensitivity Char"/>
    <w:basedOn w:val="DefaultParagraphFont"/>
    <w:link w:val="HeaderSensitivity"/>
    <w:rPr>
      <w:rFonts w:ascii="Times New Roman" w:hAnsi="Times New Roman" w:cs="Times New Roman"/>
      <w:b/>
      <w:sz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FootnoteReference">
    <w:name w:val="footnote reference"/>
    <w:aliases w:val="number,Footnote symbol,Voetnootverwijzing,Times 10 Point,Exposant 3 Point,Footnote reference number,note TESI,SUPERS,EN Footnote Reference,Ref,de nota al pie,Footnote Reference Superscript,Footnote sign,BVI fnr,stylish"/>
    <w:basedOn w:val="DefaultParagraphFont"/>
    <w:uiPriority w:val="99"/>
    <w:semiHidden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5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2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1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33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157547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50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32252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75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75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085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9564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ur-lex.europa.eu/legal-content/HU/TXT/?uri=CELEX:52016DC00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E9B93E08-8556-47E0-A42C-EE08C96B0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927</Words>
  <Characters>6381</Characters>
  <Application>Microsoft Office Word</Application>
  <DocSecurity>0</DocSecurity>
  <Lines>110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DIGIT/C6</cp:lastModifiedBy>
  <cp:revision>23</cp:revision>
  <cp:lastPrinted>2018-10-24T07:05:00Z</cp:lastPrinted>
  <dcterms:created xsi:type="dcterms:W3CDTF">2019-02-04T09:16:00Z</dcterms:created>
  <dcterms:modified xsi:type="dcterms:W3CDTF">2019-02-18T09:10:00Z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evel of sensitivity">
    <vt:lpwstr>Standard treatment</vt:lpwstr>
  </property>
  <property fmtid="{D5CDD505-2E9C-101B-9397-08002B2CF9AE}" pid="3" name="Part">
    <vt:lpwstr>1</vt:lpwstr>
  </property>
  <property fmtid="{D5CDD505-2E9C-101B-9397-08002B2CF9AE}" pid="4" name="Total parts">
    <vt:lpwstr>1</vt:lpwstr>
  </property>
  <property fmtid="{D5CDD505-2E9C-101B-9397-08002B2CF9AE}" pid="5" name="DocStatus">
    <vt:lpwstr>Green</vt:lpwstr>
  </property>
  <property fmtid="{D5CDD505-2E9C-101B-9397-08002B2CF9AE}" pid="6" name="Last edited using">
    <vt:lpwstr>LW 6.0.1, Build 20180503</vt:lpwstr>
  </property>
  <property fmtid="{D5CDD505-2E9C-101B-9397-08002B2CF9AE}" pid="7" name="Created using">
    <vt:lpwstr>LW 6.0.1, Build 20180503</vt:lpwstr>
  </property>
</Properties>
</file>