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6CC617C-4BAF-430C-BF01-96FA7CD8A1EF" style="width:450.75pt;height:347.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numPr>
          <w:ilvl w:val="0"/>
          <w:numId w:val="1"/>
        </w:numPr>
        <w:rPr>
          <w:noProof/>
        </w:rPr>
      </w:pPr>
      <w:bookmarkStart w:id="1" w:name="_GoBack"/>
      <w:bookmarkEnd w:id="1"/>
      <w:r>
        <w:rPr>
          <w:b/>
          <w:noProof/>
        </w:rPr>
        <w:lastRenderedPageBreak/>
        <w:t>Ιστορικό</w:t>
      </w:r>
    </w:p>
    <w:p>
      <w:pPr>
        <w:pStyle w:val="Default"/>
        <w:rPr>
          <w:noProof/>
        </w:rPr>
      </w:pPr>
    </w:p>
    <w:p>
      <w:pPr>
        <w:pStyle w:val="Default"/>
        <w:jc w:val="both"/>
        <w:rPr>
          <w:noProof/>
        </w:rPr>
      </w:pPr>
      <w:r>
        <w:rPr>
          <w:noProof/>
        </w:rPr>
        <w:t>Ο κανονισμός (ΕΕ) αριθ. 1143/2014 για τα χωροκατακτητικά ξένα είδη</w:t>
      </w:r>
      <w:r>
        <w:rPr>
          <w:rStyle w:val="FootnoteReference"/>
          <w:noProof/>
        </w:rPr>
        <w:footnoteReference w:id="1"/>
      </w:r>
      <w:r>
        <w:rPr>
          <w:noProof/>
        </w:rPr>
        <w:t xml:space="preserve"> («κανονισμός για τα χωροκατακτητικά ξένα είδη») θεσπίζει το πλαίσιο για την αντιμετώπιση των επιπτώσεων που έχουν τα εν λόγω είδη στη βιοποικιλότητα και στις σχετικές οικοσυστημικές υπηρεσίες, και εξουσιοδοτεί την Επιτροπή να εκδίδει, να επικαιροποιεί και να αναθεωρεί κατάλογο χωροκατακτητικών ξένων ειδών ενωσιακού ενδιαφέροντος μέσω εκτελεστικών πράξεων. Για τον σκοπό αυτό, η Επιτροπή επικουρείται από επιτροπή που αποτελείται από εκπροσώπους των κρατών μελών («επιτροπή χωροκατακτητικών ξένων ειδών»).</w:t>
      </w:r>
    </w:p>
    <w:p>
      <w:pPr>
        <w:pStyle w:val="Default"/>
        <w:jc w:val="both"/>
        <w:rPr>
          <w:noProof/>
        </w:rPr>
      </w:pPr>
    </w:p>
    <w:p>
      <w:pPr>
        <w:pStyle w:val="Default"/>
        <w:jc w:val="both"/>
        <w:rPr>
          <w:noProof/>
        </w:rPr>
      </w:pPr>
      <w:r>
        <w:rPr>
          <w:noProof/>
        </w:rPr>
        <w:t>Πριν να εξεταστεί η συμπερίληψη ενός είδους στον κατάλογο χωροκατακτητικών ξένων ειδών ενωσιακού ενδιαφέροντος, πρέπει να έχει διενεργηθεί διεξοδική εκτίμηση κινδύνου για το συγκεκριμένο είδος η οποία να υποστηρίζεται από αδιάσειστες επιστημονικές αποδείξεις που να καλύπτουν όλα τα στοιχεία που καθορίζονται στο άρθρο 5 παράγραφος 1 του κανονισμού για τα χωροκατακτητικά ξένα είδη.</w:t>
      </w:r>
    </w:p>
    <w:p>
      <w:pPr>
        <w:pStyle w:val="Default"/>
        <w:jc w:val="both"/>
        <w:rPr>
          <w:noProof/>
        </w:rPr>
      </w:pPr>
    </w:p>
    <w:p>
      <w:pPr>
        <w:pStyle w:val="Default"/>
        <w:jc w:val="both"/>
        <w:rPr>
          <w:noProof/>
        </w:rPr>
      </w:pPr>
      <w:r>
        <w:rPr>
          <w:noProof/>
        </w:rPr>
        <w:t>Το άρθρο 5 παράγραφος 1 του κανονισμού για τα χωροκατακτητικά ξένα είδη καθορίζει όλα τα στοιχεία που απαιτούνται για τη διενέργεια εκτίμησης κινδύνου ικανής να στηρίξει τη λήψη αποφάσεων. Ο κανονισμός για τα χωροκατακτητικά ξένα είδη αναγνωρίζει ότι μπορεί να είναι χρήσιμο να διευκρινιστούν περαιτέρω τα εν λόγω στοιχεία, μεταξύ άλλων με την παροχή μεθοδολογίας για την εκτίμηση κινδύνου. Επιπλέον, οι επιστημονικές πρακτικές στον τομέα των εκτιμήσεων κινδύνου μπορεί να εξελιχθούν και οι εξελίξεις αυτές θα πρέπει να ενσωματωθούν στην κατάρτιση εκτιμήσεων κινδύνου για τους σκοπούς του κανονισμού για τα χωροκατακτητικά ξένα είδη.</w:t>
      </w:r>
    </w:p>
    <w:p>
      <w:pPr>
        <w:pStyle w:val="Default"/>
        <w:jc w:val="both"/>
        <w:rPr>
          <w:noProof/>
        </w:rPr>
      </w:pPr>
    </w:p>
    <w:p>
      <w:pPr>
        <w:pStyle w:val="Default"/>
        <w:jc w:val="both"/>
        <w:rPr>
          <w:noProof/>
        </w:rPr>
      </w:pPr>
      <w:r>
        <w:rPr>
          <w:noProof/>
        </w:rPr>
        <w:t>Το άρθρο 5 παράγραφος 3 του κανονισμού για τα χωροκατακτητικά ξένα είδη αναθέτει στην Επιτροπή την εξουσία να εκδίδει κατ’ εξουσιοδότηση πράξεις για τον ακριβέστερο προσδιορισμό του τύπου των αποδεκτών στοιχείων όσον αφορά την ικανότητα εγκατάστασης βιώσιμου πληθυσμού και εξάπλωσης στο περιβάλλον των χωροκατακτητικών ξένων ειδών, καθώς και την εξουσία να παρέχει λεπτομερή περιγραφή των στοιχείων των εκτιμήσεων κινδύνου. Η περιγραφή αυτή θα πρέπει να περιλαμβάνει τη μεθοδολογία που θα εφαρμόζεται, λαμβάνοντας υπόψη τα σχετικά εθνικά και διεθνή πρότυπα.</w:t>
      </w:r>
    </w:p>
    <w:p>
      <w:pPr>
        <w:pStyle w:val="Default"/>
        <w:jc w:val="both"/>
        <w:rPr>
          <w:noProof/>
        </w:rPr>
      </w:pPr>
    </w:p>
    <w:p>
      <w:pPr>
        <w:pStyle w:val="Default"/>
        <w:numPr>
          <w:ilvl w:val="0"/>
          <w:numId w:val="1"/>
        </w:numPr>
        <w:rPr>
          <w:b/>
          <w:bCs/>
          <w:noProof/>
          <w:color w:val="auto"/>
        </w:rPr>
      </w:pPr>
      <w:r>
        <w:rPr>
          <w:b/>
          <w:noProof/>
          <w:color w:val="auto"/>
        </w:rPr>
        <w:t>Νομική βάση</w:t>
      </w:r>
    </w:p>
    <w:p>
      <w:pPr>
        <w:pStyle w:val="Default"/>
        <w:rPr>
          <w:noProof/>
          <w:color w:val="auto"/>
        </w:rPr>
      </w:pPr>
    </w:p>
    <w:p>
      <w:pPr>
        <w:pStyle w:val="Default"/>
        <w:jc w:val="both"/>
        <w:rPr>
          <w:noProof/>
          <w:color w:val="auto"/>
        </w:rPr>
      </w:pPr>
      <w:r>
        <w:rPr>
          <w:noProof/>
          <w:color w:val="auto"/>
        </w:rPr>
        <w:t>Η υποβολή της παρούσας έκθεσης απαιτείται βάσει του άρθρου 29 παράγραφος 2 του κανονισμού για τα χωροκατακτητικά ξένα είδη. Σύμφωνα με την εν λόγω διάταξη, η προβλεπόμενη στο άρθρο 5 παράγραφος 3 εξουσία έκδοσης κατ’ εξουσιοδότηση πράξεων ανατίθεται στην Επιτροπή για περίοδο πέντε ετών από την 1η Ιανουαρίου 2015. Η Επιτροπή οφείλει επίσης να εκπονήσει έκθεση σχετικά με την εν λόγω εξουσία έκδοσης κατ’ εξουσιοδότηση πράξεων το αργότερο εννέα μήνες πριν από τη λήξη της πενταετίας αυτής. Επιπλέον, σύμφωνα με το άρθρο 29 παράγραφος 2, η εξουσιοδότηση παρατείνεται σιωπηρά για περιόδους ίδιας διάρκειας, εκτός εάν το Ευρωπαϊκό Κοινοβούλιο ή το Συμβούλιο εκφράσει αντιρρήσεις όσον αφορά την παράταση, το αργότερο τρεις μήνες πριν από τη λήξη κάθε περιόδου.</w:t>
      </w:r>
    </w:p>
    <w:p>
      <w:pPr>
        <w:pStyle w:val="Default"/>
        <w:jc w:val="both"/>
        <w:rPr>
          <w:noProof/>
          <w:color w:val="auto"/>
        </w:rPr>
      </w:pPr>
    </w:p>
    <w:p>
      <w:pPr>
        <w:pStyle w:val="Default"/>
        <w:numPr>
          <w:ilvl w:val="0"/>
          <w:numId w:val="1"/>
        </w:numPr>
        <w:jc w:val="both"/>
        <w:rPr>
          <w:b/>
          <w:noProof/>
          <w:color w:val="auto"/>
        </w:rPr>
      </w:pPr>
      <w:r>
        <w:rPr>
          <w:b/>
          <w:noProof/>
          <w:color w:val="auto"/>
        </w:rPr>
        <w:t>Άσκηση της εξουσιοδότησης</w:t>
      </w:r>
    </w:p>
    <w:p>
      <w:pPr>
        <w:pStyle w:val="Default"/>
        <w:jc w:val="both"/>
        <w:rPr>
          <w:noProof/>
          <w:color w:val="auto"/>
        </w:rPr>
      </w:pPr>
    </w:p>
    <w:p>
      <w:pPr>
        <w:pStyle w:val="Default"/>
        <w:jc w:val="both"/>
        <w:rPr>
          <w:bCs/>
          <w:noProof/>
        </w:rPr>
      </w:pPr>
      <w:r>
        <w:rPr>
          <w:noProof/>
          <w:color w:val="auto"/>
        </w:rPr>
        <w:t xml:space="preserve">Η Επιτροπή άσκησε την εξουσιοδότηση το 2018. </w:t>
      </w:r>
      <w:r>
        <w:rPr>
          <w:noProof/>
        </w:rPr>
        <w:t>Στις 30 Απριλίου 2018 η Επιτροπή εξέδωσε τον κατ’ εξουσιοδότηση κανονισμό (ΕΕ) 2018/968 της Επιτροπής</w:t>
      </w:r>
      <w:r>
        <w:rPr>
          <w:rStyle w:val="FootnoteReference"/>
          <w:noProof/>
        </w:rPr>
        <w:footnoteReference w:id="2"/>
      </w:r>
      <w:r>
        <w:rPr>
          <w:noProof/>
        </w:rPr>
        <w:t xml:space="preserve"> («ο κατ’ εξουσιοδότηση κανονισμός»), ο οποίος δημοσιεύτηκε στην Επίσημη Εφημερίδα στις 10 Ιουλίου 2018, μετά τη λήξη της περιόδου ελέγχου του Ευρωπαϊκού Κοινοβουλίου και του Συμβουλίου. Τέθηκε σε ισχύ στις 30 Ιουλίου 2018.</w:t>
      </w:r>
    </w:p>
    <w:p>
      <w:pPr>
        <w:rPr>
          <w:rFonts w:ascii="Times New Roman" w:hAnsi="Times New Roman" w:cs="Times New Roman"/>
          <w:noProof/>
          <w:color w:val="000000"/>
          <w:sz w:val="24"/>
          <w:szCs w:val="24"/>
        </w:rPr>
      </w:pPr>
      <w:r>
        <w:rPr>
          <w:noProof/>
        </w:rPr>
        <w:br w:type="page"/>
      </w:r>
    </w:p>
    <w:p>
      <w:pPr>
        <w:pStyle w:val="Default"/>
        <w:jc w:val="both"/>
        <w:rPr>
          <w:noProof/>
          <w:color w:val="auto"/>
        </w:rPr>
      </w:pPr>
      <w:r>
        <w:rPr>
          <w:noProof/>
          <w:color w:val="auto"/>
        </w:rPr>
        <w:t>Ο παρών κατ’ εξουσιοδότηση κανονισμός καταρτίστηκε με βάση μια σειρά μελετών και τη βέλτιστη διαθέσιμη επιστημονική βιβλιογραφία. Επιπλέον, το επιστημονικό φόρουμ</w:t>
      </w:r>
      <w:r>
        <w:rPr>
          <w:noProof/>
          <w:vertAlign w:val="superscript"/>
        </w:rPr>
        <w:footnoteReference w:id="3"/>
      </w:r>
      <w:r>
        <w:rPr>
          <w:noProof/>
          <w:color w:val="auto"/>
        </w:rPr>
        <w:t>, η ομάδα εμπειρογνωμόνων που συστάθηκε με τον κανονισμό για τα χωροκατακτητικά ξένα είδη με την εντολή να παρέχει επιστημονικές συμβουλές όσον αφορά την εφαρμογή του εν λόγω κανονισμού, συμμετείχε ενεργά στην προετοιμασία του, ενώ το σχέδιο κατ’ εξουσιοδότηση κανονισμού ήταν επίσης διαθέσιμο για την υποβολή παρατηρήσεων από το κοινό.</w:t>
      </w:r>
    </w:p>
    <w:p>
      <w:pPr>
        <w:pStyle w:val="Default"/>
        <w:jc w:val="both"/>
        <w:rPr>
          <w:noProof/>
          <w:color w:val="auto"/>
        </w:rPr>
      </w:pPr>
    </w:p>
    <w:p>
      <w:pPr>
        <w:pStyle w:val="Default"/>
        <w:jc w:val="both"/>
        <w:rPr>
          <w:noProof/>
          <w:color w:val="auto"/>
        </w:rPr>
      </w:pPr>
      <w:r>
        <w:rPr>
          <w:noProof/>
          <w:color w:val="auto"/>
        </w:rPr>
        <w:t>Το άρθρο 5 παράγραφος 3 του κανονισμού για τα χωροκατακτητικά ξένα είδη παρέχει τη νομική βάση για την έκδοση του κατ’ εξουσιοδότηση κανονισμού. Ειδικότερα, το άρθρο 5 παράγραφος 3 παρέχει στην Επιτροπή την εξουσία:</w:t>
      </w:r>
    </w:p>
    <w:p>
      <w:pPr>
        <w:pStyle w:val="Default"/>
        <w:jc w:val="both"/>
        <w:rPr>
          <w:noProof/>
          <w:color w:val="auto"/>
        </w:rPr>
      </w:pPr>
    </w:p>
    <w:p>
      <w:pPr>
        <w:pStyle w:val="Default"/>
        <w:spacing w:line="360" w:lineRule="auto"/>
        <w:jc w:val="both"/>
        <w:rPr>
          <w:noProof/>
          <w:color w:val="auto"/>
        </w:rPr>
      </w:pPr>
      <w:r>
        <w:rPr>
          <w:noProof/>
          <w:color w:val="auto"/>
        </w:rPr>
        <w:t>α) να προσδιορίζει ακριβέστερα τον τύπο των αποδεκτών στοιχείων για τους σκοπούς του άρθρου 4 παράγραφος 3 στοιχείο β)·</w:t>
      </w:r>
    </w:p>
    <w:p>
      <w:pPr>
        <w:pStyle w:val="Default"/>
        <w:spacing w:line="360" w:lineRule="auto"/>
        <w:jc w:val="both"/>
        <w:rPr>
          <w:noProof/>
          <w:color w:val="auto"/>
        </w:rPr>
      </w:pPr>
      <w:r>
        <w:rPr>
          <w:noProof/>
          <w:color w:val="auto"/>
        </w:rPr>
        <w:t>β) να παρέχει λεπτομερή περιγραφή της εφαρμογής του άρθρου 5 παράγραφος 1 στοιχεία α) έως η)·</w:t>
      </w:r>
    </w:p>
    <w:p>
      <w:pPr>
        <w:pStyle w:val="Default"/>
        <w:jc w:val="both"/>
        <w:rPr>
          <w:noProof/>
          <w:color w:val="auto"/>
        </w:rPr>
      </w:pPr>
      <w:r>
        <w:rPr>
          <w:noProof/>
        </w:rPr>
        <w:t>γ) να ορίζει τη μεθοδολογία που θα εφαρμόζεται κατά την εκπόνηση εκτιμήσεων κινδύνου, λαμβάνοντας υπόψη τα σχετικά εθνικά και διεθνή πρότυπα και την ανάγκη να δοθεί προτεραιότητα στη δράση κατά των χωροκατακτητικών ξένων ειδών που συνδέονται με, ή είναι ικανά να προκαλέσουν, σημαντικές δυσμενείς επιπτώσεις στη βιοποικιλότητα ή τις σχετικές οικοσυστημικές υπηρεσίες, καθώς και στην υγεία του ανθρώπου ή την οικονομία, κάτι που συνιστά επιβαρυντικό παράγοντα.</w:t>
      </w:r>
    </w:p>
    <w:p>
      <w:pPr>
        <w:pStyle w:val="Default"/>
        <w:jc w:val="both"/>
        <w:rPr>
          <w:noProof/>
          <w:color w:val="auto"/>
        </w:rPr>
      </w:pPr>
    </w:p>
    <w:p>
      <w:pPr>
        <w:spacing w:line="240" w:lineRule="auto"/>
        <w:jc w:val="both"/>
        <w:rPr>
          <w:rFonts w:ascii="Times New Roman" w:hAnsi="Times New Roman" w:cs="Times New Roman"/>
          <w:noProof/>
          <w:sz w:val="24"/>
          <w:szCs w:val="24"/>
        </w:rPr>
      </w:pPr>
      <w:r>
        <w:rPr>
          <w:rFonts w:ascii="Times New Roman" w:hAnsi="Times New Roman"/>
          <w:noProof/>
          <w:sz w:val="24"/>
        </w:rPr>
        <w:t>Το άρθρο 1 του κατ’ εξουσιοδότηση κανονισμού προβλέπει ότι στο παράρτημα παρατίθεται λεπτομερής περιγραφή της εφαρμογής των κοινών στοιχείων που θα εξετάζονται στις εκτιμήσεις κινδύνου· το άρθρο 2 ορίζει τη μεθοδολογία, η οποία προσδιορίζει επίσης τον τύπο των αποδεικτικών στοιχείων που θα πρέπει να στηρίζουν την εκτίμηση κινδύνου, μεταξύ άλλων όταν τα αποδεικτικά στοιχεία αφορούν το άρθρο 4 παράγραφος 3 στοιχείο β) του κανονισμού για τα χωροκατακτητικά ξένα είδη.</w:t>
      </w:r>
    </w:p>
    <w:p>
      <w:pPr>
        <w:spacing w:after="0" w:line="240" w:lineRule="auto"/>
        <w:jc w:val="both"/>
        <w:rPr>
          <w:rFonts w:ascii="Times New Roman" w:hAnsi="Times New Roman" w:cs="Times New Roman"/>
          <w:noProof/>
          <w:sz w:val="24"/>
          <w:szCs w:val="24"/>
        </w:rPr>
      </w:pPr>
      <w:r>
        <w:rPr>
          <w:rFonts w:ascii="Times New Roman" w:hAnsi="Times New Roman"/>
          <w:noProof/>
          <w:sz w:val="24"/>
        </w:rPr>
        <w:t>Τέλος, το παράρτημα του κατ’ εξουσιοδότηση κανονισμού περιέχει λεπτομερή περιγραφή της εφαρμογής του άρθρου 5 παράγραφος 1 στοιχεία α) έως η) του κανονισμού για τα χωροκατακτητικά ξένα είδη, δηλ. τα στοιχεία που πρέπει να λαμβάνονται υπόψη κατά τη διενέργεια εκτίμησης κινδύνου.</w:t>
      </w:r>
    </w:p>
    <w:p>
      <w:pPr>
        <w:spacing w:after="0" w:line="240" w:lineRule="auto"/>
        <w:jc w:val="both"/>
        <w:rPr>
          <w:rFonts w:ascii="Times New Roman" w:hAnsi="Times New Roman" w:cs="Times New Roman"/>
          <w:noProof/>
          <w:sz w:val="24"/>
          <w:szCs w:val="24"/>
        </w:rPr>
      </w:pPr>
    </w:p>
    <w:p>
      <w:pPr>
        <w:pStyle w:val="ListParagraph"/>
        <w:numPr>
          <w:ilvl w:val="0"/>
          <w:numId w:val="1"/>
        </w:numPr>
        <w:spacing w:after="0"/>
        <w:ind w:left="714" w:hanging="357"/>
        <w:rPr>
          <w:rFonts w:ascii="Times New Roman" w:hAnsi="Times New Roman" w:cs="Times New Roman"/>
          <w:b/>
          <w:noProof/>
          <w:sz w:val="24"/>
          <w:szCs w:val="24"/>
        </w:rPr>
      </w:pPr>
      <w:r>
        <w:rPr>
          <w:rFonts w:ascii="Times New Roman" w:hAnsi="Times New Roman"/>
          <w:b/>
          <w:noProof/>
          <w:sz w:val="24"/>
        </w:rPr>
        <w:t>Συμπέρασμα</w:t>
      </w:r>
    </w:p>
    <w:p>
      <w:pPr>
        <w:spacing w:after="0" w:line="240" w:lineRule="auto"/>
        <w:jc w:val="both"/>
        <w:rPr>
          <w:rFonts w:ascii="Times New Roman" w:hAnsi="Times New Roman" w:cs="Times New Roman"/>
          <w:bCs/>
          <w:noProof/>
          <w:sz w:val="24"/>
          <w:szCs w:val="24"/>
        </w:rPr>
      </w:pPr>
    </w:p>
    <w:p>
      <w:pPr>
        <w:spacing w:line="240" w:lineRule="auto"/>
        <w:jc w:val="both"/>
        <w:rPr>
          <w:rFonts w:ascii="Times New Roman" w:hAnsi="Times New Roman" w:cs="Times New Roman"/>
          <w:bCs/>
          <w:noProof/>
          <w:sz w:val="24"/>
          <w:szCs w:val="24"/>
        </w:rPr>
      </w:pPr>
      <w:r>
        <w:rPr>
          <w:rFonts w:ascii="Times New Roman" w:hAnsi="Times New Roman"/>
          <w:noProof/>
          <w:sz w:val="24"/>
        </w:rPr>
        <w:t>Η Επιτροπή άσκησε τις κατ’ εξουσιοδότηση αρμοδιότητές της κατά τρόπο έγκαιρο και ορθό.</w:t>
      </w:r>
    </w:p>
    <w:p>
      <w:pPr>
        <w:spacing w:line="240" w:lineRule="auto"/>
        <w:jc w:val="both"/>
        <w:rPr>
          <w:rFonts w:ascii="Times New Roman" w:hAnsi="Times New Roman" w:cs="Times New Roman"/>
          <w:noProof/>
          <w:sz w:val="24"/>
          <w:szCs w:val="24"/>
        </w:rPr>
      </w:pPr>
      <w:r>
        <w:rPr>
          <w:rFonts w:ascii="Times New Roman" w:hAnsi="Times New Roman"/>
          <w:noProof/>
          <w:sz w:val="24"/>
        </w:rPr>
        <w:t>Η Επιτροπή θεωρεί ότι όλες οι εξουσιοδοτήσεις θα πρέπει να διατηρηθούν, δεδομένου ότι ενδέχεται να χρειαστούν περαιτέρω διευκρινίσεις στο μέλλον.</w:t>
      </w:r>
    </w:p>
    <w:p>
      <w:pPr>
        <w:spacing w:line="240" w:lineRule="auto"/>
        <w:jc w:val="both"/>
        <w:rPr>
          <w:rFonts w:ascii="Times New Roman" w:hAnsi="Times New Roman" w:cs="Times New Roman"/>
          <w:noProof/>
          <w:sz w:val="24"/>
          <w:szCs w:val="24"/>
        </w:rPr>
      </w:pPr>
      <w:r>
        <w:rPr>
          <w:rFonts w:ascii="Times New Roman" w:hAnsi="Times New Roman"/>
          <w:noProof/>
          <w:sz w:val="24"/>
        </w:rPr>
        <w:t>Η Επιτροπή καλεί το Ευρωπαϊκό Κοινοβούλιο και το Συμβούλιο να λάβουν γνώση της παρούσας έκθεσης.</w:t>
      </w:r>
    </w:p>
    <w:p>
      <w:pPr>
        <w:spacing w:line="240" w:lineRule="auto"/>
        <w:jc w:val="center"/>
        <w:rPr>
          <w:rFonts w:ascii="Times New Roman" w:hAnsi="Times New Roman" w:cs="Times New Roman"/>
          <w:noProof/>
          <w:sz w:val="24"/>
          <w:szCs w:val="24"/>
        </w:rPr>
      </w:pPr>
      <w:r>
        <w:rPr>
          <w:rFonts w:ascii="Times New Roman" w:hAnsi="Times New Roman"/>
          <w:noProof/>
          <w:sz w:val="24"/>
        </w:rPr>
        <w:t>___________________________</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36955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sz w:val="18"/>
        </w:rPr>
        <w:t>Κανονισμός (ΕΕ) αριθ. 1143/2014 του Ευρωπαϊκού Κοινοβουλίου και του Συμβουλίου, της 22ας Οκτωβρίου 2014, για την πρόληψη και διαχείριση της εισαγωγής και εξάπλωσης χωροκατακτητικών ξένων ειδών (ΕΕ L 317 της 4.11.2014, σ. 35).</w:t>
      </w:r>
    </w:p>
  </w:footnote>
  <w:footnote w:id="2">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Κατ’ εξουσιοδότηση κανονισμός (ΕΕ) 2018/968 της Επιτροπής, της 30ής Απριλίου 2018, για τη συμπλήρωση του κανονισμού (ΕΕ) αριθ. 1143/2014 του Ευρωπαϊκού Κοινοβουλίου και του Συμβουλίου όσον αφορά τις εκτιμήσεις κινδύνου σε σχέση με τα χωροκατακτητικά ξένα είδη (ΕΕ L 174 της 10.7.2018, σ. 5).</w:t>
      </w:r>
    </w:p>
  </w:footnote>
  <w:footnote w:id="3">
    <w:p>
      <w:pPr>
        <w:pStyle w:val="FootnoteText"/>
      </w:pPr>
      <w:r>
        <w:rPr>
          <w:rStyle w:val="FootnoteReference"/>
        </w:rPr>
        <w:footnoteRef/>
      </w:r>
      <w:r>
        <w:t xml:space="preserve"> </w:t>
      </w:r>
      <w:r>
        <w:rPr>
          <w:rFonts w:ascii="Times New Roman" w:hAnsi="Times New Roman"/>
          <w:sz w:val="18"/>
        </w:rPr>
        <w:t>Δημοσιεύτηκε στο μητρώο ομάδων εμπειρογνωμόνων της Επιτροπής και άλλων παρεμφερών οργάνων, κωδικός E03276.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14765"/>
    <w:multiLevelType w:val="hybridMultilevel"/>
    <w:tmpl w:val="808E5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CD0411"/>
    <w:multiLevelType w:val="hybridMultilevel"/>
    <w:tmpl w:val="CB38B568"/>
    <w:lvl w:ilvl="0" w:tplc="321494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6CC617C-4BAF-430C-BF01-96FA7CD8A1EF"/>
    <w:docVar w:name="LW_COVERPAGE_TYPE" w:val="1"/>
    <w:docVar w:name="LW_CROSSREFERENCE" w:val="&lt;UNUSED&gt;"/>
    <w:docVar w:name="LW_DocType" w:val="NORMAL"/>
    <w:docVar w:name="LW_EMISSION" w:val="19.2.2019"/>
    <w:docVar w:name="LW_EMISSION_ISODATE" w:val="2019-02-19"/>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63?\u967?\u949?\u964?\u953?\u954?\u940? \u956?\u949? \u964?\u951?\u957? \u940?\u963?\u954?\u951?\u963?\u951? \u964?\u951?\u962? \u949?\u958?\u959?\u965?\u963?\u943?\u945?\u962? \u941?\u954?\u948?\u959?\u963?\u951?\u962? \u954?\u945?\u964?' \u949?\u958?\u959?\u965?\u963?\u953?\u959?\u948?\u972?\u964?\u951?\u963?\u951? \u960?\u961?\u940?\u958?\u949?\u969?\u957? \u960?\u959?\u965? \u945?\u957?\u945?\u964?\u941?\u952?\u951?\u954?\u949? \u963?\u964?\u951?\u957? \u917?\u960?\u953?\u964?\u961?\u959?\u960?\u942? \u948?\u965?\u957?\u940?\u956?\u949?\u953? \u964?\u959?\u965? \u954?\u945?\u957?\u959?\u957?\u953?\u963?\u956?\u959?\u973? (\u917?\u917?) \u945?\u961?\u953?\u952?. 1143/2014 \u964?\u959?\u965? \u917?\u965?\u961?\u969?\u960?\u945?\u970?\u954?\u959?\u973? \u922?\u959?\u953?\u957?\u959?\u946?\u959?\u965?\u955?\u943?\u959?\u965? \u954?\u945?\u953? \u964?\u959?\u965? \u931?\u965?\u956?\u946?\u959?\u965?\u955?\u943?\u959?\u965?, \u964?\u951?\u962? 22\u945?\u962? \u927?\u954?\u964?\u969?\u946?\u961?\u943?\u959?\u965? 2014, \u947?\u953?\u945? \u964?\u951?\u957? \u960?\u961?\u972?\u955?\u951?\u968?\u951? \u954?\u945?\u953? \u948?\u953?\u945?\u967?\u949?\u943?\u961?\u953?\u963?\u951? \u964?\u951?\u962? \u949?\u953?\u963?\u945?\u947?\u969?\u947?\u942?\u962? \u954?\u945?\u953? \u949?\u958?\u940?\u960?\u955?\u969?\u963?\u951?\u962? \u967?\u969?\u961?\u959?\u954?\u945?\u964?\u945?\u954?\u964?\u951?\u964?\u953?\u954?\u974?\u957? \u958?\u941?\u957?\u969?\u957? \u949?\u953?\u948?\u974?\u957?"/>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0277EBF-1DF5-4664-B66F-81F3E26A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851</Words>
  <Characters>4999</Characters>
  <Application>Microsoft Office Word</Application>
  <DocSecurity>0</DocSecurity>
  <Lines>99</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2018-12-03T12:24:00Z</cp:lastPrinted>
  <dcterms:created xsi:type="dcterms:W3CDTF">2019-01-23T12:53:00Z</dcterms:created>
  <dcterms:modified xsi:type="dcterms:W3CDTF">2019-02-11T15:28:00Z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