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64B2432B-8143-433F-997B-A81769EB1D19" style="width:450.75pt;height:406.5pt">
            <v:imagedata r:id="rId9" o:title=""/>
          </v:shape>
        </w:pict>
      </w:r>
    </w:p>
    <w:bookmarkEnd w:id="0"/>
    <w:p>
      <w:pPr>
        <w:tabs>
          <w:tab w:val="left" w:pos="1534"/>
        </w:tabs>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caps/>
          <w:noProof/>
          <w:sz w:val="24"/>
          <w:szCs w:val="24"/>
        </w:rPr>
      </w:pPr>
      <w:bookmarkStart w:id="1" w:name="_GoBack"/>
      <w:bookmarkEnd w:id="1"/>
      <w:r>
        <w:rPr>
          <w:rFonts w:ascii="Times New Roman" w:hAnsi="Times New Roman"/>
          <w:caps/>
          <w:noProof/>
          <w:sz w:val="24"/>
        </w:rPr>
        <w:lastRenderedPageBreak/>
        <w:t xml:space="preserve">Eelnõu: </w:t>
      </w:r>
    </w:p>
    <w:p>
      <w:pPr>
        <w:jc w:val="center"/>
        <w:rPr>
          <w:rFonts w:ascii="Times New Roman" w:hAnsi="Times New Roman" w:cs="Times New Roman"/>
          <w:b/>
          <w:caps/>
          <w:noProof/>
          <w:sz w:val="24"/>
          <w:szCs w:val="24"/>
        </w:rPr>
      </w:pPr>
      <w:r>
        <w:rPr>
          <w:rFonts w:ascii="Times New Roman" w:hAnsi="Times New Roman"/>
          <w:b/>
          <w:caps/>
          <w:noProof/>
          <w:sz w:val="24"/>
        </w:rPr>
        <w:t>ELi-Ukraina assotsieerimisnõukogu otsus nr .../2019,</w:t>
      </w:r>
    </w:p>
    <w:p>
      <w:pPr>
        <w:jc w:val="center"/>
        <w:rPr>
          <w:rFonts w:ascii="Times New Roman" w:hAnsi="Times New Roman" w:cs="Times New Roman"/>
          <w:b/>
          <w:noProof/>
          <w:sz w:val="24"/>
          <w:szCs w:val="24"/>
        </w:rPr>
      </w:pPr>
      <w:r>
        <w:rPr>
          <w:rFonts w:ascii="Times New Roman" w:hAnsi="Times New Roman"/>
          <w:b/>
          <w:noProof/>
          <w:sz w:val="24"/>
        </w:rPr>
        <w:t>[kuupäev] 2019,</w:t>
      </w:r>
    </w:p>
    <w:p>
      <w:pPr>
        <w:jc w:val="center"/>
        <w:rPr>
          <w:rFonts w:ascii="Times New Roman" w:hAnsi="Times New Roman" w:cs="Times New Roman"/>
          <w:b/>
          <w:noProof/>
          <w:sz w:val="24"/>
          <w:szCs w:val="24"/>
        </w:rPr>
      </w:pPr>
      <w:r>
        <w:rPr>
          <w:rFonts w:ascii="Times New Roman" w:hAnsi="Times New Roman"/>
          <w:b/>
          <w:noProof/>
          <w:sz w:val="24"/>
        </w:rPr>
        <w:t>millega muudetakse ühelt poolt Euroopa Liidu ja Euroopa Aatomienergiaühenduse ning nende liikmesriikide ning teiselt poolt Ukraina vahelise assotsieerimislepingu XXVII lisa</w:t>
      </w:r>
    </w:p>
    <w:p>
      <w:pPr>
        <w:jc w:val="center"/>
        <w:rPr>
          <w:rFonts w:ascii="Times New Roman" w:hAnsi="Times New Roman" w:cs="Times New Roman"/>
          <w:noProof/>
          <w:sz w:val="24"/>
          <w:szCs w:val="24"/>
        </w:rPr>
      </w:pPr>
    </w:p>
    <w:p>
      <w:pPr>
        <w:rPr>
          <w:rFonts w:ascii="Times New Roman" w:hAnsi="Times New Roman" w:cs="Times New Roman"/>
          <w:caps/>
          <w:noProof/>
          <w:sz w:val="24"/>
          <w:szCs w:val="24"/>
        </w:rPr>
      </w:pPr>
      <w:r>
        <w:rPr>
          <w:rFonts w:ascii="Times New Roman" w:hAnsi="Times New Roman"/>
          <w:caps/>
          <w:noProof/>
          <w:sz w:val="24"/>
        </w:rPr>
        <w:t xml:space="preserve">ELi-Ukraina assotsieerimisnõukogu, </w:t>
      </w:r>
    </w:p>
    <w:p>
      <w:pPr>
        <w:jc w:val="both"/>
        <w:rPr>
          <w:rFonts w:ascii="Times New Roman" w:hAnsi="Times New Roman" w:cs="Times New Roman"/>
          <w:noProof/>
          <w:sz w:val="24"/>
          <w:szCs w:val="24"/>
        </w:rPr>
      </w:pPr>
      <w:r>
        <w:rPr>
          <w:rFonts w:ascii="Times New Roman" w:hAnsi="Times New Roman"/>
          <w:noProof/>
          <w:sz w:val="24"/>
        </w:rPr>
        <w:t xml:space="preserve">võttes arvesse ühelt poolt Euroopa Liidu ja Euroopa Aatomienergiaühenduse ning nende liikmesriikide ning teiselt poolt Ukraina vahelist assotsieerimislepingut, eriti selle artiklit 463, </w:t>
      </w:r>
    </w:p>
    <w:p>
      <w:pPr>
        <w:rPr>
          <w:rFonts w:ascii="Times New Roman" w:hAnsi="Times New Roman" w:cs="Times New Roman"/>
          <w:noProof/>
          <w:sz w:val="24"/>
          <w:szCs w:val="24"/>
        </w:rPr>
      </w:pPr>
      <w:r>
        <w:rPr>
          <w:rFonts w:ascii="Times New Roman" w:hAnsi="Times New Roman"/>
          <w:noProof/>
          <w:sz w:val="24"/>
        </w:rPr>
        <w:t xml:space="preserve">ning arvestades järgmist: </w:t>
      </w:r>
    </w:p>
    <w:p>
      <w:pPr>
        <w:ind w:left="720" w:hanging="720"/>
        <w:jc w:val="both"/>
        <w:rPr>
          <w:rFonts w:ascii="Times New Roman" w:hAnsi="Times New Roman" w:cs="Times New Roman"/>
          <w:noProof/>
          <w:sz w:val="24"/>
          <w:szCs w:val="24"/>
        </w:rPr>
      </w:pPr>
      <w:r>
        <w:rPr>
          <w:rFonts w:ascii="Times New Roman" w:hAnsi="Times New Roman"/>
          <w:noProof/>
          <w:sz w:val="24"/>
        </w:rPr>
        <w:t>1)</w:t>
      </w:r>
      <w:r>
        <w:rPr>
          <w:noProof/>
        </w:rPr>
        <w:tab/>
      </w:r>
      <w:r>
        <w:rPr>
          <w:rFonts w:ascii="Times New Roman" w:hAnsi="Times New Roman"/>
          <w:noProof/>
          <w:sz w:val="24"/>
        </w:rPr>
        <w:t>Ühelt poolt Euroopa Liidu ja Euroopa Aatomienergiaühenduse ning nende liikmesriikide ning teiselt poolt Ukraina vahel sõlmitud assotsieerimisleping (edaspidi „leping“) allkirjastati 21. märtsil ja 27. juunil 2014 ning see jõustus 1. septembril 2017.</w:t>
      </w:r>
    </w:p>
    <w:p>
      <w:pPr>
        <w:ind w:left="720" w:hanging="720"/>
        <w:jc w:val="both"/>
        <w:rPr>
          <w:rFonts w:ascii="Times New Roman" w:hAnsi="Times New Roman" w:cs="Times New Roman"/>
          <w:noProof/>
          <w:sz w:val="24"/>
          <w:szCs w:val="24"/>
        </w:rPr>
      </w:pPr>
      <w:r>
        <w:rPr>
          <w:rFonts w:ascii="Times New Roman" w:hAnsi="Times New Roman"/>
          <w:noProof/>
          <w:sz w:val="24"/>
        </w:rPr>
        <w:t>2)</w:t>
      </w:r>
      <w:r>
        <w:rPr>
          <w:noProof/>
        </w:rPr>
        <w:tab/>
      </w:r>
      <w:r>
        <w:rPr>
          <w:rFonts w:ascii="Times New Roman" w:hAnsi="Times New Roman"/>
          <w:noProof/>
          <w:sz w:val="24"/>
        </w:rPr>
        <w:t xml:space="preserve">Lepingu preambulis tunnistatakse lepinguosaliste soovi jätkata Ukraina reformi- ja lähendamisprotsessi, toetades Ukraina järkjärgulist majanduslikku integratsiooni ja poliitilist assotsieerimist, ning saavutada majanduslik integratsioon õigusnormide ulatusliku lähendamise teel. Preambulis osutatakse ka lepinguosaliste pühendumusele suurendada energiajulgeolekut, edendades muu hulgas turuintegratsiooni ja õigusnormide lähendamist ELi õigustiku põhielementidele. </w:t>
      </w:r>
    </w:p>
    <w:p>
      <w:pPr>
        <w:ind w:left="720" w:hanging="720"/>
        <w:jc w:val="both"/>
        <w:rPr>
          <w:rFonts w:ascii="Times New Roman" w:hAnsi="Times New Roman" w:cs="Times New Roman"/>
          <w:noProof/>
          <w:sz w:val="24"/>
          <w:szCs w:val="24"/>
        </w:rPr>
      </w:pPr>
      <w:r>
        <w:rPr>
          <w:rFonts w:ascii="Times New Roman" w:hAnsi="Times New Roman"/>
          <w:noProof/>
          <w:sz w:val="24"/>
        </w:rPr>
        <w:t>3)</w:t>
      </w:r>
      <w:r>
        <w:rPr>
          <w:noProof/>
        </w:rPr>
        <w:tab/>
      </w:r>
      <w:r>
        <w:rPr>
          <w:rFonts w:ascii="Times New Roman" w:hAnsi="Times New Roman"/>
          <w:noProof/>
          <w:sz w:val="24"/>
        </w:rPr>
        <w:t xml:space="preserve">Lisaks sellele tunnistatakse Euroopa Liidu ja Ukraina vahelises 24. novembri 2016. aasta kahepoolses strateegilist energiapartnerlust käsitlevas vastastikuse mõistmise memorandumis, et energeetikasektoris tehtava tõhustatud koostöö ja energeetikasektori reformi eesmärk on ELi ja Ukraina energiaturud täielikult integreerida. </w:t>
      </w:r>
    </w:p>
    <w:p>
      <w:pPr>
        <w:ind w:left="720" w:hanging="720"/>
        <w:jc w:val="both"/>
        <w:rPr>
          <w:rFonts w:ascii="Times New Roman" w:hAnsi="Times New Roman" w:cs="Times New Roman"/>
          <w:noProof/>
          <w:sz w:val="24"/>
          <w:szCs w:val="24"/>
        </w:rPr>
      </w:pPr>
      <w:r>
        <w:rPr>
          <w:rFonts w:ascii="Times New Roman" w:hAnsi="Times New Roman"/>
          <w:noProof/>
          <w:sz w:val="24"/>
        </w:rPr>
        <w:t>4)</w:t>
      </w:r>
      <w:r>
        <w:rPr>
          <w:noProof/>
        </w:rPr>
        <w:tab/>
      </w:r>
      <w:r>
        <w:rPr>
          <w:rFonts w:ascii="Times New Roman" w:hAnsi="Times New Roman"/>
          <w:noProof/>
          <w:sz w:val="24"/>
        </w:rPr>
        <w:t xml:space="preserve">Lepingu artiklis 1 osutatakse eesmärgile toetada Ukraina jõupingutusi viia lõpule üleminek toimivale turumajandusele, muuhulgas oma õigustiku järkjärgulise liidu õigustikule lähendamise teel. </w:t>
      </w:r>
    </w:p>
    <w:p>
      <w:pPr>
        <w:ind w:left="720" w:hanging="720"/>
        <w:jc w:val="both"/>
        <w:rPr>
          <w:rFonts w:ascii="Times New Roman" w:hAnsi="Times New Roman" w:cs="Times New Roman"/>
          <w:noProof/>
          <w:sz w:val="24"/>
          <w:szCs w:val="24"/>
        </w:rPr>
      </w:pPr>
      <w:r>
        <w:rPr>
          <w:rFonts w:ascii="Times New Roman" w:hAnsi="Times New Roman"/>
          <w:noProof/>
          <w:sz w:val="24"/>
        </w:rPr>
        <w:t>5)</w:t>
      </w:r>
      <w:r>
        <w:rPr>
          <w:noProof/>
        </w:rPr>
        <w:tab/>
      </w:r>
      <w:r>
        <w:rPr>
          <w:rFonts w:ascii="Times New Roman" w:hAnsi="Times New Roman"/>
          <w:noProof/>
          <w:sz w:val="24"/>
        </w:rPr>
        <w:t xml:space="preserve">Vastavalt lepingu artiklile 273 muudavad lepinguosalised oma õigusakte, millele on viidatud lepingu XXVII lisas, tagamaks, et kõik elektri ja gaasi transpordi tingimused on objektiivsed, mõistlikud ja läbipaistvad ning mittediskrimineerivad. </w:t>
      </w:r>
    </w:p>
    <w:p>
      <w:pPr>
        <w:ind w:left="720" w:hanging="720"/>
        <w:jc w:val="both"/>
        <w:rPr>
          <w:rFonts w:ascii="Times New Roman" w:hAnsi="Times New Roman" w:cs="Times New Roman"/>
          <w:noProof/>
          <w:sz w:val="24"/>
          <w:szCs w:val="24"/>
        </w:rPr>
      </w:pPr>
      <w:r>
        <w:rPr>
          <w:rFonts w:ascii="Times New Roman" w:hAnsi="Times New Roman"/>
          <w:noProof/>
          <w:sz w:val="24"/>
        </w:rPr>
        <w:t>6)</w:t>
      </w:r>
      <w:r>
        <w:rPr>
          <w:noProof/>
        </w:rPr>
        <w:tab/>
      </w:r>
      <w:r>
        <w:rPr>
          <w:rFonts w:ascii="Times New Roman" w:hAnsi="Times New Roman"/>
          <w:noProof/>
          <w:sz w:val="24"/>
        </w:rPr>
        <w:t xml:space="preserve">Lisaks sellele sätestatakse lepingu artiklis 337 seoses turuintegratsiooni suunas liikumisega, et lepinguosalised jätkavad ja elavdavad energialast koostööd, muu hulgas energeetikasektorit järk-järgult lähendades. </w:t>
      </w:r>
    </w:p>
    <w:p>
      <w:pPr>
        <w:ind w:left="720" w:hanging="720"/>
        <w:jc w:val="both"/>
        <w:rPr>
          <w:rFonts w:ascii="Times New Roman" w:hAnsi="Times New Roman" w:cs="Times New Roman"/>
          <w:noProof/>
          <w:sz w:val="24"/>
          <w:szCs w:val="24"/>
        </w:rPr>
      </w:pPr>
      <w:r>
        <w:rPr>
          <w:rFonts w:ascii="Times New Roman" w:hAnsi="Times New Roman"/>
          <w:noProof/>
          <w:sz w:val="24"/>
        </w:rPr>
        <w:t>7)</w:t>
      </w:r>
      <w:r>
        <w:rPr>
          <w:noProof/>
        </w:rPr>
        <w:tab/>
      </w:r>
      <w:r>
        <w:rPr>
          <w:rFonts w:ascii="Times New Roman" w:hAnsi="Times New Roman"/>
          <w:noProof/>
          <w:sz w:val="24"/>
        </w:rPr>
        <w:t>Lepingu artiklis 341 sätestatakse, et järkjärguline lähendamine energeetikasektoris toimub vastavalt lepingu XXVII lisas esitatud ajakavale.</w:t>
      </w:r>
    </w:p>
    <w:p>
      <w:pPr>
        <w:ind w:left="720" w:hanging="720"/>
        <w:jc w:val="both"/>
        <w:rPr>
          <w:rFonts w:ascii="Times New Roman" w:hAnsi="Times New Roman" w:cs="Times New Roman"/>
          <w:noProof/>
          <w:sz w:val="24"/>
          <w:szCs w:val="24"/>
        </w:rPr>
      </w:pPr>
      <w:r>
        <w:rPr>
          <w:rFonts w:ascii="Times New Roman" w:hAnsi="Times New Roman"/>
          <w:noProof/>
          <w:sz w:val="24"/>
        </w:rPr>
        <w:t>8)</w:t>
      </w:r>
      <w:r>
        <w:rPr>
          <w:noProof/>
        </w:rPr>
        <w:tab/>
      </w:r>
      <w:r>
        <w:rPr>
          <w:rFonts w:ascii="Times New Roman" w:hAnsi="Times New Roman"/>
          <w:noProof/>
          <w:sz w:val="24"/>
        </w:rPr>
        <w:t>Lepingu artiklis 474 korratakse Ukraina üldist kohustust lähendada oma õigusakte järk-järgult liidu õigusaktidele, sealhulgas energeetikasektoris.</w:t>
      </w:r>
    </w:p>
    <w:p>
      <w:pPr>
        <w:ind w:left="720" w:hanging="720"/>
        <w:jc w:val="both"/>
        <w:rPr>
          <w:rFonts w:ascii="Times New Roman" w:hAnsi="Times New Roman" w:cs="Times New Roman"/>
          <w:noProof/>
          <w:sz w:val="24"/>
          <w:szCs w:val="24"/>
        </w:rPr>
      </w:pPr>
      <w:r>
        <w:rPr>
          <w:rFonts w:ascii="Times New Roman" w:hAnsi="Times New Roman"/>
          <w:noProof/>
          <w:sz w:val="24"/>
        </w:rPr>
        <w:t xml:space="preserve"> 9)</w:t>
      </w:r>
      <w:r>
        <w:rPr>
          <w:noProof/>
        </w:rPr>
        <w:tab/>
      </w:r>
      <w:r>
        <w:rPr>
          <w:rFonts w:ascii="Times New Roman" w:hAnsi="Times New Roman"/>
          <w:noProof/>
          <w:sz w:val="24"/>
        </w:rPr>
        <w:t>EL energeetikasektori õigustik on pärast lepingu üle peetud läbirääkimiste lõppemist märkimisväärselt edasi arenenud ning edasi on arenenud ka Ukraina kohustused, mis tulenevad lepingu rakendamisest ja energiaühenduse asutamislepingu liikmesusest. Seda arengut tuleb kajastada lepingu XXVII lisas, mida tuleks seetõttu ajakohastada.</w:t>
      </w:r>
    </w:p>
    <w:p>
      <w:pPr>
        <w:ind w:left="720" w:hanging="720"/>
        <w:jc w:val="both"/>
        <w:rPr>
          <w:rFonts w:ascii="Times New Roman" w:hAnsi="Times New Roman" w:cs="Times New Roman"/>
          <w:noProof/>
          <w:sz w:val="24"/>
          <w:szCs w:val="24"/>
        </w:rPr>
      </w:pPr>
      <w:r>
        <w:rPr>
          <w:rFonts w:ascii="Times New Roman" w:hAnsi="Times New Roman"/>
          <w:noProof/>
          <w:sz w:val="24"/>
        </w:rPr>
        <w:t>10)</w:t>
      </w:r>
      <w:r>
        <w:rPr>
          <w:noProof/>
        </w:rPr>
        <w:tab/>
      </w:r>
      <w:r>
        <w:rPr>
          <w:rFonts w:ascii="Times New Roman" w:hAnsi="Times New Roman"/>
          <w:noProof/>
          <w:sz w:val="24"/>
        </w:rPr>
        <w:t>Lepingu artiklis 475 on üldjoontes sätestatud Ukraina õigusaktide ELi õigusaktidele lähendamisel, sealhulgas nende rakendamise ja jõustamise aspektide lähendamisel tehtavate edusammude järelevalve tingimused. Artiklis on sätestatud, et aruandlus- ja hindamisprotsessis võetakse arvesse lepinguga või lepingu alusel asutatud rahvusvaheliste asutuste otsustes sätestatud konkreetset korda.</w:t>
      </w:r>
    </w:p>
    <w:p>
      <w:pPr>
        <w:ind w:left="720" w:hanging="720"/>
        <w:jc w:val="both"/>
        <w:rPr>
          <w:rFonts w:ascii="Times New Roman" w:hAnsi="Times New Roman" w:cs="Times New Roman"/>
          <w:noProof/>
          <w:sz w:val="24"/>
          <w:szCs w:val="24"/>
        </w:rPr>
      </w:pPr>
      <w:r>
        <w:rPr>
          <w:rFonts w:ascii="Times New Roman" w:hAnsi="Times New Roman"/>
          <w:noProof/>
          <w:sz w:val="24"/>
        </w:rPr>
        <w:t>11)</w:t>
      </w:r>
      <w:r>
        <w:rPr>
          <w:noProof/>
        </w:rPr>
        <w:tab/>
      </w:r>
      <w:r>
        <w:rPr>
          <w:rFonts w:ascii="Times New Roman" w:hAnsi="Times New Roman"/>
          <w:noProof/>
          <w:sz w:val="24"/>
        </w:rPr>
        <w:t>Reformide tõhusama rakendamise tagamiseks Ukrainas tuleb tugevdada energeetikasektori reformi järelevalvemehhanismi, et saavutatud reformid oleksid tagasipöördumatud ning aitaksid seega kestvalt kaasa energeetikasektori moderniseerimisele.</w:t>
      </w:r>
    </w:p>
    <w:p>
      <w:pPr>
        <w:ind w:left="720" w:hanging="720"/>
        <w:jc w:val="both"/>
        <w:rPr>
          <w:noProof/>
        </w:rPr>
      </w:pPr>
      <w:r>
        <w:rPr>
          <w:rFonts w:ascii="Times New Roman" w:hAnsi="Times New Roman"/>
          <w:noProof/>
          <w:sz w:val="24"/>
        </w:rPr>
        <w:t>12)</w:t>
      </w:r>
      <w:r>
        <w:rPr>
          <w:noProof/>
        </w:rPr>
        <w:tab/>
      </w:r>
      <w:r>
        <w:rPr>
          <w:rFonts w:ascii="Times New Roman" w:hAnsi="Times New Roman"/>
          <w:noProof/>
          <w:sz w:val="24"/>
        </w:rPr>
        <w:t>Tulenevalt lepingu artikli 463 lõigetest 1 ja 3 on ELi-Ukraina assotsieerimisnõukogul (edaspidi „assotsieerimisnõukogu“) õigus teha otsuseid lepingu eesmärkide saavutamiseks. Eelkõige võib assotsieerimisnõukogu ajakohastada või muuta lepingu lisasid, võttes arvesse ELi õigusvaldkonna arengut ja kohaldatavaid standardeid, mis on sätestatud lepinguosaliste poolt asjakohasteks peetavates rahvusvahelistes õigusaktides.</w:t>
      </w:r>
    </w:p>
    <w:p>
      <w:pPr>
        <w:ind w:left="720" w:hanging="720"/>
        <w:jc w:val="both"/>
        <w:rPr>
          <w:rFonts w:ascii="Times New Roman" w:hAnsi="Times New Roman" w:cs="Times New Roman"/>
          <w:noProof/>
          <w:sz w:val="24"/>
          <w:szCs w:val="24"/>
        </w:rPr>
      </w:pPr>
      <w:r>
        <w:rPr>
          <w:rFonts w:ascii="Times New Roman" w:hAnsi="Times New Roman"/>
          <w:noProof/>
          <w:sz w:val="24"/>
        </w:rPr>
        <w:t>13)</w:t>
      </w:r>
      <w:r>
        <w:rPr>
          <w:noProof/>
        </w:rPr>
        <w:tab/>
      </w:r>
      <w:r>
        <w:rPr>
          <w:rFonts w:ascii="Times New Roman" w:hAnsi="Times New Roman"/>
          <w:noProof/>
          <w:sz w:val="24"/>
        </w:rPr>
        <w:t>Seetõttu muudab assotsieerimisnõukogu lepingu XXVII lisa, et kehtestada üksikasjalikumad eeskirjad Ukraina õigusaktide ELi õigusaktidele lähendamise jälgimiseks energeetikasektoris. Selleks tuleks lepingu XXVII lisasse lisada järelevalveprotsessi tugevdavad asjakohased sätted,</w:t>
      </w:r>
    </w:p>
    <w:p>
      <w:pPr>
        <w:ind w:left="720" w:hanging="720"/>
        <w:jc w:val="both"/>
        <w:rPr>
          <w:rFonts w:ascii="Times New Roman" w:hAnsi="Times New Roman" w:cs="Times New Roman"/>
          <w:caps/>
          <w:noProof/>
          <w:sz w:val="24"/>
          <w:szCs w:val="24"/>
        </w:rPr>
      </w:pPr>
      <w:r>
        <w:rPr>
          <w:rFonts w:ascii="Times New Roman" w:hAnsi="Times New Roman"/>
          <w:noProof/>
          <w:sz w:val="24"/>
        </w:rPr>
        <w:t xml:space="preserve"> </w:t>
      </w:r>
      <w:r>
        <w:rPr>
          <w:rFonts w:ascii="Times New Roman" w:hAnsi="Times New Roman"/>
          <w:caps/>
          <w:noProof/>
          <w:sz w:val="24"/>
        </w:rPr>
        <w:t>on vastu võtnud käesoleva otsuse:</w:t>
      </w:r>
    </w:p>
    <w:p>
      <w:pPr>
        <w:ind w:left="720" w:hanging="720"/>
        <w:jc w:val="center"/>
        <w:rPr>
          <w:rFonts w:ascii="Times New Roman" w:hAnsi="Times New Roman" w:cs="Times New Roman"/>
          <w:noProof/>
          <w:sz w:val="24"/>
          <w:szCs w:val="24"/>
        </w:rPr>
      </w:pPr>
      <w:r>
        <w:rPr>
          <w:rFonts w:ascii="Times New Roman" w:hAnsi="Times New Roman"/>
          <w:noProof/>
          <w:sz w:val="24"/>
        </w:rPr>
        <w:t>Artikkel 1</w:t>
      </w:r>
    </w:p>
    <w:p>
      <w:pPr>
        <w:spacing w:after="240"/>
        <w:ind w:left="720" w:hanging="720"/>
        <w:jc w:val="both"/>
        <w:rPr>
          <w:rFonts w:ascii="Times New Roman" w:hAnsi="Times New Roman" w:cs="Times New Roman"/>
          <w:noProof/>
          <w:sz w:val="24"/>
          <w:szCs w:val="24"/>
        </w:rPr>
      </w:pPr>
      <w:r>
        <w:rPr>
          <w:rFonts w:ascii="Times New Roman" w:hAnsi="Times New Roman"/>
          <w:noProof/>
          <w:sz w:val="24"/>
        </w:rPr>
        <w:t>Lepingu XXVII lisa asendatakse käesoleva otsuse lisaga.</w:t>
      </w:r>
    </w:p>
    <w:p>
      <w:pPr>
        <w:spacing w:before="240"/>
        <w:ind w:left="720" w:hanging="720"/>
        <w:jc w:val="center"/>
        <w:rPr>
          <w:rFonts w:ascii="Times New Roman" w:hAnsi="Times New Roman" w:cs="Times New Roman"/>
          <w:noProof/>
          <w:sz w:val="24"/>
          <w:szCs w:val="24"/>
        </w:rPr>
      </w:pPr>
      <w:r>
        <w:rPr>
          <w:rFonts w:ascii="Times New Roman" w:hAnsi="Times New Roman"/>
          <w:noProof/>
          <w:sz w:val="24"/>
        </w:rPr>
        <w:t>Artikkel 2</w:t>
      </w:r>
    </w:p>
    <w:p>
      <w:pPr>
        <w:ind w:left="720" w:hanging="720"/>
        <w:jc w:val="both"/>
        <w:rPr>
          <w:rFonts w:ascii="Times New Roman" w:hAnsi="Times New Roman" w:cs="Times New Roman"/>
          <w:noProof/>
          <w:sz w:val="24"/>
          <w:szCs w:val="24"/>
        </w:rPr>
      </w:pPr>
      <w:r>
        <w:rPr>
          <w:rFonts w:ascii="Times New Roman" w:hAnsi="Times New Roman"/>
          <w:noProof/>
          <w:sz w:val="24"/>
        </w:rPr>
        <w:t xml:space="preserve">Käesolev otsus jõustub selle vastuvõtmise päeval. </w:t>
      </w:r>
    </w:p>
    <w:p>
      <w:pPr>
        <w:rPr>
          <w:rFonts w:ascii="Times New Roman" w:hAnsi="Times New Roman" w:cs="Times New Roman"/>
          <w:noProof/>
          <w:sz w:val="24"/>
          <w:szCs w:val="24"/>
        </w:rPr>
      </w:pPr>
      <w:r>
        <w:rPr>
          <w:noProof/>
        </w:rPr>
        <w:br w:type="page"/>
      </w:r>
      <w:r>
        <w:rPr>
          <w:rFonts w:ascii="Times New Roman" w:hAnsi="Times New Roman"/>
          <w:noProof/>
          <w:sz w:val="24"/>
        </w:rPr>
        <w:t xml:space="preserve">(koht) … </w:t>
      </w:r>
    </w:p>
    <w:p>
      <w:pPr>
        <w:ind w:left="720" w:hanging="720"/>
        <w:jc w:val="right"/>
        <w:rPr>
          <w:rFonts w:ascii="Times New Roman" w:hAnsi="Times New Roman" w:cs="Times New Roman"/>
          <w:i/>
          <w:noProof/>
          <w:sz w:val="24"/>
          <w:szCs w:val="24"/>
        </w:rPr>
      </w:pPr>
      <w:r>
        <w:rPr>
          <w:rFonts w:ascii="Times New Roman" w:hAnsi="Times New Roman"/>
          <w:i/>
          <w:noProof/>
          <w:sz w:val="24"/>
        </w:rPr>
        <w:t>Assotsieerimisnõukogu nimel</w:t>
      </w:r>
    </w:p>
    <w:p>
      <w:pPr>
        <w:ind w:left="5760" w:firstLine="720"/>
        <w:rPr>
          <w:rFonts w:ascii="Times New Roman" w:hAnsi="Times New Roman" w:cs="Times New Roman"/>
          <w:i/>
          <w:noProof/>
          <w:sz w:val="24"/>
          <w:szCs w:val="24"/>
        </w:rPr>
      </w:pPr>
      <w:r>
        <w:rPr>
          <w:rFonts w:ascii="Times New Roman" w:hAnsi="Times New Roman"/>
          <w:i/>
          <w:noProof/>
          <w:sz w:val="24"/>
        </w:rPr>
        <w:t>eesistuja</w:t>
      </w:r>
    </w:p>
    <w:p>
      <w:pPr>
        <w:rPr>
          <w:rFonts w:ascii="Times New Roman" w:hAnsi="Times New Roman" w:cs="Times New Roman"/>
          <w:noProof/>
          <w:sz w:val="24"/>
          <w:szCs w:val="24"/>
        </w:rPr>
      </w:pPr>
    </w:p>
    <w:p>
      <w:pPr>
        <w:jc w:val="center"/>
        <w:rPr>
          <w:rFonts w:ascii="Times New Roman" w:hAnsi="Times New Roman" w:cs="Times New Roman"/>
          <w:smallCaps/>
          <w:noProof/>
          <w:sz w:val="24"/>
          <w:szCs w:val="24"/>
        </w:rPr>
      </w:pPr>
    </w:p>
    <w:p>
      <w:pPr>
        <w:rPr>
          <w:rFonts w:ascii="Times New Roman" w:hAnsi="Times New Roman" w:cs="Times New Roman"/>
          <w:smallCaps/>
          <w:noProof/>
          <w:sz w:val="24"/>
          <w:szCs w:val="24"/>
        </w:rPr>
      </w:pPr>
      <w:r>
        <w:rPr>
          <w:noProof/>
        </w:rPr>
        <w:br w:type="page"/>
      </w:r>
    </w:p>
    <w:p>
      <w:pPr>
        <w:jc w:val="center"/>
        <w:rPr>
          <w:rFonts w:ascii="Times New Roman" w:hAnsi="Times New Roman" w:cs="Times New Roman"/>
          <w:b/>
          <w:smallCaps/>
          <w:noProof/>
          <w:sz w:val="24"/>
          <w:szCs w:val="24"/>
        </w:rPr>
      </w:pPr>
      <w:r>
        <w:rPr>
          <w:rFonts w:ascii="Times New Roman" w:hAnsi="Times New Roman"/>
          <w:b/>
          <w:smallCaps/>
          <w:noProof/>
          <w:sz w:val="24"/>
        </w:rPr>
        <w:t>Lisa</w:t>
      </w:r>
    </w:p>
    <w:p>
      <w:pPr>
        <w:jc w:val="center"/>
        <w:rPr>
          <w:rFonts w:ascii="Times New Roman" w:hAnsi="Times New Roman" w:cs="Times New Roman"/>
          <w:b/>
          <w:smallCaps/>
          <w:noProof/>
          <w:sz w:val="24"/>
          <w:szCs w:val="24"/>
        </w:rPr>
      </w:pPr>
      <w:r>
        <w:rPr>
          <w:rFonts w:ascii="Times New Roman" w:hAnsi="Times New Roman"/>
          <w:b/>
          <w:smallCaps/>
          <w:noProof/>
          <w:sz w:val="24"/>
        </w:rPr>
        <w:t>„1. peatüki XXVII lisa</w:t>
      </w:r>
    </w:p>
    <w:p>
      <w:pPr>
        <w:jc w:val="center"/>
        <w:rPr>
          <w:rFonts w:ascii="Times New Roman" w:hAnsi="Times New Roman" w:cs="Times New Roman"/>
          <w:b/>
          <w:smallCaps/>
          <w:noProof/>
          <w:sz w:val="24"/>
          <w:szCs w:val="24"/>
        </w:rPr>
      </w:pPr>
      <w:r>
        <w:rPr>
          <w:rFonts w:ascii="Times New Roman" w:hAnsi="Times New Roman"/>
          <w:b/>
          <w:smallCaps/>
          <w:noProof/>
          <w:sz w:val="24"/>
        </w:rPr>
        <w:t>Energiakoostöö, sealhulgas tuumaküsimused</w:t>
      </w:r>
    </w:p>
    <w:p>
      <w:pPr>
        <w:rPr>
          <w:rFonts w:ascii="Times New Roman" w:hAnsi="Times New Roman" w:cs="Times New Roman"/>
          <w:noProof/>
          <w:sz w:val="24"/>
          <w:szCs w:val="24"/>
        </w:rPr>
      </w:pPr>
    </w:p>
    <w:p>
      <w:pPr>
        <w:jc w:val="center"/>
        <w:rPr>
          <w:rFonts w:ascii="Times New Roman" w:hAnsi="Times New Roman" w:cs="Times New Roman"/>
          <w:caps/>
          <w:noProof/>
          <w:sz w:val="24"/>
          <w:szCs w:val="24"/>
        </w:rPr>
      </w:pPr>
      <w:r>
        <w:rPr>
          <w:rFonts w:ascii="Times New Roman" w:hAnsi="Times New Roman"/>
          <w:caps/>
          <w:noProof/>
          <w:sz w:val="24"/>
        </w:rPr>
        <w:t>XXVII-1 lisa</w:t>
      </w:r>
    </w:p>
    <w:p>
      <w:pPr>
        <w:jc w:val="center"/>
        <w:rPr>
          <w:rFonts w:ascii="Times New Roman" w:hAnsi="Times New Roman" w:cs="Times New Roman"/>
          <w:caps/>
          <w:noProof/>
          <w:sz w:val="24"/>
          <w:szCs w:val="24"/>
        </w:rPr>
      </w:pPr>
      <w:r>
        <w:rPr>
          <w:rFonts w:ascii="Times New Roman" w:hAnsi="Times New Roman"/>
          <w:caps/>
          <w:noProof/>
          <w:sz w:val="24"/>
        </w:rPr>
        <w:t>Lähendamise järelevalve energeetikasektoris</w:t>
      </w:r>
    </w:p>
    <w:p>
      <w:pPr>
        <w:jc w:val="both"/>
        <w:rPr>
          <w:rFonts w:ascii="Times New Roman" w:hAnsi="Times New Roman" w:cs="Times New Roman"/>
          <w:noProof/>
          <w:sz w:val="24"/>
          <w:szCs w:val="24"/>
        </w:rPr>
      </w:pPr>
      <w:r>
        <w:rPr>
          <w:rFonts w:ascii="Times New Roman" w:hAnsi="Times New Roman"/>
          <w:noProof/>
          <w:sz w:val="24"/>
        </w:rPr>
        <w:t xml:space="preserve">Ukraina õigusaktide ELi energeetikasektori õigustikule lähendamise järelevalve tugevdamiseks ning Ukraina energeetikasektori kestlikuks moderniseerimiseks kohaldavad lepinguosalised kooskõlas lepingu artikli 475 lõikega 2 järgmisi täiendavaid meetmeid. Kõnealused meetmed ei mõjuta kummagi lepinguosalise energiaühenduse asutamislepingu liikmesusest tulenevaid õigusi ja kohustusi. </w:t>
      </w:r>
    </w:p>
    <w:p>
      <w:pPr>
        <w:jc w:val="both"/>
        <w:rPr>
          <w:rFonts w:ascii="Times New Roman" w:hAnsi="Times New Roman" w:cs="Times New Roman"/>
          <w:i/>
          <w:noProof/>
          <w:sz w:val="24"/>
          <w:szCs w:val="24"/>
        </w:rPr>
      </w:pPr>
      <w:r>
        <w:rPr>
          <w:rFonts w:ascii="Times New Roman" w:hAnsi="Times New Roman"/>
          <w:i/>
          <w:noProof/>
          <w:sz w:val="24"/>
        </w:rPr>
        <w:t xml:space="preserve">ELi õigustiku mõjus rakendamine </w:t>
      </w:r>
    </w:p>
    <w:p>
      <w:pPr>
        <w:pStyle w:val="ListParagraph"/>
        <w:numPr>
          <w:ilvl w:val="0"/>
          <w:numId w:val="11"/>
        </w:numPr>
        <w:ind w:left="360"/>
        <w:jc w:val="both"/>
        <w:rPr>
          <w:rFonts w:ascii="Times New Roman" w:hAnsi="Times New Roman" w:cs="Times New Roman"/>
          <w:noProof/>
          <w:sz w:val="24"/>
          <w:szCs w:val="24"/>
        </w:rPr>
      </w:pPr>
      <w:r>
        <w:rPr>
          <w:rFonts w:ascii="Times New Roman" w:hAnsi="Times New Roman"/>
          <w:noProof/>
          <w:sz w:val="24"/>
        </w:rPr>
        <w:t xml:space="preserve">Euroopa Komisjon teavitab Ukrainat viivitamata Euroopa Komisjoni ettepanekutest mõni õigusakt vastu võtta või seda muuta või mõnest ELi õigusaktist, millega muudetakse käesolevas lisas loetletud ELi õigusakte. </w:t>
      </w:r>
    </w:p>
    <w:p>
      <w:pPr>
        <w:pStyle w:val="ListParagraph"/>
        <w:ind w:left="360"/>
        <w:jc w:val="both"/>
        <w:rPr>
          <w:rFonts w:ascii="Times New Roman" w:hAnsi="Times New Roman" w:cs="Times New Roman"/>
          <w:noProof/>
          <w:sz w:val="24"/>
          <w:szCs w:val="24"/>
        </w:rPr>
      </w:pPr>
    </w:p>
    <w:p>
      <w:pPr>
        <w:pStyle w:val="ListParagraph"/>
        <w:numPr>
          <w:ilvl w:val="0"/>
          <w:numId w:val="11"/>
        </w:numPr>
        <w:ind w:left="360"/>
        <w:jc w:val="both"/>
        <w:rPr>
          <w:rFonts w:ascii="Times New Roman" w:hAnsi="Times New Roman" w:cs="Times New Roman"/>
          <w:noProof/>
          <w:sz w:val="24"/>
          <w:szCs w:val="24"/>
        </w:rPr>
      </w:pPr>
      <w:r>
        <w:rPr>
          <w:rFonts w:ascii="Times New Roman" w:hAnsi="Times New Roman"/>
          <w:noProof/>
          <w:sz w:val="24"/>
        </w:rPr>
        <w:t xml:space="preserve">Ukraina tagab lähendatud siseriiklike õigusaktide tõhusa rakendamise ning võtab vajalikke meetmeid peegeldamaks XXVII-2 lisas loetletud liidu õiguses aset leidnud arengut oma siseriiklikes energeetikasektori õigusaktides. Eelkõige kohaldatakse järgmist: </w:t>
      </w:r>
    </w:p>
    <w:p>
      <w:pPr>
        <w:pStyle w:val="ListParagraph"/>
        <w:numPr>
          <w:ilvl w:val="1"/>
          <w:numId w:val="11"/>
        </w:numPr>
        <w:jc w:val="both"/>
        <w:rPr>
          <w:rFonts w:ascii="Times New Roman" w:hAnsi="Times New Roman" w:cs="Times New Roman"/>
          <w:noProof/>
          <w:sz w:val="24"/>
          <w:szCs w:val="24"/>
        </w:rPr>
      </w:pPr>
      <w:r>
        <w:rPr>
          <w:rFonts w:ascii="Times New Roman" w:hAnsi="Times New Roman"/>
          <w:noProof/>
          <w:sz w:val="24"/>
        </w:rPr>
        <w:t>ELi määrused või otsused võetakse üle Ukraina riigisisesesse õiguskorda;</w:t>
      </w:r>
    </w:p>
    <w:p>
      <w:pPr>
        <w:pStyle w:val="ListParagraph"/>
        <w:numPr>
          <w:ilvl w:val="1"/>
          <w:numId w:val="11"/>
        </w:numPr>
        <w:jc w:val="both"/>
        <w:rPr>
          <w:rFonts w:ascii="Times New Roman" w:hAnsi="Times New Roman" w:cs="Times New Roman"/>
          <w:noProof/>
          <w:sz w:val="24"/>
          <w:szCs w:val="24"/>
        </w:rPr>
      </w:pPr>
      <w:r>
        <w:rPr>
          <w:rFonts w:ascii="Times New Roman" w:hAnsi="Times New Roman"/>
          <w:noProof/>
          <w:sz w:val="24"/>
        </w:rPr>
        <w:t xml:space="preserve">ELi direktiivi rakendamise vormi ja meetodi võivad valida Ukraina ametiasutused; </w:t>
      </w:r>
    </w:p>
    <w:p>
      <w:pPr>
        <w:pStyle w:val="ListParagraph"/>
        <w:numPr>
          <w:ilvl w:val="1"/>
          <w:numId w:val="11"/>
        </w:numPr>
        <w:jc w:val="both"/>
        <w:rPr>
          <w:rFonts w:ascii="Times New Roman" w:hAnsi="Times New Roman" w:cs="Times New Roman"/>
          <w:noProof/>
          <w:sz w:val="24"/>
          <w:szCs w:val="24"/>
        </w:rPr>
      </w:pPr>
      <w:r>
        <w:rPr>
          <w:rFonts w:ascii="Times New Roman" w:hAnsi="Times New Roman"/>
          <w:noProof/>
          <w:sz w:val="24"/>
        </w:rPr>
        <w:t xml:space="preserve">elektri- või gaasisektori võrgueeskirja käsitlev komisjoni määrus võetakse üle Ukraina riigisisesesse õiguskorda, muutmata määruse ülesehitust ja muud teksti peale tõlke, välja arvatud juhul, kui selliseid muudatusi peab vajalikuks Euroopa Komisjon. </w:t>
      </w:r>
    </w:p>
    <w:p>
      <w:pPr>
        <w:pStyle w:val="ListParagraph"/>
        <w:ind w:left="360"/>
        <w:jc w:val="both"/>
        <w:rPr>
          <w:rFonts w:ascii="Times New Roman" w:hAnsi="Times New Roman" w:cs="Times New Roman"/>
          <w:noProof/>
          <w:sz w:val="24"/>
          <w:szCs w:val="24"/>
        </w:rPr>
      </w:pPr>
    </w:p>
    <w:p>
      <w:pPr>
        <w:pStyle w:val="ListParagraph"/>
        <w:numPr>
          <w:ilvl w:val="0"/>
          <w:numId w:val="11"/>
        </w:numPr>
        <w:ind w:left="360"/>
        <w:jc w:val="both"/>
        <w:rPr>
          <w:rFonts w:ascii="Times New Roman" w:hAnsi="Times New Roman" w:cs="Times New Roman"/>
          <w:noProof/>
          <w:sz w:val="24"/>
          <w:szCs w:val="24"/>
        </w:rPr>
      </w:pPr>
      <w:r>
        <w:rPr>
          <w:rFonts w:ascii="Times New Roman" w:hAnsi="Times New Roman"/>
          <w:noProof/>
          <w:sz w:val="24"/>
        </w:rPr>
        <w:t>Ukraina hoidub mis tahes tegevusest, mis võiks kahjustada siseriiklike õigusaktide XXVII-2 lisas loetletud ELi energeetikasektori õigustikule lähendamise eesmärkide ja tulemuste saavutamist.</w:t>
      </w:r>
    </w:p>
    <w:p>
      <w:pPr>
        <w:pStyle w:val="ListParagraph"/>
        <w:ind w:left="360"/>
        <w:jc w:val="both"/>
        <w:rPr>
          <w:rFonts w:ascii="Times New Roman" w:hAnsi="Times New Roman" w:cs="Times New Roman"/>
          <w:noProof/>
          <w:sz w:val="24"/>
          <w:szCs w:val="24"/>
        </w:rPr>
      </w:pPr>
    </w:p>
    <w:p>
      <w:pPr>
        <w:pStyle w:val="ListParagraph"/>
        <w:numPr>
          <w:ilvl w:val="0"/>
          <w:numId w:val="11"/>
        </w:numPr>
        <w:ind w:left="360"/>
        <w:jc w:val="both"/>
        <w:rPr>
          <w:rFonts w:ascii="Times New Roman" w:hAnsi="Times New Roman" w:cs="Times New Roman"/>
          <w:noProof/>
          <w:sz w:val="24"/>
          <w:szCs w:val="24"/>
        </w:rPr>
      </w:pPr>
      <w:r>
        <w:rPr>
          <w:rFonts w:ascii="Times New Roman" w:hAnsi="Times New Roman"/>
          <w:noProof/>
          <w:sz w:val="24"/>
        </w:rPr>
        <w:t>Ukraina tunnistab kehtetuks selliste siseriiklike õigusaktide sätted või lõpetab selliste siseriiklike tavade rakendamise, mis on vastuolus XXVII-2 lisas loetletud liidu õigusaktide või energeetikasektoris kohaldatavale liidu õigusele lähendatud siseriiklike õigusaktidega.</w:t>
      </w:r>
    </w:p>
    <w:p>
      <w:pPr>
        <w:rPr>
          <w:rFonts w:ascii="Times New Roman" w:hAnsi="Times New Roman" w:cs="Times New Roman"/>
          <w:noProof/>
          <w:sz w:val="24"/>
          <w:szCs w:val="24"/>
        </w:rPr>
      </w:pPr>
      <w:r>
        <w:rPr>
          <w:noProof/>
        </w:rPr>
        <w:br w:type="page"/>
      </w:r>
    </w:p>
    <w:p>
      <w:pPr>
        <w:jc w:val="both"/>
        <w:rPr>
          <w:rFonts w:ascii="Times New Roman" w:hAnsi="Times New Roman" w:cs="Times New Roman"/>
          <w:i/>
          <w:noProof/>
          <w:sz w:val="24"/>
          <w:szCs w:val="24"/>
        </w:rPr>
      </w:pPr>
      <w:r>
        <w:rPr>
          <w:rFonts w:ascii="Times New Roman" w:hAnsi="Times New Roman"/>
          <w:i/>
          <w:noProof/>
          <w:sz w:val="24"/>
        </w:rPr>
        <w:t>Konsultatsioonid</w:t>
      </w:r>
    </w:p>
    <w:p>
      <w:pPr>
        <w:pStyle w:val="ListParagraph"/>
        <w:numPr>
          <w:ilvl w:val="0"/>
          <w:numId w:val="11"/>
        </w:numPr>
        <w:ind w:left="360"/>
        <w:jc w:val="both"/>
        <w:rPr>
          <w:rFonts w:ascii="Times New Roman" w:hAnsi="Times New Roman" w:cs="Times New Roman"/>
          <w:noProof/>
          <w:sz w:val="24"/>
          <w:szCs w:val="24"/>
        </w:rPr>
      </w:pPr>
      <w:r>
        <w:rPr>
          <w:rFonts w:ascii="Times New Roman" w:hAnsi="Times New Roman"/>
          <w:noProof/>
          <w:sz w:val="24"/>
        </w:rPr>
        <w:t>Ukraina konsulteerib Euroopa Komisjoniga ELi õigustikuga kokkusobivuse küsimuses kõigi nendesse valdkondadesse kuuluvate seadusandlike ettepanekute puhul, mis tuleb enne nende jõustumist lähendada XXVII-2 lisas loetletud ELi õigusaktidele. Konsulteerimiskohustus hõlmab ka juba lähendatud siseriiklike õigusaktide muutmise ettepanekuid, sõltumata ettepaneku õiguslikust vormist.</w:t>
      </w:r>
    </w:p>
    <w:p>
      <w:pPr>
        <w:pStyle w:val="ListParagraph"/>
        <w:ind w:left="360"/>
        <w:jc w:val="both"/>
        <w:rPr>
          <w:rFonts w:ascii="Times New Roman" w:hAnsi="Times New Roman" w:cs="Times New Roman"/>
          <w:noProof/>
          <w:sz w:val="24"/>
          <w:szCs w:val="24"/>
        </w:rPr>
      </w:pPr>
    </w:p>
    <w:p>
      <w:pPr>
        <w:pStyle w:val="ListParagraph"/>
        <w:numPr>
          <w:ilvl w:val="0"/>
          <w:numId w:val="11"/>
        </w:numPr>
        <w:ind w:left="360"/>
        <w:jc w:val="both"/>
        <w:rPr>
          <w:rFonts w:ascii="Times New Roman" w:hAnsi="Times New Roman" w:cs="Times New Roman"/>
          <w:noProof/>
          <w:sz w:val="24"/>
          <w:szCs w:val="24"/>
        </w:rPr>
      </w:pPr>
      <w:r>
        <w:rPr>
          <w:rFonts w:ascii="Times New Roman" w:hAnsi="Times New Roman"/>
          <w:noProof/>
          <w:sz w:val="24"/>
        </w:rPr>
        <w:t>Ukraina valitsus võib konsulteerida Euroopa Komisjoniga ELi õigustikuga kokkusobivuse küsimuses kõigi seadusandlike ettepanekute puhul, millega rakendatakse energeetikasektori õigusakte, mis juba on lähendatud või kavatsetakse lähendada XXVII-2 lisas loetletud ELi õigusaktidele. Kui Ukraina valitsus otsustab Euroopa Komisjoniga sellise õigusakti üle konsulteerida, kohaldatakse punkti 7.</w:t>
      </w:r>
    </w:p>
    <w:p>
      <w:pPr>
        <w:pStyle w:val="ListParagraph"/>
        <w:ind w:left="360"/>
        <w:jc w:val="both"/>
        <w:rPr>
          <w:rFonts w:ascii="Times New Roman" w:hAnsi="Times New Roman" w:cs="Times New Roman"/>
          <w:noProof/>
          <w:sz w:val="24"/>
          <w:szCs w:val="24"/>
        </w:rPr>
      </w:pPr>
    </w:p>
    <w:p>
      <w:pPr>
        <w:pStyle w:val="ListParagraph"/>
        <w:numPr>
          <w:ilvl w:val="0"/>
          <w:numId w:val="11"/>
        </w:numPr>
        <w:ind w:left="360"/>
        <w:jc w:val="both"/>
        <w:rPr>
          <w:rFonts w:ascii="Times New Roman" w:hAnsi="Times New Roman" w:cs="Times New Roman"/>
          <w:noProof/>
          <w:sz w:val="24"/>
          <w:szCs w:val="24"/>
        </w:rPr>
      </w:pPr>
      <w:r>
        <w:rPr>
          <w:rFonts w:ascii="Times New Roman" w:hAnsi="Times New Roman"/>
          <w:noProof/>
          <w:sz w:val="24"/>
        </w:rPr>
        <w:t xml:space="preserve">Ukraina hoidub jõustamast punktides 5 ja 6 osutatud, konsulteerimiseks esitatud õigusakte enne, kui Euroopa Komisjon on hinnanud kavandatud õigusakti kokkusobivust ELi asjaomase valdkonna õigustikuga ning juhul, kui Euroopa Komisjon on jõudnud järeldusele, et kavandatav õigusakt ei sobi kokku kõnealuse valdkonna ELi õigustikuga. </w:t>
      </w:r>
    </w:p>
    <w:p>
      <w:pPr>
        <w:pStyle w:val="ListParagraph"/>
        <w:ind w:left="360"/>
        <w:jc w:val="both"/>
        <w:rPr>
          <w:rFonts w:ascii="Times New Roman" w:hAnsi="Times New Roman" w:cs="Times New Roman"/>
          <w:noProof/>
          <w:sz w:val="24"/>
          <w:szCs w:val="24"/>
        </w:rPr>
      </w:pPr>
    </w:p>
    <w:p>
      <w:pPr>
        <w:pStyle w:val="ListParagraph"/>
        <w:numPr>
          <w:ilvl w:val="0"/>
          <w:numId w:val="11"/>
        </w:numPr>
        <w:ind w:left="360"/>
        <w:jc w:val="both"/>
        <w:rPr>
          <w:rFonts w:ascii="Times New Roman" w:hAnsi="Times New Roman" w:cs="Times New Roman"/>
          <w:noProof/>
          <w:sz w:val="24"/>
          <w:szCs w:val="24"/>
        </w:rPr>
      </w:pPr>
      <w:r>
        <w:rPr>
          <w:rFonts w:ascii="Times New Roman" w:hAnsi="Times New Roman"/>
          <w:noProof/>
          <w:sz w:val="24"/>
        </w:rPr>
        <w:t xml:space="preserve">Euroopa Komisjoni koostatud kokkusobivuse hinnang võib sisaldada soovitusi kavandatud õigusakti või selle osade kohta, mida Euroopa Komisjon peab ELi õigustikuga kokkusobimatuks. Euroopa Komisjon võib hindamise eesmärgil konsulteerida energiaühenduse sekretariaadiga või lähetada eksperte, kui ta peab seda vajalikuks. Kokkusobivuse hindamine tehakse 3 kuu jooksul alates kavandatud õigusakti ingliskeelse versiooni kättesaamisest või pikema ajavahemiku jooksul, kui Euroopa Komisjon ja Ukraina on nii kokku leppinud. Kui Euroopa Komisjon ei ole kõnealuse ajavahemiku jooksul vastanud, võib Ukraina kavandatud õigusakti jõustada. Kui vastust nimetatud ajavahemiku jooksul ei esitata, ei tähenda see, et Euroopa Komisjon peab kavandatud õigusakti ELi õigustikuga kokkusobivaks. </w:t>
      </w:r>
    </w:p>
    <w:p>
      <w:pPr>
        <w:pStyle w:val="ListParagraph"/>
        <w:ind w:left="360"/>
        <w:jc w:val="both"/>
        <w:rPr>
          <w:rFonts w:ascii="Times New Roman" w:hAnsi="Times New Roman" w:cs="Times New Roman"/>
          <w:noProof/>
          <w:sz w:val="24"/>
          <w:szCs w:val="24"/>
        </w:rPr>
      </w:pPr>
    </w:p>
    <w:p>
      <w:pPr>
        <w:pStyle w:val="ListParagraph"/>
        <w:numPr>
          <w:ilvl w:val="0"/>
          <w:numId w:val="11"/>
        </w:numPr>
        <w:ind w:left="360"/>
        <w:jc w:val="both"/>
        <w:rPr>
          <w:rFonts w:ascii="Times New Roman" w:hAnsi="Times New Roman" w:cs="Times New Roman"/>
          <w:noProof/>
          <w:sz w:val="24"/>
          <w:szCs w:val="24"/>
        </w:rPr>
      </w:pPr>
      <w:r>
        <w:rPr>
          <w:rFonts w:ascii="Times New Roman" w:hAnsi="Times New Roman"/>
          <w:noProof/>
          <w:sz w:val="24"/>
        </w:rPr>
        <w:t xml:space="preserve">Ukraina esitab Euroopa Komisjonile kõigi XXVII-2 lisas loetletud ELi õigusaktidele lähendatavate valdkondade õigusaktide lõpliku versiooni või nende õigusaktide lõpliku versiooni, millega muudetakse lähendatud siseriiklikke õigusakte samades valdkondades. </w:t>
      </w:r>
    </w:p>
    <w:p>
      <w:pPr>
        <w:pStyle w:val="ListParagraph"/>
        <w:ind w:left="360"/>
        <w:jc w:val="both"/>
        <w:rPr>
          <w:rFonts w:ascii="Times New Roman" w:hAnsi="Times New Roman" w:cs="Times New Roman"/>
          <w:noProof/>
          <w:sz w:val="24"/>
          <w:szCs w:val="24"/>
        </w:rPr>
      </w:pPr>
    </w:p>
    <w:p>
      <w:pPr>
        <w:pStyle w:val="ListParagraph"/>
        <w:numPr>
          <w:ilvl w:val="0"/>
          <w:numId w:val="11"/>
        </w:numPr>
        <w:ind w:left="360"/>
        <w:jc w:val="both"/>
        <w:rPr>
          <w:rFonts w:ascii="Times New Roman" w:hAnsi="Times New Roman" w:cs="Times New Roman"/>
          <w:noProof/>
          <w:sz w:val="24"/>
          <w:szCs w:val="24"/>
        </w:rPr>
      </w:pPr>
      <w:r>
        <w:rPr>
          <w:rFonts w:ascii="Times New Roman" w:hAnsi="Times New Roman"/>
          <w:noProof/>
          <w:sz w:val="24"/>
        </w:rPr>
        <w:t xml:space="preserve">Ukraina valitsus võib juhtida Euroopa Komisjoni tähelepanu teistele käesoleva lepinguga hõlmatud energeetikasektori õigusaktidele või seadusandlikele ettepanekutele, et küsida mittesiduvat arvamust õigusakti kokkusobivuse kohta XXVII-2 lisas loetletud ELi õigusaktidega. </w:t>
      </w:r>
    </w:p>
    <w:p>
      <w:pPr>
        <w:pStyle w:val="ListParagraph"/>
        <w:ind w:left="360"/>
        <w:jc w:val="both"/>
        <w:rPr>
          <w:rFonts w:ascii="Times New Roman" w:hAnsi="Times New Roman" w:cs="Times New Roman"/>
          <w:noProof/>
          <w:sz w:val="24"/>
          <w:szCs w:val="24"/>
        </w:rPr>
      </w:pPr>
    </w:p>
    <w:p>
      <w:pPr>
        <w:pStyle w:val="ListParagraph"/>
        <w:numPr>
          <w:ilvl w:val="0"/>
          <w:numId w:val="11"/>
        </w:numPr>
        <w:ind w:left="360"/>
        <w:jc w:val="both"/>
        <w:rPr>
          <w:rFonts w:ascii="Times New Roman" w:hAnsi="Times New Roman" w:cs="Times New Roman"/>
          <w:noProof/>
          <w:sz w:val="24"/>
          <w:szCs w:val="24"/>
        </w:rPr>
      </w:pPr>
      <w:r>
        <w:rPr>
          <w:rFonts w:ascii="Times New Roman" w:hAnsi="Times New Roman"/>
          <w:noProof/>
          <w:sz w:val="24"/>
        </w:rPr>
        <w:t xml:space="preserve">Lepinguosalised vahetavad vastavalt käesolevas lisas sätestatule teavet assotsieerimiskomitee sekretäride kaudu. </w:t>
      </w:r>
    </w:p>
    <w:p>
      <w:pPr>
        <w:rPr>
          <w:rFonts w:ascii="Times New Roman" w:hAnsi="Times New Roman" w:cs="Times New Roman"/>
          <w:noProof/>
          <w:sz w:val="24"/>
          <w:szCs w:val="24"/>
        </w:rPr>
      </w:pPr>
      <w:r>
        <w:rPr>
          <w:noProof/>
        </w:rPr>
        <w:br w:type="page"/>
      </w:r>
    </w:p>
    <w:p>
      <w:pPr>
        <w:jc w:val="both"/>
        <w:rPr>
          <w:rFonts w:ascii="Times New Roman" w:hAnsi="Times New Roman" w:cs="Times New Roman"/>
          <w:i/>
          <w:noProof/>
          <w:sz w:val="24"/>
          <w:szCs w:val="24"/>
        </w:rPr>
      </w:pPr>
      <w:r>
        <w:rPr>
          <w:rFonts w:ascii="Times New Roman" w:hAnsi="Times New Roman"/>
          <w:i/>
          <w:noProof/>
          <w:sz w:val="24"/>
        </w:rPr>
        <w:t>Aru andmine assotsieerimisnõukogule</w:t>
      </w:r>
    </w:p>
    <w:p>
      <w:pPr>
        <w:pStyle w:val="ListParagraph"/>
        <w:numPr>
          <w:ilvl w:val="0"/>
          <w:numId w:val="11"/>
        </w:numPr>
        <w:ind w:left="360"/>
        <w:jc w:val="both"/>
        <w:rPr>
          <w:rFonts w:ascii="Times New Roman" w:hAnsi="Times New Roman" w:cs="Times New Roman"/>
          <w:noProof/>
          <w:sz w:val="24"/>
          <w:szCs w:val="24"/>
        </w:rPr>
      </w:pPr>
      <w:r>
        <w:rPr>
          <w:rFonts w:ascii="Times New Roman" w:hAnsi="Times New Roman"/>
          <w:noProof/>
          <w:sz w:val="24"/>
        </w:rPr>
        <w:t xml:space="preserve">Euroopa Komisjon teavitab assotsieerimisnõukogu enne selle aastakoosolekut kõigist käesoleva lisa raames Ukraina küsitud ja Ukrainale esitatud arvamustest, mis käsitlevad Ukraina siseriiklike õigusaktide kokkusobivust ELi õigustikuga. </w:t>
      </w:r>
    </w:p>
    <w:p>
      <w:pPr>
        <w:pStyle w:val="ListParagraph"/>
        <w:ind w:left="360"/>
        <w:jc w:val="both"/>
        <w:rPr>
          <w:rFonts w:ascii="Times New Roman" w:hAnsi="Times New Roman" w:cs="Times New Roman"/>
          <w:noProof/>
          <w:sz w:val="24"/>
          <w:szCs w:val="24"/>
        </w:rPr>
      </w:pPr>
    </w:p>
    <w:p>
      <w:pPr>
        <w:pStyle w:val="ListParagraph"/>
        <w:numPr>
          <w:ilvl w:val="0"/>
          <w:numId w:val="11"/>
        </w:numPr>
        <w:ind w:left="360"/>
        <w:jc w:val="both"/>
        <w:rPr>
          <w:rFonts w:ascii="Times New Roman" w:hAnsi="Times New Roman" w:cs="Times New Roman"/>
          <w:noProof/>
          <w:sz w:val="24"/>
          <w:szCs w:val="24"/>
        </w:rPr>
      </w:pPr>
      <w:r>
        <w:rPr>
          <w:rFonts w:ascii="Times New Roman" w:hAnsi="Times New Roman"/>
          <w:noProof/>
          <w:sz w:val="24"/>
        </w:rPr>
        <w:t xml:space="preserve">Ukraina esitab assotsieerimisnõukogule kolm kuud enne selle aastakoosolekut kirjalikult aruande XXVII-2 lisas loetletud ELi õigusaktide alusel energeetikasektori reformi rakendades tehtud edusammude kohta. Aruandes käsitletakse üksikasjalikult seda, kuidas on Ukraina võtnud oma vastuvõetud õigusaktides arvesse Euroopa Komisjoni esitatud arvamusi ja soovitusi, ning esitatakse teave vastuvõetud õigusaktide tõhusa kohaldamise kohta. </w:t>
      </w:r>
    </w:p>
    <w:p>
      <w:pPr>
        <w:pStyle w:val="ListParagraph"/>
        <w:ind w:left="360"/>
        <w:jc w:val="both"/>
        <w:rPr>
          <w:rFonts w:ascii="Times New Roman" w:hAnsi="Times New Roman" w:cs="Times New Roman"/>
          <w:noProof/>
          <w:sz w:val="24"/>
          <w:szCs w:val="24"/>
        </w:rPr>
      </w:pPr>
    </w:p>
    <w:p>
      <w:pPr>
        <w:pStyle w:val="ListParagraph"/>
        <w:numPr>
          <w:ilvl w:val="0"/>
          <w:numId w:val="11"/>
        </w:numPr>
        <w:ind w:left="360"/>
        <w:jc w:val="both"/>
        <w:rPr>
          <w:rFonts w:ascii="Times New Roman" w:hAnsi="Times New Roman" w:cs="Times New Roman"/>
          <w:noProof/>
          <w:sz w:val="24"/>
          <w:szCs w:val="24"/>
        </w:rPr>
      </w:pPr>
      <w:r>
        <w:rPr>
          <w:rFonts w:ascii="Times New Roman" w:hAnsi="Times New Roman"/>
          <w:noProof/>
          <w:sz w:val="24"/>
        </w:rPr>
        <w:t>Järelevalvetoimingute tulemused esitatakse arutamiseks kõigile käesoleva lepingu alusel moodustatud asjaomastele asutustele, sealhulgas artikli 475 lõikes 4 osutatud soovituste vastuvõtmise eesmärgil.</w:t>
      </w:r>
    </w:p>
    <w:p>
      <w:pPr>
        <w:pStyle w:val="ListParagraph"/>
        <w:ind w:left="360"/>
        <w:jc w:val="both"/>
        <w:rPr>
          <w:rFonts w:ascii="Times New Roman" w:hAnsi="Times New Roman" w:cs="Times New Roman"/>
          <w:noProof/>
          <w:sz w:val="24"/>
          <w:szCs w:val="24"/>
        </w:rPr>
      </w:pPr>
    </w:p>
    <w:p>
      <w:pPr>
        <w:pStyle w:val="ListParagraph"/>
        <w:jc w:val="both"/>
        <w:rPr>
          <w:rFonts w:ascii="Times New Roman" w:hAnsi="Times New Roman" w:cs="Times New Roman"/>
          <w:noProof/>
          <w:sz w:val="24"/>
          <w:szCs w:val="24"/>
        </w:rPr>
      </w:pPr>
    </w:p>
    <w:p>
      <w:pPr>
        <w:rPr>
          <w:rFonts w:ascii="Times New Roman" w:hAnsi="Times New Roman" w:cs="Times New Roman"/>
          <w:noProof/>
          <w:sz w:val="24"/>
          <w:szCs w:val="24"/>
        </w:rPr>
      </w:pPr>
      <w:r>
        <w:rPr>
          <w:noProof/>
        </w:rPr>
        <w:br w:type="page"/>
      </w:r>
    </w:p>
    <w:p>
      <w:pPr>
        <w:jc w:val="center"/>
        <w:rPr>
          <w:rFonts w:ascii="Times New Roman" w:hAnsi="Times New Roman" w:cs="Times New Roman"/>
          <w:caps/>
          <w:noProof/>
          <w:sz w:val="24"/>
          <w:szCs w:val="24"/>
        </w:rPr>
      </w:pPr>
      <w:r>
        <w:rPr>
          <w:rFonts w:ascii="Times New Roman" w:hAnsi="Times New Roman"/>
          <w:caps/>
          <w:noProof/>
          <w:sz w:val="24"/>
        </w:rPr>
        <w:t>XXVII-2 lisa</w:t>
      </w:r>
    </w:p>
    <w:p>
      <w:pPr>
        <w:jc w:val="center"/>
        <w:rPr>
          <w:rFonts w:ascii="Times New Roman" w:hAnsi="Times New Roman" w:cs="Times New Roman"/>
          <w:caps/>
          <w:noProof/>
          <w:sz w:val="24"/>
          <w:szCs w:val="24"/>
        </w:rPr>
      </w:pPr>
      <w:r>
        <w:rPr>
          <w:rFonts w:ascii="Times New Roman" w:hAnsi="Times New Roman"/>
          <w:caps/>
          <w:noProof/>
          <w:sz w:val="24"/>
        </w:rPr>
        <w:t>Ukraina energeetikasektori õigusaktide lähendamise kohustus</w:t>
      </w:r>
    </w:p>
    <w:p>
      <w:pPr>
        <w:jc w:val="center"/>
        <w:rPr>
          <w:rFonts w:ascii="Times New Roman" w:hAnsi="Times New Roman" w:cs="Times New Roman"/>
          <w:caps/>
          <w:noProof/>
          <w:sz w:val="24"/>
          <w:szCs w:val="24"/>
        </w:rPr>
      </w:pPr>
    </w:p>
    <w:p>
      <w:pPr>
        <w:rPr>
          <w:rFonts w:ascii="Times New Roman" w:hAnsi="Times New Roman" w:cs="Times New Roman"/>
          <w:noProof/>
          <w:sz w:val="24"/>
          <w:szCs w:val="24"/>
        </w:rPr>
      </w:pPr>
      <w:r>
        <w:rPr>
          <w:rFonts w:ascii="Times New Roman" w:hAnsi="Times New Roman"/>
          <w:noProof/>
          <w:sz w:val="24"/>
        </w:rPr>
        <w:t>Ukraina kohustub vastavalt allpool esitatud ajakavale järk-järgult ühtlustama oma õigusaktid järgmiste ELi õigusaktidega:</w:t>
      </w:r>
    </w:p>
    <w:p>
      <w:pPr>
        <w:rPr>
          <w:rFonts w:ascii="Times New Roman" w:hAnsi="Times New Roman" w:cs="Times New Roman"/>
          <w:b/>
          <w:noProof/>
          <w:sz w:val="24"/>
          <w:szCs w:val="24"/>
        </w:rPr>
      </w:pPr>
      <w:r>
        <w:rPr>
          <w:rFonts w:ascii="Times New Roman" w:hAnsi="Times New Roman"/>
          <w:b/>
          <w:noProof/>
          <w:sz w:val="24"/>
        </w:rPr>
        <w:t>1. ELi õigustik, mida Ukraina kohustub rakendama energiaühenduse asutamislepingu raames. Käesoleva lisa suhtes kehtivad asutamislepingus kokku lepitud tähtajad.</w:t>
      </w:r>
    </w:p>
    <w:tbl>
      <w:tblPr>
        <w:tblStyle w:val="TableGrid"/>
        <w:tblW w:w="0" w:type="auto"/>
        <w:tbl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insideH w:val="dashSmallGap" w:sz="4" w:space="0" w:color="D9D9D9" w:themeColor="background1" w:themeShade="D9"/>
          <w:insideV w:val="dashSmallGap" w:sz="4" w:space="0" w:color="D9D9D9" w:themeColor="background1" w:themeShade="D9"/>
        </w:tblBorders>
        <w:tblLook w:val="04A0" w:firstRow="1" w:lastRow="0" w:firstColumn="1" w:lastColumn="0" w:noHBand="0" w:noVBand="1"/>
      </w:tblPr>
      <w:tblGrid>
        <w:gridCol w:w="9288"/>
      </w:tblGrid>
      <w:tr>
        <w:tc>
          <w:tcPr>
            <w:tcW w:w="9288" w:type="dxa"/>
          </w:tcPr>
          <w:p>
            <w:pPr>
              <w:rPr>
                <w:rFonts w:ascii="Times New Roman" w:hAnsi="Times New Roman" w:cs="Times New Roman"/>
                <w:b/>
                <w:noProof/>
                <w:sz w:val="24"/>
                <w:szCs w:val="24"/>
              </w:rPr>
            </w:pPr>
            <w:r>
              <w:rPr>
                <w:rFonts w:ascii="Times New Roman" w:hAnsi="Times New Roman"/>
                <w:b/>
                <w:noProof/>
                <w:sz w:val="24"/>
              </w:rPr>
              <w:t>Elektrienergia</w:t>
            </w:r>
          </w:p>
          <w:p>
            <w:pPr>
              <w:rPr>
                <w:rFonts w:ascii="Times New Roman" w:hAnsi="Times New Roman" w:cs="Times New Roman"/>
                <w:b/>
                <w:noProof/>
                <w:sz w:val="24"/>
                <w:szCs w:val="24"/>
              </w:rPr>
            </w:pPr>
          </w:p>
        </w:tc>
      </w:tr>
      <w:tr>
        <w:trPr>
          <w:trHeight w:val="877"/>
        </w:trP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Euroopa Parlamendi ja nõukogu 13. juuli 2009. aasta direktiiv 2009/72/EÜ, mis käsitleb elektrienergia siseturu ühiseeskirju ning millega tunnistatakse kehtetuks direktiiv 2003/54/EÜ</w:t>
            </w:r>
          </w:p>
        </w:tc>
      </w:tr>
      <w:tr>
        <w:trPr>
          <w:trHeight w:val="889"/>
        </w:trP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Euroopa Parlamendi ja nõukogu 13. juuli 2009. aasta määrus (EÜ) nr 714/2009 võrkudele juurdepääsu tingimuste kohta piiriüleses elektrikaubanduses ning millega tunnistatakse kehtetuks määrus (EÜ) nr 1228/2003</w:t>
            </w:r>
          </w:p>
        </w:tc>
      </w:tr>
      <w:tr>
        <w:trPr>
          <w:trHeight w:val="649"/>
        </w:trP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Euroopa Parlamendi ja nõukogu 25. oktoobri 2011. aasta määrus (EL) nr 1227/2011 energia hulgimüügituru terviklikkuse ja läbipaistvuse kohta</w:t>
            </w:r>
          </w:p>
        </w:tc>
      </w:tr>
      <w:tr>
        <w:trPr>
          <w:trHeight w:val="649"/>
        </w:trP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Euroopa Parlamendi ja nõukogu 18. jaanuari 2006. aasta direktiiv 2005/89/EÜ elektrienergia varustuskindluse ja infrastruktuuriinvesteeringute kohta</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Komisjoni 23. septembri 2010. aasta määrus (EL) nr 838/2010, millega kehtestatakse põhivõrguettevõtjate omavahelise hüvitamise mehhanismi ja ülekandetasusid käsitleva ühise regulatiivse lähenemisviisi suunised</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Komisjoni 14. juuni 2013. aasta määrus (EL) nr 543/2013, mis käsitleb elektriturgudel andmete esitamist ja avaldamist ning millega muudetakse Euroopa Parlamendi ja nõukogu määruse (EÜ) nr 714/2009 I lisa</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 xml:space="preserve">Komisjoni 17. augusti 2016. aasta määrus (EL) 2016/1388, millega kehtestatakse võrgueeskiri tarbimise ühendamise kohta </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Komisjoni 14. aprilli 2016. aasta määrus (EL) 2016/631, millega kehtestatakse võrgueeskiri elektritootmisüksuste võrku ühendamise nõuete kohta</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Komisjoni 26. augusti 2016. aasta määrus (EL) 2016/1447, millega kehtestatakse võrgueeskiri alalisvooluülekandesüsteemide ja alalisvooluühendusega energiapargimoodulite võrguühenduse nõuete kohta</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Euroopa Parlamendi ja nõukogu 26. oktoobri 2016. aasta määrus (EL) 2016/1952, mis käsitleb Euroopa maagaasi- ja elektrihinnastatistikat ning millega tunnistatakse kehtetuks direktiiv 2008/92/EÜ</w:t>
            </w:r>
          </w:p>
          <w:p>
            <w:pPr>
              <w:spacing w:after="240"/>
              <w:jc w:val="both"/>
              <w:rPr>
                <w:rFonts w:ascii="Times New Roman" w:hAnsi="Times New Roman" w:cs="Times New Roman"/>
                <w:noProof/>
                <w:sz w:val="24"/>
                <w:szCs w:val="24"/>
              </w:rPr>
            </w:pPr>
          </w:p>
        </w:tc>
      </w:tr>
      <w:tr>
        <w:tc>
          <w:tcPr>
            <w:tcW w:w="9288" w:type="dxa"/>
          </w:tcPr>
          <w:p>
            <w:pPr>
              <w:spacing w:after="240"/>
              <w:jc w:val="both"/>
              <w:rPr>
                <w:rFonts w:ascii="Times New Roman" w:hAnsi="Times New Roman" w:cs="Times New Roman"/>
                <w:b/>
                <w:noProof/>
                <w:sz w:val="24"/>
                <w:szCs w:val="24"/>
              </w:rPr>
            </w:pPr>
            <w:r>
              <w:rPr>
                <w:rFonts w:ascii="Times New Roman" w:hAnsi="Times New Roman"/>
                <w:b/>
                <w:noProof/>
                <w:sz w:val="24"/>
              </w:rPr>
              <w:t>Gaas</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Euroopa Parlamendi ja nõukogu 13. juuli 2009. aasta direktiiv 2009/73/EÜ, mis käsitleb maagaasi siseturu ühiseeskirju ning millega tunnistatakse kehtetuks direktiiv 2003/55/EÜ</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Euroopa Parlamendi ja nõukogu 13. juuli 2009. aasta määrus (EÜ) nr 715/2009 maagaasi ülekandevõrkudele juurdepääsu tingimuste kohta ning millega tunnistatakse kehtetuks määrus (EÜ) nr 1775/2005</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Nõukogu 26. aprilli 2004. aasta direktiiv 2004/67/EÜ, mis käsitleb maagaasitarnete kindluse tagamise meetmeid</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Komisjoni 30. aprilli 2015. aasta määrus (EL) nr 2015/703, millega kehtestatakse võrgueeskiri koostalitlus- ja andmevahetuseeskirjade kohta</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Komisjoni 16. märtsi 2017. aasta määrus (EL) 2017/459, millega kehtestatakse gaasi ülekandesüsteemide võimsuse jaotamise mehhanismide võrgueeskiri ja tunnistatakse kehtetuks määrus (EL) nr 984/2013</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Komisjoni 16. märtsi 2017. aasta määrus (EL) 2017/460, millega kehtestatakse võrgueeskiri gaasi ülekandetasude ühtlustatud ülesehituse põhimõtete kohta</w:t>
            </w:r>
          </w:p>
        </w:tc>
      </w:tr>
      <w:tr>
        <w:tc>
          <w:tcPr>
            <w:tcW w:w="9288" w:type="dxa"/>
          </w:tcPr>
          <w:p>
            <w:pPr>
              <w:spacing w:after="240"/>
              <w:jc w:val="both"/>
              <w:rPr>
                <w:rFonts w:ascii="Times New Roman" w:hAnsi="Times New Roman" w:cs="Times New Roman"/>
                <w:b/>
                <w:noProof/>
                <w:sz w:val="24"/>
                <w:szCs w:val="24"/>
              </w:rPr>
            </w:pPr>
            <w:r>
              <w:rPr>
                <w:rFonts w:ascii="Times New Roman" w:hAnsi="Times New Roman"/>
                <w:b/>
                <w:noProof/>
                <w:sz w:val="24"/>
              </w:rPr>
              <w:t>Taastuvad energiaallikad</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Euroopa Parlamendi ja nõukogu 23. aprilli 2009. aasta direktiiv 2009/28/EÜ taastuvatest energiaallikatest toodetud energia kasutamise edendamise kohta ning direktiivide 2001/77/EÜ ja 2003/30/EÜ muutmise ja hilisema kehtetuks tunnistamise kohta</w:t>
            </w:r>
          </w:p>
        </w:tc>
      </w:tr>
      <w:tr>
        <w:tc>
          <w:tcPr>
            <w:tcW w:w="9288" w:type="dxa"/>
          </w:tcPr>
          <w:p>
            <w:pPr>
              <w:spacing w:after="240"/>
              <w:jc w:val="both"/>
              <w:rPr>
                <w:rFonts w:ascii="Times New Roman" w:hAnsi="Times New Roman" w:cs="Times New Roman"/>
                <w:b/>
                <w:noProof/>
                <w:sz w:val="24"/>
                <w:szCs w:val="24"/>
              </w:rPr>
            </w:pPr>
            <w:r>
              <w:rPr>
                <w:rFonts w:ascii="Times New Roman" w:hAnsi="Times New Roman"/>
                <w:b/>
                <w:noProof/>
                <w:sz w:val="24"/>
              </w:rPr>
              <w:t>Nafta</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Nõukogu 14. septembri 2009. aasta direktiiv 2009/119/EÜ, millega kohustatakse liikmesriike säilitama toornafta ja/või naftatoodete miinimumvarusid</w:t>
            </w:r>
          </w:p>
        </w:tc>
      </w:tr>
      <w:tr>
        <w:tc>
          <w:tcPr>
            <w:tcW w:w="9288" w:type="dxa"/>
          </w:tcPr>
          <w:p>
            <w:pPr>
              <w:spacing w:after="240"/>
              <w:jc w:val="both"/>
              <w:rPr>
                <w:rFonts w:ascii="Times New Roman" w:hAnsi="Times New Roman" w:cs="Times New Roman"/>
                <w:b/>
                <w:noProof/>
                <w:sz w:val="24"/>
                <w:szCs w:val="24"/>
              </w:rPr>
            </w:pPr>
            <w:r>
              <w:rPr>
                <w:rFonts w:ascii="Times New Roman" w:hAnsi="Times New Roman"/>
                <w:b/>
                <w:noProof/>
                <w:sz w:val="24"/>
              </w:rPr>
              <w:t>Energiataristu</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 xml:space="preserve">Euroopa Parlamendi ja nõukogu 17. aprilli 2013. aasta määrus (EL) nr 347/2013 üleeuroopalise energiataristu suuniste kohta ja millega tunnistatakse kehtetuks otsus nr 1364/2006/EÜ ning muudetakse määrusi (EÜ) nr 713/2009, (EÜ) nr 714/2009 ja (EÜ) nr 715/2009 </w:t>
            </w:r>
          </w:p>
        </w:tc>
      </w:tr>
      <w:tr>
        <w:tc>
          <w:tcPr>
            <w:tcW w:w="9288" w:type="dxa"/>
          </w:tcPr>
          <w:p>
            <w:pPr>
              <w:spacing w:after="240"/>
              <w:jc w:val="both"/>
              <w:rPr>
                <w:rFonts w:ascii="Times New Roman" w:hAnsi="Times New Roman" w:cs="Times New Roman"/>
                <w:b/>
                <w:noProof/>
                <w:sz w:val="24"/>
                <w:szCs w:val="24"/>
              </w:rPr>
            </w:pPr>
            <w:r>
              <w:rPr>
                <w:rFonts w:ascii="Times New Roman" w:hAnsi="Times New Roman"/>
                <w:b/>
                <w:noProof/>
                <w:sz w:val="24"/>
              </w:rPr>
              <w:t>Energiatõhusus</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Euroopa Parlamendi ja nõukogu 25. oktoobri 2012. aasta direktiiv 2012/27/EL, milles käsitletakse energiatõhusust, muudetakse direktiive 2009/125/EÜ ja 2010/30/EL ning tunnistatakse kehtetuks direktiivid 2004/8/EÜ ja 2006/32/EÜ</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 xml:space="preserve">Euroopa Parlamendi ja nõukogu 19. mai 2010. aasta direktiiv 2010/31/EL hoonete energiatõhususe kohta </w:t>
            </w:r>
          </w:p>
        </w:tc>
      </w:tr>
    </w:tbl>
    <w:p>
      <w:pPr>
        <w:rPr>
          <w:noProof/>
        </w:rPr>
      </w:pPr>
      <w:r>
        <w:rPr>
          <w:noProof/>
        </w:rPr>
        <w:br w:type="page"/>
      </w:r>
    </w:p>
    <w:tbl>
      <w:tblPr>
        <w:tblStyle w:val="TableGrid"/>
        <w:tblW w:w="0" w:type="auto"/>
        <w:tbl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insideH w:val="dashSmallGap" w:sz="4" w:space="0" w:color="D9D9D9" w:themeColor="background1" w:themeShade="D9"/>
          <w:insideV w:val="dashSmallGap" w:sz="4" w:space="0" w:color="D9D9D9" w:themeColor="background1" w:themeShade="D9"/>
        </w:tblBorders>
        <w:tblLook w:val="04A0" w:firstRow="1" w:lastRow="0" w:firstColumn="1" w:lastColumn="0" w:noHBand="0" w:noVBand="1"/>
      </w:tblPr>
      <w:tblGrid>
        <w:gridCol w:w="9288"/>
      </w:tblGrid>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 xml:space="preserve">Euroopa Parlamendi ja nõukogu 4. juuli 2017. aasta määrus (EL) 2017/1369, millega kehtestatakse energiamärgistuse raamistik ning tunnistatakse kehtetuks direktiiv 2010/30/EL </w:t>
            </w:r>
          </w:p>
          <w:p>
            <w:pPr>
              <w:spacing w:after="240"/>
              <w:jc w:val="both"/>
              <w:rPr>
                <w:rFonts w:ascii="Times New Roman" w:hAnsi="Times New Roman" w:cs="Times New Roman"/>
                <w:noProof/>
                <w:sz w:val="24"/>
                <w:szCs w:val="24"/>
              </w:rPr>
            </w:pPr>
            <w:r>
              <w:rPr>
                <w:rFonts w:ascii="Times New Roman" w:hAnsi="Times New Roman"/>
                <w:noProof/>
                <w:sz w:val="24"/>
              </w:rPr>
              <w:t>Rakendusmäärused:</w:t>
            </w: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Komisjoni 5. märtsi 2014. aasta delegeeritud määrus (EL) nr 518/2014, millega muudetakse komisjoni delegeeritud määruseid (EL) nr 1059/2010, (EL) nr 1060/2010, (EL) nr 1061/2010, (EL) nr 1062/2010, (EL) nr 626/2011, (EL) nr 392/2012, (EL) nr 874/2012, (EL) nr 665/2013, (EL) nr 811/2013 ja (EL) nr 812/2013 seoses energiamõjuga toodete märgistamisega internetis</w:t>
            </w:r>
          </w:p>
          <w:p>
            <w:pPr>
              <w:pStyle w:val="ListParagraph"/>
              <w:spacing w:after="240"/>
              <w:jc w:val="both"/>
              <w:rPr>
                <w:rFonts w:ascii="Times New Roman" w:hAnsi="Times New Roman" w:cs="Times New Roman"/>
                <w:noProof/>
                <w:sz w:val="24"/>
                <w:szCs w:val="24"/>
              </w:rPr>
            </w:pPr>
          </w:p>
          <w:p>
            <w:pPr>
              <w:pStyle w:val="ListParagraph"/>
              <w:numPr>
                <w:ilvl w:val="0"/>
                <w:numId w:val="18"/>
              </w:numPr>
              <w:spacing w:after="240"/>
              <w:jc w:val="both"/>
              <w:rPr>
                <w:rFonts w:ascii="Times New Roman" w:hAnsi="Times New Roman" w:cs="Times New Roman"/>
                <w:noProof/>
                <w:sz w:val="24"/>
                <w:szCs w:val="24"/>
              </w:rPr>
            </w:pPr>
            <w:r>
              <w:rPr>
                <w:rFonts w:ascii="Times New Roman" w:hAnsi="Times New Roman"/>
                <w:noProof/>
                <w:sz w:val="24"/>
              </w:rPr>
              <w:t>Komisjoni 30. novembri 2016. aasta delegeeritud määrus (EL) 2017/254, millega muudetakse delegeeritud määruseid (EL) nr 1059/2010, (EL) nr 1060/2010, (EL) nr 1061/2010, (EL) nr 1062/2010, (EL) nr 626/2011, (EL) nr 392/2012, (EL) nr 874/2012, (EL) nr 665/2013, (EL) nr 811/2013, (EL) nr 812/2013, (EL) nr 65/2014, (EL) nr 1254/2014, (EL) 2015/1094, (EL) 2015/1186 ja (EL) 2015/1187 kontrollimisel lubatud hälvete kasutamise osas</w:t>
            </w:r>
          </w:p>
          <w:p>
            <w:pPr>
              <w:pStyle w:val="ListParagraph"/>
              <w:spacing w:after="240"/>
              <w:jc w:val="both"/>
              <w:rPr>
                <w:rFonts w:ascii="Times New Roman" w:hAnsi="Times New Roman" w:cs="Times New Roman"/>
                <w:noProof/>
                <w:sz w:val="24"/>
                <w:szCs w:val="24"/>
              </w:rPr>
            </w:pP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rPr>
              <w:t xml:space="preserve">Komisjoni 28. septembri 2010. aasta delegeeritud määrus (EL) nr 1060/2010, millega täiendatakse Euroopa Parlamendi ja nõukogu direktiivi 2010/30/EL seoses kodumajapidamises kasutatavate külmutusseadmete energiamärgistusega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1. oktoobri 2013. aasta delegeeritud määrus (EL) nr 65/2014, millega täiendatakse Euroopa Parlamendi ja nõukogu direktiivi 2010/30/EL seoses kodumajapidamises kasutatavate küpsetusahjude ja pliidikubude energiamärgistusega</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rPr>
              <w:t xml:space="preserve">Komisjoni 4. mai 2011. aasta delegeeritud määrus (EL) nr 626/2011, millega täiendatakse Euroopa Parlamendi ja nõukogu direktiivi 2010/30/EL seoses kliimaseadmete energiamärgistusega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rPr>
              <w:t xml:space="preserve">Komisjoni 12. juuli 2012. aasta delegeeritud määrus (EL) nr 874/2012, millega täiendatakse Euroopa Parlamendi ja nõukogu direktiivi 2010/30/EL seoses elektrilampide ja valgustite energiamärgistusega </w:t>
            </w:r>
          </w:p>
          <w:p>
            <w:pPr>
              <w:pStyle w:val="ListParagraph"/>
              <w:numPr>
                <w:ilvl w:val="0"/>
                <w:numId w:val="18"/>
              </w:numPr>
              <w:spacing w:after="240"/>
              <w:contextualSpacing w:val="0"/>
              <w:jc w:val="both"/>
              <w:rPr>
                <w:rFonts w:ascii="Times New Roman" w:hAnsi="Times New Roman" w:cs="Times New Roman"/>
                <w:noProof/>
                <w:sz w:val="24"/>
                <w:szCs w:val="24"/>
              </w:rPr>
            </w:pPr>
            <w:r>
              <w:rPr>
                <w:rFonts w:ascii="Times New Roman" w:hAnsi="Times New Roman"/>
                <w:noProof/>
                <w:sz w:val="24"/>
              </w:rPr>
              <w:t xml:space="preserve">Komisjoni 28. septembri 2010. aasta delegeeritud määrus (EL) nr 1059/2010, millega täiendatakse Euroopa Parlamendi ja nõukogu direktiivi 2010/30/EL seoses kodumajapidamises kasutatavate nõudepesumasinate energiamärgistusega </w:t>
            </w:r>
          </w:p>
          <w:p>
            <w:pPr>
              <w:pStyle w:val="ListParagraph"/>
              <w:numPr>
                <w:ilvl w:val="0"/>
                <w:numId w:val="4"/>
              </w:numPr>
              <w:spacing w:after="240"/>
              <w:ind w:left="720"/>
              <w:contextualSpacing w:val="0"/>
              <w:jc w:val="both"/>
              <w:rPr>
                <w:rFonts w:ascii="Times New Roman" w:hAnsi="Times New Roman" w:cs="Times New Roman"/>
                <w:noProof/>
                <w:sz w:val="24"/>
                <w:szCs w:val="24"/>
              </w:rPr>
            </w:pPr>
            <w:r>
              <w:rPr>
                <w:rFonts w:ascii="Times New Roman" w:hAnsi="Times New Roman"/>
                <w:noProof/>
                <w:sz w:val="24"/>
              </w:rPr>
              <w:t>Komisjoni 19. septembri 1996. aasta direktiiv 96/60/EÜ, millega rakendatakse nõukogu direktiivi 92/75/EMÜ kodumajapidamises kasutatavate pesumasin-kuivatite energiamärgistuse puhul</w:t>
            </w:r>
          </w:p>
          <w:p>
            <w:pPr>
              <w:pStyle w:val="ListParagraph"/>
              <w:numPr>
                <w:ilvl w:val="0"/>
                <w:numId w:val="4"/>
              </w:numPr>
              <w:spacing w:after="240"/>
              <w:ind w:left="720"/>
              <w:contextualSpacing w:val="0"/>
              <w:jc w:val="both"/>
              <w:rPr>
                <w:rStyle w:val="s1"/>
                <w:rFonts w:ascii="Times New Roman" w:hAnsi="Times New Roman" w:cs="Times New Roman"/>
                <w:noProof/>
                <w:sz w:val="24"/>
                <w:szCs w:val="24"/>
              </w:rPr>
            </w:pPr>
            <w:r>
              <w:rPr>
                <w:rStyle w:val="s1"/>
                <w:rFonts w:ascii="Times New Roman" w:hAnsi="Times New Roman"/>
                <w:noProof/>
                <w:sz w:val="24"/>
              </w:rPr>
              <w:t xml:space="preserve">Komisjoni 1. märtsi 2012. aasta delegeeritud määrus (EL) nr 392/2012, millega täiendatakse Euroopa Parlamendi ja nõukogu direktiivi 2010/30/EL seoses kodumajapidamises kasutatavate trummelkuivatite ökomärgistamisega </w:t>
            </w:r>
          </w:p>
          <w:p>
            <w:pPr>
              <w:pStyle w:val="ListParagraph"/>
              <w:numPr>
                <w:ilvl w:val="0"/>
                <w:numId w:val="4"/>
              </w:numPr>
              <w:spacing w:after="240"/>
              <w:ind w:left="720"/>
              <w:contextualSpacing w:val="0"/>
              <w:jc w:val="both"/>
              <w:rPr>
                <w:rFonts w:ascii="Times New Roman" w:hAnsi="Times New Roman" w:cs="Times New Roman"/>
                <w:noProof/>
                <w:sz w:val="24"/>
                <w:szCs w:val="24"/>
              </w:rPr>
            </w:pPr>
            <w:r>
              <w:rPr>
                <w:rFonts w:ascii="Times New Roman" w:hAnsi="Times New Roman"/>
                <w:noProof/>
                <w:sz w:val="24"/>
              </w:rPr>
              <w:t xml:space="preserve">Komisjoni 28. septembri 2010. aasta delegeeritud määrus (EL) nr 1061/2010, millega täiendatakse Euroopa Parlamendi ja nõukogu direktiivi 2010/30/EL seoses kodumajapidamises kasutatavate pesumasinate energiamärgistusega </w:t>
            </w:r>
          </w:p>
          <w:p>
            <w:pPr>
              <w:pStyle w:val="ListParagraph"/>
              <w:spacing w:after="240"/>
              <w:contextualSpacing w:val="0"/>
              <w:jc w:val="both"/>
              <w:rPr>
                <w:rFonts w:ascii="Times New Roman" w:hAnsi="Times New Roman" w:cs="Times New Roman"/>
                <w:noProof/>
                <w:sz w:val="24"/>
                <w:szCs w:val="24"/>
              </w:rPr>
            </w:pPr>
          </w:p>
          <w:p>
            <w:pPr>
              <w:pStyle w:val="ListParagraph"/>
              <w:numPr>
                <w:ilvl w:val="0"/>
                <w:numId w:val="4"/>
              </w:numPr>
              <w:spacing w:after="240"/>
              <w:ind w:left="720"/>
              <w:contextualSpacing w:val="0"/>
              <w:jc w:val="both"/>
              <w:rPr>
                <w:rFonts w:ascii="Times New Roman" w:hAnsi="Times New Roman" w:cs="Times New Roman"/>
                <w:noProof/>
                <w:sz w:val="24"/>
                <w:szCs w:val="24"/>
              </w:rPr>
            </w:pPr>
            <w:r>
              <w:rPr>
                <w:rFonts w:ascii="Times New Roman" w:hAnsi="Times New Roman"/>
                <w:noProof/>
                <w:sz w:val="24"/>
              </w:rPr>
              <w:t>Komisjoni 3. mai 2013. aasta delegeeritud määrus (EL) nr 665/2013, millega täiendatakse Euroopa Parlamendi ja nõukogu direktiivi 2010/30/EL seoses tolmuimejate energiamärgistusega</w:t>
            </w:r>
          </w:p>
          <w:p>
            <w:pPr>
              <w:pStyle w:val="ListParagraph"/>
              <w:numPr>
                <w:ilvl w:val="0"/>
                <w:numId w:val="4"/>
              </w:numPr>
              <w:spacing w:after="240"/>
              <w:ind w:left="720"/>
              <w:contextualSpacing w:val="0"/>
              <w:jc w:val="both"/>
              <w:rPr>
                <w:rFonts w:ascii="Times New Roman" w:hAnsi="Times New Roman" w:cs="Times New Roman"/>
                <w:noProof/>
                <w:sz w:val="24"/>
                <w:szCs w:val="24"/>
              </w:rPr>
            </w:pPr>
            <w:r>
              <w:rPr>
                <w:rFonts w:ascii="Times New Roman" w:hAnsi="Times New Roman"/>
                <w:noProof/>
                <w:sz w:val="24"/>
              </w:rPr>
              <w:t>Komisjoni 18. veebruari 2013. aasta delegeeritud määrus (EL) nr 812/2013, millega täiendatakse Euroopa Parlamendi ja nõukogu direktiivi 2010/30/EL seoses veesoojendite, kuumaveesalvestite ning veesalvestiga päikesekütteseadmete energiamärgistusega</w:t>
            </w:r>
          </w:p>
          <w:p>
            <w:pPr>
              <w:pStyle w:val="ListParagraph"/>
              <w:numPr>
                <w:ilvl w:val="0"/>
                <w:numId w:val="4"/>
              </w:numPr>
              <w:spacing w:after="240"/>
              <w:ind w:left="720"/>
              <w:contextualSpacing w:val="0"/>
              <w:jc w:val="both"/>
              <w:rPr>
                <w:rFonts w:ascii="Times New Roman" w:hAnsi="Times New Roman" w:cs="Times New Roman"/>
                <w:noProof/>
                <w:sz w:val="24"/>
                <w:szCs w:val="24"/>
              </w:rPr>
            </w:pPr>
            <w:r>
              <w:rPr>
                <w:rFonts w:ascii="Times New Roman" w:hAnsi="Times New Roman"/>
                <w:noProof/>
                <w:sz w:val="24"/>
              </w:rPr>
              <w:t>Komisjoni 18. veebruari 2013. aasta delegeeritud määrus (EL) nr 811/2013, millega täiendatakse Euroopa Parlamendi ja nõukogu direktiivi 2010/30/EL seoses kütteseadmete, veesoojendite-kütteseadmete, kütteseadmest, temperatuuriregulaatorist ja päikeseenergiaseadmest koosnevate komplektide ning veesoojendist-kütteseadmest, temperatuuriregulaatorist ja päikeseenergiaseadmest koosnevate komplektide energiamärgistusega</w:t>
            </w:r>
          </w:p>
          <w:p>
            <w:pPr>
              <w:pStyle w:val="ListParagraph"/>
              <w:numPr>
                <w:ilvl w:val="0"/>
                <w:numId w:val="6"/>
              </w:numPr>
              <w:spacing w:after="240"/>
              <w:ind w:left="720"/>
              <w:contextualSpacing w:val="0"/>
              <w:jc w:val="both"/>
              <w:rPr>
                <w:rFonts w:ascii="Times New Roman" w:hAnsi="Times New Roman" w:cs="Times New Roman"/>
                <w:noProof/>
                <w:sz w:val="24"/>
                <w:szCs w:val="24"/>
              </w:rPr>
            </w:pPr>
            <w:r>
              <w:rPr>
                <w:rFonts w:ascii="Times New Roman" w:hAnsi="Times New Roman"/>
                <w:noProof/>
                <w:sz w:val="24"/>
              </w:rPr>
              <w:t>Komisjoni 28. septembri 2010. aasta delegeeritud määrus (EL) nr 1062/2010, millega täiendatakse Euroopa Parlamendi ja nõukogu direktiivi 2010/30/EL seoses televiisorite energiamärgistusega</w:t>
            </w:r>
          </w:p>
          <w:p>
            <w:pPr>
              <w:pStyle w:val="ListParagraph"/>
              <w:numPr>
                <w:ilvl w:val="0"/>
                <w:numId w:val="6"/>
              </w:numPr>
              <w:spacing w:after="240"/>
              <w:ind w:left="720"/>
              <w:contextualSpacing w:val="0"/>
              <w:jc w:val="both"/>
              <w:rPr>
                <w:rFonts w:ascii="Times New Roman" w:hAnsi="Times New Roman" w:cs="Times New Roman"/>
                <w:noProof/>
                <w:sz w:val="24"/>
                <w:szCs w:val="24"/>
              </w:rPr>
            </w:pPr>
            <w:r>
              <w:rPr>
                <w:rFonts w:ascii="Times New Roman" w:hAnsi="Times New Roman"/>
                <w:noProof/>
                <w:sz w:val="24"/>
              </w:rPr>
              <w:t>Komisjoni 11. juuli 2014. aasta delegeeritud määrus (EL) nr 1254/2014, millega täiendatakse Euroopa Parlamendi ja nõukogu direktiivi 2010/30/EL seoses elamuventilatsiooniseadmete energiamärgistusega</w:t>
            </w:r>
          </w:p>
          <w:p>
            <w:pPr>
              <w:pStyle w:val="ListParagraph"/>
              <w:numPr>
                <w:ilvl w:val="0"/>
                <w:numId w:val="6"/>
              </w:numPr>
              <w:spacing w:after="240"/>
              <w:ind w:left="720"/>
              <w:contextualSpacing w:val="0"/>
              <w:jc w:val="both"/>
              <w:rPr>
                <w:rFonts w:ascii="Times New Roman" w:hAnsi="Times New Roman" w:cs="Times New Roman"/>
                <w:noProof/>
                <w:sz w:val="24"/>
                <w:szCs w:val="24"/>
              </w:rPr>
            </w:pPr>
            <w:r>
              <w:rPr>
                <w:rFonts w:ascii="Times New Roman" w:hAnsi="Times New Roman"/>
                <w:noProof/>
                <w:sz w:val="24"/>
              </w:rPr>
              <w:t>Komisjoni 5. mai 2015. aasta delegeeritud määrus (EL) 2015/1094, millega täiendatakse Euroopa Parlamendi ja nõukogu direktiivi 2010/30/EL seoses tööstuslike külmsäilitusseadmete energiamärgistusega</w:t>
            </w:r>
          </w:p>
          <w:p>
            <w:pPr>
              <w:pStyle w:val="ListParagraph"/>
              <w:numPr>
                <w:ilvl w:val="0"/>
                <w:numId w:val="6"/>
              </w:numPr>
              <w:spacing w:after="240"/>
              <w:ind w:left="720"/>
              <w:contextualSpacing w:val="0"/>
              <w:jc w:val="both"/>
              <w:rPr>
                <w:rFonts w:ascii="Times New Roman" w:hAnsi="Times New Roman" w:cs="Times New Roman"/>
                <w:noProof/>
                <w:sz w:val="24"/>
                <w:szCs w:val="24"/>
              </w:rPr>
            </w:pPr>
            <w:r>
              <w:rPr>
                <w:rFonts w:ascii="Times New Roman" w:hAnsi="Times New Roman"/>
                <w:noProof/>
                <w:sz w:val="24"/>
              </w:rPr>
              <w:t>Komisjoni 24. aprilli 2015. aasta delegeeritud määrus (EL) 2015/1186, millega täiendatakse Euroopa Parlamendi ja nõukogu direktiivi 2010/30/EL seoses kohtkütteseadmete energiamärgistusega</w:t>
            </w:r>
          </w:p>
          <w:p>
            <w:pPr>
              <w:pStyle w:val="ListParagraph"/>
              <w:numPr>
                <w:ilvl w:val="0"/>
                <w:numId w:val="6"/>
              </w:numPr>
              <w:spacing w:after="240"/>
              <w:ind w:left="720"/>
              <w:contextualSpacing w:val="0"/>
              <w:jc w:val="both"/>
              <w:rPr>
                <w:rFonts w:ascii="Times New Roman" w:hAnsi="Times New Roman" w:cs="Times New Roman"/>
                <w:noProof/>
                <w:sz w:val="24"/>
                <w:szCs w:val="24"/>
              </w:rPr>
            </w:pPr>
            <w:r>
              <w:rPr>
                <w:rFonts w:ascii="Times New Roman" w:hAnsi="Times New Roman"/>
                <w:noProof/>
                <w:sz w:val="24"/>
              </w:rPr>
              <w:t>Komisjoni 27. aprilli 2015. aasta delegeeritud määrus (EL) 2015/1187, millega täiendatakse Euroopa Parlamendi ja nõukogu direktiivi 2010/30/EL seoses tahkekütusekatelde ning päikeseseadmete, temperatuuriregulaatorite ja lisakütteseadmetega tahkekütusekatelde energiamärgistusega</w:t>
            </w:r>
          </w:p>
        </w:tc>
      </w:tr>
      <w:tr>
        <w:tc>
          <w:tcPr>
            <w:tcW w:w="9288" w:type="dxa"/>
          </w:tcPr>
          <w:p>
            <w:pPr>
              <w:spacing w:after="240"/>
              <w:jc w:val="both"/>
              <w:rPr>
                <w:rFonts w:ascii="Times New Roman" w:hAnsi="Times New Roman" w:cs="Times New Roman"/>
                <w:b/>
                <w:noProof/>
                <w:sz w:val="24"/>
                <w:szCs w:val="24"/>
              </w:rPr>
            </w:pPr>
            <w:r>
              <w:rPr>
                <w:rFonts w:ascii="Times New Roman" w:hAnsi="Times New Roman"/>
                <w:b/>
                <w:noProof/>
                <w:sz w:val="24"/>
              </w:rPr>
              <w:t>2. ELi õigusaktid, mida Ukraina peab rakendama lisaks energiaühenduse asutamislepingu raames võetud kohustustele</w:t>
            </w:r>
          </w:p>
        </w:tc>
      </w:tr>
      <w:tr>
        <w:tc>
          <w:tcPr>
            <w:tcW w:w="9288" w:type="dxa"/>
          </w:tcPr>
          <w:tbl>
            <w:tblPr>
              <w:tblStyle w:val="TableGrid"/>
              <w:tblW w:w="0" w:type="auto"/>
              <w:tbl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insideH w:val="dashSmallGap" w:sz="4" w:space="0" w:color="D9D9D9" w:themeColor="background1" w:themeShade="D9"/>
                <w:insideV w:val="dashSmallGap" w:sz="4" w:space="0" w:color="D9D9D9" w:themeColor="background1" w:themeShade="D9"/>
              </w:tblBorders>
              <w:tblLook w:val="04A0" w:firstRow="1" w:lastRow="0" w:firstColumn="1" w:lastColumn="0" w:noHBand="0" w:noVBand="1"/>
            </w:tblPr>
            <w:tblGrid>
              <w:gridCol w:w="9062"/>
            </w:tblGrid>
            <w:tr>
              <w:trPr>
                <w:trHeight w:val="457"/>
              </w:trPr>
              <w:tc>
                <w:tcPr>
                  <w:tcW w:w="9288" w:type="dxa"/>
                </w:tcPr>
                <w:p>
                  <w:pPr>
                    <w:jc w:val="both"/>
                    <w:rPr>
                      <w:rFonts w:ascii="Times New Roman" w:hAnsi="Times New Roman" w:cs="Times New Roman"/>
                      <w:b/>
                      <w:noProof/>
                      <w:sz w:val="24"/>
                      <w:szCs w:val="24"/>
                    </w:rPr>
                  </w:pPr>
                  <w:r>
                    <w:rPr>
                      <w:rFonts w:ascii="Times New Roman" w:hAnsi="Times New Roman"/>
                      <w:b/>
                      <w:noProof/>
                      <w:sz w:val="24"/>
                    </w:rPr>
                    <w:t>Gaas</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Komisjoni 26. märtsi 2014. aasta määrus (EL) nr 312/2014, millega kehtestatakse ülekandesüsteemides gaasivarustuse tasakaalustamise võrgueeskiri</w:t>
                  </w:r>
                </w:p>
                <w:p>
                  <w:pPr>
                    <w:spacing w:after="240"/>
                    <w:jc w:val="both"/>
                    <w:rPr>
                      <w:rFonts w:ascii="Times New Roman" w:hAnsi="Times New Roman" w:cs="Times New Roman"/>
                      <w:noProof/>
                      <w:sz w:val="24"/>
                      <w:szCs w:val="24"/>
                    </w:rPr>
                  </w:pPr>
                  <w:r>
                    <w:rPr>
                      <w:rFonts w:ascii="Times New Roman" w:hAnsi="Times New Roman"/>
                      <w:noProof/>
                      <w:sz w:val="24"/>
                    </w:rPr>
                    <w:t>Ajakava: määruse sätted tuleb rakendada 31. detsembriks 2019.</w:t>
                  </w:r>
                </w:p>
              </w:tc>
            </w:tr>
          </w:tbl>
          <w:p>
            <w:pPr>
              <w:spacing w:after="240"/>
              <w:jc w:val="both"/>
              <w:rPr>
                <w:rFonts w:ascii="Times New Roman" w:hAnsi="Times New Roman" w:cs="Times New Roman"/>
                <w:b/>
                <w:noProof/>
                <w:sz w:val="24"/>
                <w:szCs w:val="24"/>
              </w:rPr>
            </w:pPr>
            <w:r>
              <w:rPr>
                <w:rFonts w:ascii="Times New Roman" w:hAnsi="Times New Roman"/>
                <w:b/>
                <w:noProof/>
                <w:sz w:val="24"/>
              </w:rPr>
              <w:t>Süsivesinike geoloogiline luure ja uurimine</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Euroopa Parlamendi ja nõukogu 30. mai 1994. aasta direktiiv 94/22/EÜ süsivesinike geoloogilise luure, uurimise ja tootmise lubade andmis- ning kasutamistingimuste kohta</w:t>
            </w:r>
          </w:p>
          <w:p>
            <w:pPr>
              <w:spacing w:after="240"/>
              <w:jc w:val="both"/>
              <w:rPr>
                <w:rFonts w:ascii="Times New Roman" w:hAnsi="Times New Roman" w:cs="Times New Roman"/>
                <w:noProof/>
                <w:sz w:val="24"/>
                <w:szCs w:val="24"/>
              </w:rPr>
            </w:pPr>
            <w:r>
              <w:rPr>
                <w:rFonts w:ascii="Times New Roman" w:hAnsi="Times New Roman"/>
                <w:noProof/>
                <w:sz w:val="24"/>
              </w:rPr>
              <w:t>Ajakava: direktiivi sätted tuleb rakendada kolme aasta jooksul alates käesoleva lepingu jõustumisest, võttes arvesse kaubandusalaste energeetikasätete artikleid (12 ja 13), mida on käsitletud IV jaotise („Kaubandus ja kaubandusküsimused”) 11. peatükis („Kaubandusvaldkonna energiaküsimused”).</w:t>
            </w:r>
          </w:p>
        </w:tc>
      </w:tr>
      <w:tr>
        <w:tc>
          <w:tcPr>
            <w:tcW w:w="9288" w:type="dxa"/>
          </w:tcPr>
          <w:p>
            <w:pPr>
              <w:spacing w:after="240"/>
              <w:rPr>
                <w:rFonts w:ascii="Times New Roman" w:hAnsi="Times New Roman" w:cs="Times New Roman"/>
                <w:b/>
                <w:noProof/>
                <w:sz w:val="24"/>
                <w:szCs w:val="24"/>
              </w:rPr>
            </w:pPr>
            <w:r>
              <w:rPr>
                <w:rFonts w:ascii="Times New Roman" w:hAnsi="Times New Roman"/>
                <w:b/>
                <w:noProof/>
                <w:sz w:val="24"/>
              </w:rPr>
              <w:t xml:space="preserve">Energiatõhusus – hoonete energiatõhusus </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Komisjoni 16. jaanuari 2012. aasta delegeeritud määrus (EL) nr 244/2012, millega täiendatakse Euroopa Parlamendi ja nõukogu direktiivi 2010/31/EL hoonete energiatõhususe kohta ja kehtestatakse võrdlusmeetodite raamistik hoonete ja ehitusdetailide energiatõhususe miinimumnõuete kuluoptimaalse taseme arvutamiseks</w:t>
            </w:r>
          </w:p>
          <w:p>
            <w:pPr>
              <w:spacing w:after="240"/>
              <w:rPr>
                <w:rFonts w:ascii="Times New Roman" w:hAnsi="Times New Roman" w:cs="Times New Roman"/>
                <w:noProof/>
                <w:sz w:val="24"/>
                <w:szCs w:val="24"/>
              </w:rPr>
            </w:pPr>
            <w:r>
              <w:rPr>
                <w:rFonts w:ascii="Times New Roman" w:hAnsi="Times New Roman"/>
                <w:noProof/>
                <w:sz w:val="24"/>
              </w:rPr>
              <w:t>Ajakava: määruse sätted tuleb rakendada 30. juuniks 2019.</w:t>
            </w:r>
          </w:p>
        </w:tc>
      </w:tr>
      <w:tr>
        <w:tc>
          <w:tcPr>
            <w:tcW w:w="9288" w:type="dxa"/>
          </w:tcPr>
          <w:p>
            <w:pPr>
              <w:spacing w:after="240"/>
              <w:jc w:val="both"/>
              <w:rPr>
                <w:rFonts w:ascii="Times New Roman" w:hAnsi="Times New Roman" w:cs="Times New Roman"/>
                <w:b/>
                <w:noProof/>
                <w:sz w:val="24"/>
                <w:szCs w:val="24"/>
                <w:highlight w:val="yellow"/>
              </w:rPr>
            </w:pPr>
            <w:r>
              <w:rPr>
                <w:rFonts w:ascii="Times New Roman" w:hAnsi="Times New Roman"/>
                <w:b/>
                <w:noProof/>
                <w:sz w:val="24"/>
              </w:rPr>
              <w:t>Energiatõhusus - ökodisain</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Euroopa Parlamendi ja nõukogu 21. oktoobri 2009. aasta direktiiv 2009/125/EÜ, mis käsitleb raamistiku kehtestamist energiamõjuga toodete ökodisaini nõuete sätestamiseks</w:t>
            </w:r>
          </w:p>
          <w:p>
            <w:pPr>
              <w:spacing w:after="240"/>
              <w:jc w:val="both"/>
              <w:rPr>
                <w:rFonts w:ascii="Times New Roman" w:hAnsi="Times New Roman" w:cs="Times New Roman"/>
                <w:noProof/>
                <w:sz w:val="24"/>
                <w:szCs w:val="24"/>
              </w:rPr>
            </w:pPr>
            <w:r>
              <w:rPr>
                <w:rFonts w:ascii="Times New Roman" w:hAnsi="Times New Roman"/>
                <w:noProof/>
                <w:sz w:val="24"/>
              </w:rPr>
              <w:t>Ajakava: direktiivi 2009/125/EÜ sätted tuleb rakendada kolme aasta jooksul alates käesoleva lepingu jõustumisest.</w:t>
            </w:r>
          </w:p>
          <w:p>
            <w:pPr>
              <w:spacing w:after="240"/>
              <w:jc w:val="both"/>
              <w:rPr>
                <w:rFonts w:ascii="Times New Roman" w:hAnsi="Times New Roman" w:cs="Times New Roman"/>
                <w:noProof/>
                <w:sz w:val="24"/>
                <w:szCs w:val="24"/>
              </w:rPr>
            </w:pPr>
            <w:r>
              <w:rPr>
                <w:rFonts w:ascii="Times New Roman" w:hAnsi="Times New Roman"/>
                <w:noProof/>
                <w:sz w:val="24"/>
              </w:rPr>
              <w:t>Rakendusmäärused:</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30. novembri 2016. aasta määrus (EL) 2016/2282, millega muudetakse määrusi (EÜ) nr 1275/2008, (EÜ) nr 107/2009, (EÜ) nr 278/2009, (EÜ) nr 640/2009, (EÜ) nr 641/2009, (EÜ) nr 642/2009, (EÜ) nr 643/2009, (EL) nr 1015/2010, (EL) nr 1016/2010, (EL) nr 327/2011, (EL) nr 206/2012, (EL) nr 547/2012, (EL) nr 932/2012, (EL) nr 617/2013, (EL) nr 666/2013, (EL) nr 813/2013, (EL) nr 814/2013, (EL) nr 66/2014, (EL) nr 548/2014, (EL) nr 1253/2014, (EL) 2015/1095, (EL) 2015/1185, (EL) 2015/1188, (EL) 2015/1189 ja (EL) 2016/2281 kontrollimisel kasutatavate lubatud hälvete osas</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30. novembri 2016. aasta määrus (EL) 2016/2281, millega rakendatakse Euroopa Parlamendi ja nõukogu direktiivi 2009/125/EÜ (mis käsitleb raamistiku kehtestamist energiamõjuga toodete ökodisaini nõuete sätestamiseks) seoses õhukütteseadmete, jahutusseadmete, kõrgel temperatuuril käitatavate protsessijahutite ja puhurkonvektorite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28. aprilli 2015. aasta määrus (EL) 2015/1189, millega rakendatakse Euroopa Parlamendi ja nõukogu direktiivi 2009/125/EÜ seoses tahkekütusekatelde ökodisaini nõuetega</w:t>
            </w:r>
          </w:p>
          <w:p>
            <w:pPr>
              <w:spacing w:after="240"/>
              <w:ind w:left="72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28. aprilli 2015. aasta määrus (EL) 2015/1188, millega rakendatakse Euroopa Parlamendi ja nõukogu direktiivi 2009/125/EÜ seoses kohtkütteseadmete ökodisaini nõuetega</w:t>
            </w:r>
          </w:p>
          <w:p>
            <w:pPr>
              <w:pStyle w:val="ListParagraph"/>
              <w:spacing w:after="240"/>
              <w:contextualSpacing w:val="0"/>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rPr>
                <w:rFonts w:ascii="Times New Roman" w:hAnsi="Times New Roman" w:cs="Times New Roman"/>
                <w:noProof/>
                <w:sz w:val="24"/>
                <w:szCs w:val="24"/>
              </w:rPr>
            </w:pPr>
            <w:r>
              <w:rPr>
                <w:rFonts w:ascii="Times New Roman" w:hAnsi="Times New Roman"/>
                <w:noProof/>
                <w:sz w:val="24"/>
              </w:rPr>
              <w:t xml:space="preserve">Komisjoni 24. aprilli 2015. aasta määrus (EL) 2015/1185, millega rakendatakse Euroopa Parlamendi ja nõukogu direktiivi 2009/125/EÜ seoses tahkekütuse-kohtkütteseadmete ökodisaini nõuetega </w:t>
            </w:r>
          </w:p>
          <w:p>
            <w:pPr>
              <w:pStyle w:val="ListParagraph"/>
              <w:spacing w:after="240"/>
              <w:contextualSpacing w:val="0"/>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rPr>
                <w:rFonts w:ascii="Times New Roman" w:hAnsi="Times New Roman" w:cs="Times New Roman"/>
                <w:noProof/>
                <w:sz w:val="24"/>
                <w:szCs w:val="24"/>
              </w:rPr>
            </w:pPr>
            <w:r>
              <w:rPr>
                <w:rFonts w:ascii="Times New Roman" w:hAnsi="Times New Roman"/>
                <w:noProof/>
                <w:sz w:val="24"/>
              </w:rPr>
              <w:t>Komisjoni 5. mai 2015. aasta määrus (EL) 2015/1095, millega rakendatakse Euroopa Parlamendi ja nõukogu direktiivi 2009/125/EÜ seoses tööstuslike külmsäilitusseadmete, kiirjahutuskappide, kondensatsiooniseadmete ja protsessijahutite ökodisaini nõuetega</w:t>
            </w:r>
          </w:p>
          <w:p>
            <w:pPr>
              <w:pStyle w:val="ListParagraph"/>
              <w:numPr>
                <w:ilvl w:val="0"/>
                <w:numId w:val="10"/>
              </w:numPr>
              <w:spacing w:after="240"/>
              <w:contextualSpacing w:val="0"/>
              <w:rPr>
                <w:rFonts w:ascii="Times New Roman" w:hAnsi="Times New Roman" w:cs="Times New Roman"/>
                <w:noProof/>
                <w:sz w:val="24"/>
                <w:szCs w:val="24"/>
              </w:rPr>
            </w:pPr>
            <w:r>
              <w:rPr>
                <w:rFonts w:ascii="Times New Roman" w:hAnsi="Times New Roman"/>
                <w:noProof/>
                <w:sz w:val="24"/>
              </w:rPr>
              <w:t>Komisjoni 7. juuli 2014. aasta määrus (EL) nr 1253/2014, millega rakendatakse Euroopa Parlamendi ja nõukogu direktiiv 2009/125/EÜ ventilatsiooniseadmete ökodisaininõuete osas</w:t>
            </w:r>
          </w:p>
          <w:p>
            <w:pPr>
              <w:pStyle w:val="ListParagraph"/>
              <w:spacing w:after="240"/>
              <w:contextualSpacing w:val="0"/>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rPr>
                <w:rFonts w:ascii="Times New Roman" w:hAnsi="Times New Roman" w:cs="Times New Roman"/>
                <w:noProof/>
                <w:sz w:val="24"/>
                <w:szCs w:val="24"/>
              </w:rPr>
            </w:pPr>
            <w:r>
              <w:rPr>
                <w:rFonts w:ascii="Times New Roman" w:hAnsi="Times New Roman"/>
                <w:noProof/>
                <w:sz w:val="24"/>
              </w:rPr>
              <w:t>Komisjoni 21. mai 2014. aasta määrus (EL) nr 548/2014 Euroopa Parlamendi ja nõukogu direktiivi 2009/125/EÜ rakendamise kohta seoses väikeste, keskmiste ja suurte jõutrafodega</w:t>
            </w:r>
          </w:p>
          <w:p>
            <w:pPr>
              <w:pStyle w:val="ListParagraph"/>
              <w:spacing w:after="240"/>
              <w:contextualSpacing w:val="0"/>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rPr>
                <w:rFonts w:ascii="Times New Roman" w:hAnsi="Times New Roman" w:cs="Times New Roman"/>
                <w:noProof/>
                <w:sz w:val="24"/>
                <w:szCs w:val="24"/>
              </w:rPr>
            </w:pPr>
            <w:r>
              <w:rPr>
                <w:rFonts w:ascii="Times New Roman" w:hAnsi="Times New Roman"/>
                <w:noProof/>
                <w:sz w:val="24"/>
              </w:rPr>
              <w:t>Komisjoni 14. jaanuari 2014. aasta määrus (EL) nr 66/2014, millega rakendatakse Euroopa Parlamendi ja nõukogu direktiiv 2009/125/EÜ seoses kodumajapidamises kasutatavate küpsetusahjude, keeduplaatide ja pliidikubude ökodisaini nõuetega</w:t>
            </w:r>
          </w:p>
          <w:p>
            <w:pPr>
              <w:pStyle w:val="ListParagraph"/>
              <w:spacing w:after="240"/>
              <w:contextualSpacing w:val="0"/>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rPr>
                <w:rFonts w:ascii="Times New Roman" w:hAnsi="Times New Roman" w:cs="Times New Roman"/>
                <w:noProof/>
                <w:sz w:val="24"/>
                <w:szCs w:val="24"/>
              </w:rPr>
            </w:pPr>
            <w:r>
              <w:rPr>
                <w:rFonts w:ascii="Times New Roman" w:hAnsi="Times New Roman"/>
                <w:noProof/>
                <w:sz w:val="24"/>
              </w:rPr>
              <w:t>Komisjoni 2. augusti 2013. aasta määrus (EL) nr 813/2013, millega rakendatakse Euroopa Parlamendi ja nõukogu direktiivi 2009/125/EÜ seoses kütteseadmete ja veesoojendite-kütteseadmete ökodisaini nõuetega</w:t>
            </w:r>
          </w:p>
          <w:p>
            <w:pPr>
              <w:pStyle w:val="ListParagraph"/>
              <w:spacing w:after="240"/>
              <w:contextualSpacing w:val="0"/>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rPr>
                <w:rFonts w:ascii="Times New Roman" w:hAnsi="Times New Roman" w:cs="Times New Roman"/>
                <w:noProof/>
                <w:sz w:val="24"/>
                <w:szCs w:val="24"/>
              </w:rPr>
            </w:pPr>
            <w:r>
              <w:rPr>
                <w:rFonts w:ascii="Times New Roman" w:hAnsi="Times New Roman"/>
                <w:noProof/>
                <w:sz w:val="24"/>
              </w:rPr>
              <w:t>Komisjoni 2. augusti 2013. aasta määrus (EL) nr 814/2013, millega rakendatakse Euroopa Parlamendi ja nõukogu direktiivi 2009/125/EÜ seoses veesoojendite ja kuumaveesalvestite ökodisaini nõuetega</w:t>
            </w:r>
          </w:p>
          <w:p>
            <w:pPr>
              <w:pStyle w:val="ListParagraph"/>
              <w:spacing w:after="240"/>
              <w:contextualSpacing w:val="0"/>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8. juuli 2013. aasta määrus (EL) nr 666/2013, millega rakendatakse Euroopa Parlamendi ja nõukogu direktiiv 2009/125/EÜ seoses tolmuimejate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26. juuni 2013. aasta määrus (EL) nr 617/2013, millega rakendatakse Euroopa Parlamendi ja nõukogu direktiivi 2009/125/EÜ arvutite ja serverarvutite ökodisaini nõuete osas</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3. oktoobri 2012. aasta määrus (EL) nr 932/2012, millega rakendatakse Euroopa Parlamendi ja nõukogu direktiiv 2009/125/EÜ seoses kodumajapidamises kasutatavate trummelkuivatite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11. juuli 2012. aasta määrus (EL) nr 622/2012, millega muudetakse määrust (EÜ) nr 641/2009 seoses eraldiseisvate ja toodetesse integreeritud võllitihendita ringluspumpade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22. juuli 2009. aasta määrus (EÜ) nr 641/2009, millega rakendatakse Euroopa Parlamendi ja nõukogu direktiiv 2005/32/EÜ seoses eraldiseisvate ja toodetesse paigaldatud sukel-ringluspumpade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25. juuni 2012. aasta määrus (EL) nr 547/2012, millega rakendatakse Euroopa Parlamendi ja nõukogu direktiiv 2009/125/EÜ seoses veepumpade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6. märtsi 2012. aasta määrus (EL) nr 206/2012, millega rakendatakse Euroopa Parlamendi ja nõukogu direktiivi 2009/125/EÜ seoses kodumajapidamises kasutatavate kliimaseadmete ja olmeventilaatorite ökodisaini nõuetega</w:t>
            </w:r>
          </w:p>
          <w:p>
            <w:pPr>
              <w:spacing w:after="240"/>
              <w:ind w:left="72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30. märtsi 2011. aasta määrus (EL) nr 327/2011, millega rakendatakse Euroopa Parlamendi ja nõukogu direktiiv 2009/125/EÜ seoses ökodisaini nõuetega ventilaatoritele mootori elektrilise sisendvõimsusega 125 W kuni 500 kW</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10. novembri 2010. aasta määrus (EL) nr 1016/2010, millega rakendatakse Euroopa Parlamendi ja nõukogu direktiiv 2009/125/EÜ seoses kodumajapidamises kasutatavate nõudepesumasinate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10. novembri 2010. aasta määrus (EL) nr 1015/2010, millega rakendatakse Euroopa Parlamendi ja nõukogu direktiivi 2009/125/EÜ seoses kodumajapidamises kasutatavate pesumasinate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25. augusti 2015. aasta määrus (EL) 2015/1428, millega muudetakse komisjoni määrust (EÜ) nr 244/2009 kodumajapidamises kasutatavate suunamata valgusvooga lampide ökodisaini nõuete osas ning komisjoni määrust (EÜ) nr 245/2009 sisseehitatud liiteseadiseta luminofoorlampide, suure valgustugevusega lahenduslampide ning nende lampidega koos kasutatavate liiteseadiste ja valgustite ökodisainile esitatavate nõuete suhtes ning millega tunnistatakse kehtetuks Euroopa Parlamendi ja nõukogu direktiiv 2000/55/EÜ ning komisjoni määrust (EL) nr 1194/2012 seoses suundvalguslampide, leedlampide ja nende lisaseadmete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18. märtsi 2009. aasta määrus (EÜ) nr 245/2009, millega rakendatakse Euroopa Parlamendi ja nõukogu direktiiv 2005/32/EÜ sisseehitatud liiteseadiseta luminofoorlampide, suure valgustugevusega lahenduslampide ning nende lampidega koos kasutatavate liiteseadiste ja valgustite ökodisainile esitatavate nõuete suhtes ning millega tunnistatakse kehtetuks Euroopa Parlamendi ja nõukogu direktiiv 2000/55/EÜ</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sätted tuleb rakendada kolme aasta jooksul pärast käesoleva lepingu jõustumist.</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12. detsembri 2012. aasta määrus (EL) nr 1194/2012, millega rakendatakse Euroopa Parlamendi ja nõukogu direktiiv 2009/125/EÜ seoses suundvalguslampide, leedlampide ja nende lisaseadmete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18. märtsi 2009. aasta määrus (EÜ) nr 244/2009, millega rakendatakse Euroopa Parlamendi ja nõukogu direktiiv 2005/32/EÜ seoses kodumajapidamises kasutatavate suunamata valgusvooga lampide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sätted tuleb rakendada kolme aasta jooksul pärast käesoleva lepingu jõustumist.</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18. septembri 2009. aasta määrus (EÜ) nr 859/2009, millega muudetakse määrust (EÜ) nr 244/2009 kodumajapidamises kasutatavate suunamata valgusvooga lampide ultraviolettkiirgusega seotud nõuete osas</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21. aprilli 2010. aasta määrus (EL) nr 347/2010, millega muudetakse komisjoni määrust (EÜ) nr 245/2009 seoses sisseehitatud liiteseadiseta luminofoorlampide, suure valgustugevusega lahenduslampide ning nende lampidega koos kasutatavate liiteseadiste ja valgustite ökodisainile esitatavate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22. juuli 2009. aasta määrus (EÜ) nr 643/2009, millega rakendatakse Euroopa Parlamendi ja nõukogu direktiiv 2005/32/EÜ seoses kodumajapidamises kasutatavate külmutusseadmete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22. juuli 2009. aasta määrus (EÜ) nr 642/2009, millega rakendatakse Euroopa Parlamendi ja nõukogu direktiiv 2005/32/EÜ seoses televiisorite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6. jaanuari 2014. aasta määrus (EL) nr 4/2014, millega muudetakse komisjoni määrust (EÜ) nr 640/2009, millega rakendatakse Euroopa Parlamendi ja nõukogu direktiivi 2005/32/EÜ seoses elektrimootorite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22. juuli 2009. aasta määruse (EÜ) nr 640/2009 (millega rakendatakse Euroopa Parlamendi ja nõukogu direktiiv 2005/32/EÜ seoses elektrimootorite ökodisaini nõuetega) parandus ELT L 46, 19.2.2011</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6. aprilli 2009. aasta määrus (EÜ) nr 278/2009, millega rakendatakse Euroopa Parlamendi ja nõukogu direktiivi 2005/32/EÜ seoses ökodisaininõuetega välistoiteallikate elektrienergiatarbimisele koormamata seisundis ja tööseisundi keskmisele kasutegurile</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sätted tuleb rakendada kolme aasta jooksul pärast käesoleva lepingu jõustumist.</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4. veebruari 2009. aasta määrus (EÜ) nr 107/2009, millega rakendatakse Euroopa Parlamendi ja nõukogu direktiivi 2005/32/EÜ seoses lihtsate digimuundurite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sätted tuleb rakendada kolme aasta jooksul pärast käesoleva lepingu jõustumist.</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17. detsembri 2008. aasta määrus (EÜ) nr 1275/2008, millega rakendatakse Euroopa Parlamendi ja nõukogu direktiivi 2005/32/EÜ seoses ökodisaini nõuetega elektriliste ja elektrooniliste kodumasinate ja kontoriseadmete elektrienergia tarbimisele ooteseisundis ja väljalülitatud seisundis</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sätted tuleb rakendada kolme aasta jooksul pärast käesoleva lepingu jõustumist.</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Nõukogu 21. mai 1992. aasta direktiiv 92/42/EMÜ uute vedel- ja gaaskütusega köetavate kuumaveekatelde efektiivsusnõuete kohta, muudetud</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direktiivi sätted tuleb rakendada kolme aasta jooksul pärast käesoleva lepingu jõustumist.</w:t>
            </w:r>
          </w:p>
          <w:p>
            <w:pPr>
              <w:pStyle w:val="ListParagraph"/>
              <w:numPr>
                <w:ilvl w:val="0"/>
                <w:numId w:val="10"/>
              </w:numPr>
              <w:spacing w:after="240"/>
              <w:contextualSpacing w:val="0"/>
              <w:jc w:val="both"/>
              <w:rPr>
                <w:rFonts w:ascii="Times New Roman" w:hAnsi="Times New Roman" w:cs="Times New Roman"/>
                <w:noProof/>
                <w:sz w:val="24"/>
                <w:szCs w:val="24"/>
              </w:rPr>
            </w:pPr>
            <w:r>
              <w:rPr>
                <w:rFonts w:ascii="Times New Roman" w:hAnsi="Times New Roman"/>
                <w:noProof/>
                <w:sz w:val="24"/>
              </w:rPr>
              <w:t>Komisjoni 22. juuli 2009. aasta määrus (EÜ) nr 643/2009, millega rakendatakse Euroopa Parlamendi ja nõukogu direktiiv 2005/32/EÜ seoses kodumajapidamises kasutatavate külmutusseadmete ökodisaini nõuetega</w:t>
            </w:r>
          </w:p>
          <w:p>
            <w:pPr>
              <w:pStyle w:val="ListParagraph"/>
              <w:spacing w:after="240"/>
              <w:contextualSpacing w:val="0"/>
              <w:jc w:val="both"/>
              <w:rPr>
                <w:rFonts w:ascii="Times New Roman" w:hAnsi="Times New Roman" w:cs="Times New Roman"/>
                <w:noProof/>
                <w:sz w:val="24"/>
                <w:szCs w:val="24"/>
              </w:rPr>
            </w:pPr>
            <w:r>
              <w:rPr>
                <w:rFonts w:ascii="Times New Roman" w:hAnsi="Times New Roman"/>
                <w:noProof/>
                <w:sz w:val="24"/>
              </w:rPr>
              <w:t>Ajakava: määruse sätete rakendamise tähtaeg tuleb määrata kindlaks 31. detsembriks 2021.</w:t>
            </w:r>
          </w:p>
        </w:tc>
      </w:tr>
      <w:tr>
        <w:tc>
          <w:tcPr>
            <w:tcW w:w="9288" w:type="dxa"/>
          </w:tcPr>
          <w:p>
            <w:pPr>
              <w:spacing w:after="240"/>
              <w:rPr>
                <w:rFonts w:ascii="Times New Roman" w:hAnsi="Times New Roman" w:cs="Times New Roman"/>
                <w:b/>
                <w:noProof/>
                <w:sz w:val="24"/>
                <w:szCs w:val="24"/>
              </w:rPr>
            </w:pPr>
            <w:r>
              <w:rPr>
                <w:rFonts w:ascii="Times New Roman" w:hAnsi="Times New Roman"/>
                <w:b/>
                <w:noProof/>
                <w:sz w:val="24"/>
              </w:rPr>
              <w:t>Tuumaenergia</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 xml:space="preserve">Nõukogu 5. detsembri 2013. aasta direktiiv 2013/59/Euratom, millega kehtestatakse põhilised ohutusnormid kaitseks ioniseeriva kiirgusega kiiritamisest tulenevate ohtude eest ning tunnistatakse kehtetuks direktiivid 89/618/Euratom, 90/641/Euratom, 96/29/Euratom, 97/43/Euratom ning 2003/122/Euratom </w:t>
            </w:r>
          </w:p>
          <w:p>
            <w:pPr>
              <w:spacing w:after="240"/>
              <w:jc w:val="both"/>
              <w:rPr>
                <w:rFonts w:ascii="Times New Roman" w:hAnsi="Times New Roman" w:cs="Times New Roman"/>
                <w:noProof/>
                <w:sz w:val="24"/>
                <w:szCs w:val="24"/>
              </w:rPr>
            </w:pPr>
            <w:r>
              <w:rPr>
                <w:rFonts w:ascii="Times New Roman" w:hAnsi="Times New Roman"/>
                <w:noProof/>
                <w:sz w:val="24"/>
              </w:rPr>
              <w:t>Ajakava: direktiivi sätted tuleb rakendada nelja aasta jooksul pärast käesoleva lepingu jõustumist.</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Nõukogu 20. novembri 2006. aasta direktiiv 2006/117/Euratom radioaktiivsete jäätmete ja kasutatud tuumkütuse vedude järelevalve ja kontrolli kohta</w:t>
            </w:r>
          </w:p>
          <w:p>
            <w:pPr>
              <w:spacing w:after="240"/>
              <w:jc w:val="both"/>
              <w:rPr>
                <w:rFonts w:ascii="Times New Roman" w:hAnsi="Times New Roman" w:cs="Times New Roman"/>
                <w:noProof/>
                <w:sz w:val="24"/>
                <w:szCs w:val="24"/>
              </w:rPr>
            </w:pPr>
            <w:r>
              <w:rPr>
                <w:rFonts w:ascii="Times New Roman" w:hAnsi="Times New Roman"/>
                <w:noProof/>
                <w:sz w:val="24"/>
              </w:rPr>
              <w:t>Ajakava: direktiivi sätted tuleb rakendada kahe aasta jooksul pärast käesoleva lepingu jõustumist.</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Nõukogu 25. juuni 2009. aasta direktiiv 2009/71/Euratom, millega luuakse tuumaseadmete tuumaohutust käsitlev ühenduse raamistik</w:t>
            </w:r>
          </w:p>
          <w:p>
            <w:pPr>
              <w:spacing w:after="240"/>
              <w:jc w:val="both"/>
              <w:rPr>
                <w:rFonts w:ascii="Times New Roman" w:hAnsi="Times New Roman" w:cs="Times New Roman"/>
                <w:noProof/>
                <w:sz w:val="24"/>
                <w:szCs w:val="24"/>
              </w:rPr>
            </w:pPr>
            <w:r>
              <w:rPr>
                <w:rFonts w:ascii="Times New Roman" w:hAnsi="Times New Roman"/>
                <w:noProof/>
                <w:sz w:val="24"/>
              </w:rPr>
              <w:t>Ajakava: direktiivi sätted tuleb rakendada kolme aasta jooksul pärast käesoleva lepingu jõustumist.</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Nõukogu 8. juuli 2014. aasta direktiiv 2014/87/Euratom, millega muudetakse direktiivi 2009/71/Euratom, millega luuakse tuumaseadmete tuumaohutust käsitlev ühenduse raamistik</w:t>
            </w:r>
          </w:p>
          <w:p>
            <w:pPr>
              <w:spacing w:after="240"/>
              <w:jc w:val="both"/>
              <w:rPr>
                <w:rFonts w:ascii="Times New Roman" w:hAnsi="Times New Roman" w:cs="Times New Roman"/>
                <w:noProof/>
                <w:sz w:val="24"/>
                <w:szCs w:val="24"/>
              </w:rPr>
            </w:pPr>
            <w:r>
              <w:rPr>
                <w:rFonts w:ascii="Times New Roman" w:hAnsi="Times New Roman"/>
                <w:noProof/>
                <w:sz w:val="24"/>
              </w:rPr>
              <w:t>Ajakava: direktiivi sätted tuleb rakendada kolme aasta jooksul pärast käesoleva lepingu jõustumist.</w:t>
            </w:r>
          </w:p>
        </w:tc>
      </w:tr>
      <w:tr>
        <w:tc>
          <w:tcPr>
            <w:tcW w:w="9288" w:type="dxa"/>
          </w:tcPr>
          <w:p>
            <w:pPr>
              <w:spacing w:after="240"/>
              <w:jc w:val="both"/>
              <w:rPr>
                <w:rFonts w:ascii="Times New Roman" w:hAnsi="Times New Roman" w:cs="Times New Roman"/>
                <w:noProof/>
                <w:sz w:val="24"/>
                <w:szCs w:val="24"/>
              </w:rPr>
            </w:pPr>
            <w:r>
              <w:rPr>
                <w:rFonts w:ascii="Times New Roman" w:hAnsi="Times New Roman"/>
                <w:noProof/>
                <w:sz w:val="24"/>
              </w:rPr>
              <w:t>Nõukogu 19. juuli 2011. aasta direktiiv 2011/70/Euratom, millega luuakse ühenduse raamistik kasutatud tuumakütuse ja radioaktiivsete jäätmete vastutustundlikuks ja ohutuks käitlemiseks</w:t>
            </w:r>
          </w:p>
          <w:p>
            <w:pPr>
              <w:spacing w:after="240"/>
              <w:jc w:val="both"/>
              <w:rPr>
                <w:rFonts w:ascii="Times New Roman" w:hAnsi="Times New Roman" w:cs="Times New Roman"/>
                <w:noProof/>
                <w:sz w:val="24"/>
                <w:szCs w:val="24"/>
              </w:rPr>
            </w:pPr>
            <w:r>
              <w:rPr>
                <w:rFonts w:ascii="Times New Roman" w:hAnsi="Times New Roman"/>
                <w:noProof/>
                <w:sz w:val="24"/>
              </w:rPr>
              <w:t>Ajakava: direktiivi sätted tuleb rakendada kolme aasta jooksul pärast käesoleva lepingu jõustumist.</w:t>
            </w:r>
          </w:p>
        </w:tc>
      </w:tr>
    </w:tbl>
    <w:p>
      <w:pPr>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4959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526"/>
    <w:multiLevelType w:val="hybridMultilevel"/>
    <w:tmpl w:val="4E989DE2"/>
    <w:lvl w:ilvl="0" w:tplc="E8DE39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B6EBA"/>
    <w:multiLevelType w:val="hybridMultilevel"/>
    <w:tmpl w:val="1C5E9744"/>
    <w:lvl w:ilvl="0" w:tplc="AECEC47A">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730995"/>
    <w:multiLevelType w:val="hybridMultilevel"/>
    <w:tmpl w:val="ACB2BA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FC4054"/>
    <w:multiLevelType w:val="hybridMultilevel"/>
    <w:tmpl w:val="CF3E1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D874F6"/>
    <w:multiLevelType w:val="hybridMultilevel"/>
    <w:tmpl w:val="97D43606"/>
    <w:lvl w:ilvl="0" w:tplc="E8DE39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15518B"/>
    <w:multiLevelType w:val="hybridMultilevel"/>
    <w:tmpl w:val="8708BB56"/>
    <w:lvl w:ilvl="0" w:tplc="FE4EBD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EB3788"/>
    <w:multiLevelType w:val="hybridMultilevel"/>
    <w:tmpl w:val="E57E918E"/>
    <w:lvl w:ilvl="0" w:tplc="CC2EB0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97135A"/>
    <w:multiLevelType w:val="hybridMultilevel"/>
    <w:tmpl w:val="1F7C5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DE09F3"/>
    <w:multiLevelType w:val="hybridMultilevel"/>
    <w:tmpl w:val="FC6E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B645C3"/>
    <w:multiLevelType w:val="hybridMultilevel"/>
    <w:tmpl w:val="27924E5E"/>
    <w:lvl w:ilvl="0" w:tplc="E8DE39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DE24E9"/>
    <w:multiLevelType w:val="hybridMultilevel"/>
    <w:tmpl w:val="8AC66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4C141C0"/>
    <w:multiLevelType w:val="hybridMultilevel"/>
    <w:tmpl w:val="D4E4C61E"/>
    <w:lvl w:ilvl="0" w:tplc="11E6ECC8">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616BA5"/>
    <w:multiLevelType w:val="hybridMultilevel"/>
    <w:tmpl w:val="E82C5C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8282056"/>
    <w:multiLevelType w:val="hybridMultilevel"/>
    <w:tmpl w:val="6E88B1CE"/>
    <w:lvl w:ilvl="0" w:tplc="E8DE39C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EA12D3"/>
    <w:multiLevelType w:val="hybridMultilevel"/>
    <w:tmpl w:val="9E385D3C"/>
    <w:lvl w:ilvl="0" w:tplc="E8DE39C8">
      <w:start w:val="1"/>
      <w:numFmt w:val="bullet"/>
      <w:lvlText w:val=""/>
      <w:lvlJc w:val="left"/>
      <w:pPr>
        <w:ind w:left="360" w:hanging="360"/>
      </w:pPr>
      <w:rPr>
        <w:rFonts w:ascii="Symbol" w:hAnsi="Symbol" w:hint="default"/>
      </w:rPr>
    </w:lvl>
    <w:lvl w:ilvl="1" w:tplc="E8DE39C8">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2D7D2D"/>
    <w:multiLevelType w:val="hybridMultilevel"/>
    <w:tmpl w:val="213A0694"/>
    <w:lvl w:ilvl="0" w:tplc="E8DE39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E2127D"/>
    <w:multiLevelType w:val="hybridMultilevel"/>
    <w:tmpl w:val="E092EA88"/>
    <w:lvl w:ilvl="0" w:tplc="77A8075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77525CB"/>
    <w:multiLevelType w:val="hybridMultilevel"/>
    <w:tmpl w:val="7CA43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14"/>
  </w:num>
  <w:num w:numId="5">
    <w:abstractNumId w:val="12"/>
  </w:num>
  <w:num w:numId="6">
    <w:abstractNumId w:val="13"/>
  </w:num>
  <w:num w:numId="7">
    <w:abstractNumId w:val="5"/>
  </w:num>
  <w:num w:numId="8">
    <w:abstractNumId w:val="4"/>
  </w:num>
  <w:num w:numId="9">
    <w:abstractNumId w:val="0"/>
  </w:num>
  <w:num w:numId="10">
    <w:abstractNumId w:val="15"/>
  </w:num>
  <w:num w:numId="11">
    <w:abstractNumId w:val="3"/>
  </w:num>
  <w:num w:numId="12">
    <w:abstractNumId w:val="17"/>
  </w:num>
  <w:num w:numId="13">
    <w:abstractNumId w:val="7"/>
  </w:num>
  <w:num w:numId="14">
    <w:abstractNumId w:val="2"/>
  </w:num>
  <w:num w:numId="15">
    <w:abstractNumId w:val="8"/>
  </w:num>
  <w:num w:numId="16">
    <w:abstractNumId w:val="1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järgmise dokumendi juurde: "/>
    <w:docVar w:name="LW_ANNEX_NBR_FIRST" w:val="1"/>
    <w:docVar w:name="LW_ANNEX_NBR_LAST" w:val="1"/>
    <w:docVar w:name="LW_ANNEX_UNIQUE" w:val="1"/>
    <w:docVar w:name="LW_CORRIGENDUM" w:val="&lt;UNUSED&gt;"/>
    <w:docVar w:name="LW_COVERPAGE_EXISTS" w:val="True"/>
    <w:docVar w:name="LW_COVERPAGE_GUID" w:val="64B2432B-8143-433F-997B-A81769EB1D19"/>
    <w:docVar w:name="LW_COVERPAGE_TYPE" w:val="1"/>
    <w:docVar w:name="LW_CROSSREFERENCE" w:val="&lt;UNUSED&gt;"/>
    <w:docVar w:name="LW_DocType" w:val="NORMAL"/>
    <w:docVar w:name="LW_EMISSION" w:val="11.2.2019"/>
    <w:docVar w:name="LW_EMISSION_ISODATE" w:val="2019-02-11"/>
    <w:docVar w:name="LW_EMISSION_LOCATION" w:val="BRX"/>
    <w:docVar w:name="LW_EMISSION_PREFIX" w:val="Brüssel,"/>
    <w:docVar w:name="LW_EMISSION_SUFFIX" w:val=" "/>
    <w:docVar w:name="LW_ID_DOCTYPE_NONLW" w:val="CP-036"/>
    <w:docVar w:name="LW_LANGUE" w:val="ET"/>
    <w:docVar w:name="LW_LEVEL_OF_SENSITIVITY" w:val="Standard treatment"/>
    <w:docVar w:name="LW_NOM.INST" w:val="EUROOPA KOMISJON"/>
    <w:docVar w:name="LW_NOM.INST_JOINTDOC" w:val="&lt;EMPTY&gt;"/>
    <w:docVar w:name="LW_OBJETACTEPRINCIPAL.CP" w:val="seisukoha kohta, mis võetakse Euroopa Liidu nimel ELi-Ukraina assotsieerimisnõukogus ja mis käsitleb ühelt poolt Euroopa Liidu ja Euroopa Aatomienergiaühenduse ning nende liikmesriikide ning teiselt poolt Ukraina vahelise assotsieerimislepingu XXVII lisa muutmist"/>
    <w:docVar w:name="LW_PART_NBR" w:val="1"/>
    <w:docVar w:name="LW_PART_NBR_TOTAL" w:val="1"/>
    <w:docVar w:name="LW_REF.INST.NEW" w:val="COM"/>
    <w:docVar w:name="LW_REF.INST.NEW_ADOPTED" w:val="final"/>
    <w:docVar w:name="LW_REF.INST.NEW_TEXT" w:val="(2019) 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LISA_x000b_"/>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s1">
    <w:name w:val="s1"/>
    <w:basedOn w:val="DefaultParagraphFont"/>
  </w:style>
  <w:style w:type="paragraph" w:customStyle="1" w:styleId="CM138">
    <w:name w:val="CM1+38"/>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38">
    <w:name w:val="CM3+38"/>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438">
    <w:name w:val="CM4+38"/>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Pr>
      <w:rFonts w:ascii="EUAlbertina" w:hAnsi="EUAlbertina" w:cstheme="minorBidi"/>
      <w:color w:val="auto"/>
    </w:rPr>
  </w:style>
  <w:style w:type="paragraph" w:customStyle="1" w:styleId="CM33">
    <w:name w:val="CM3+3"/>
    <w:basedOn w:val="Default"/>
    <w:next w:val="Default"/>
    <w:uiPriority w:val="99"/>
    <w:rPr>
      <w:rFonts w:ascii="EUAlbertina" w:hAnsi="EUAlbertina" w:cstheme="minorBidi"/>
      <w:color w:val="auto"/>
    </w:rPr>
  </w:style>
  <w:style w:type="paragraph" w:customStyle="1" w:styleId="CM43">
    <w:name w:val="CM4+3"/>
    <w:basedOn w:val="Default"/>
    <w:next w:val="Default"/>
    <w:uiPriority w:val="99"/>
    <w:rPr>
      <w:rFonts w:ascii="EUAlbertina" w:hAnsi="EUAlbertina" w:cstheme="minorBidi"/>
      <w:color w:val="auto"/>
    </w:rPr>
  </w:style>
  <w:style w:type="paragraph" w:styleId="Revision">
    <w:name w:val="Revision"/>
    <w:hidden/>
    <w:uiPriority w:val="99"/>
    <w:semiHidden/>
    <w:pPr>
      <w:spacing w:after="0" w:line="240" w:lineRule="auto"/>
    </w:pPr>
  </w:style>
  <w:style w:type="paragraph" w:customStyle="1" w:styleId="CM12">
    <w:name w:val="CM1+2"/>
    <w:basedOn w:val="Default"/>
    <w:next w:val="Default"/>
    <w:uiPriority w:val="99"/>
    <w:rPr>
      <w:rFonts w:ascii="EUAlbertina" w:hAnsi="EUAlbertina" w:cstheme="minorBidi"/>
      <w:color w:val="auto"/>
    </w:rPr>
  </w:style>
  <w:style w:type="paragraph" w:customStyle="1" w:styleId="CM32">
    <w:name w:val="CM3+2"/>
    <w:basedOn w:val="Default"/>
    <w:next w:val="Default"/>
    <w:uiPriority w:val="99"/>
    <w:rPr>
      <w:rFonts w:ascii="EUAlbertina" w:hAnsi="EUAlbertina" w:cstheme="minorBidi"/>
      <w:color w:val="auto"/>
    </w:rPr>
  </w:style>
  <w:style w:type="paragraph" w:customStyle="1" w:styleId="CM42">
    <w:name w:val="CM4+2"/>
    <w:basedOn w:val="Default"/>
    <w:next w:val="Default"/>
    <w:uiPriority w:val="99"/>
    <w:rPr>
      <w:rFonts w:ascii="EUAlbertina" w:hAnsi="EUAlbertina" w:cstheme="minorBidi"/>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s1">
    <w:name w:val="s1"/>
    <w:basedOn w:val="DefaultParagraphFont"/>
  </w:style>
  <w:style w:type="paragraph" w:customStyle="1" w:styleId="CM138">
    <w:name w:val="CM1+38"/>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38">
    <w:name w:val="CM3+38"/>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438">
    <w:name w:val="CM4+38"/>
    <w:basedOn w:val="Normal"/>
    <w:next w:val="Normal"/>
    <w:uiPriority w:val="99"/>
    <w:pPr>
      <w:autoSpaceDE w:val="0"/>
      <w:autoSpaceDN w:val="0"/>
      <w:adjustRightInd w:val="0"/>
      <w:spacing w:after="0" w:line="240" w:lineRule="auto"/>
    </w:pPr>
    <w:rPr>
      <w:rFonts w:ascii="EUAlbertina" w:hAnsi="EUAlbertina"/>
      <w:sz w:val="24"/>
      <w:szCs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Pr>
      <w:rFonts w:ascii="EUAlbertina" w:hAnsi="EUAlbertina" w:cstheme="minorBidi"/>
      <w:color w:val="auto"/>
    </w:rPr>
  </w:style>
  <w:style w:type="paragraph" w:customStyle="1" w:styleId="CM33">
    <w:name w:val="CM3+3"/>
    <w:basedOn w:val="Default"/>
    <w:next w:val="Default"/>
    <w:uiPriority w:val="99"/>
    <w:rPr>
      <w:rFonts w:ascii="EUAlbertina" w:hAnsi="EUAlbertina" w:cstheme="minorBidi"/>
      <w:color w:val="auto"/>
    </w:rPr>
  </w:style>
  <w:style w:type="paragraph" w:customStyle="1" w:styleId="CM43">
    <w:name w:val="CM4+3"/>
    <w:basedOn w:val="Default"/>
    <w:next w:val="Default"/>
    <w:uiPriority w:val="99"/>
    <w:rPr>
      <w:rFonts w:ascii="EUAlbertina" w:hAnsi="EUAlbertina" w:cstheme="minorBidi"/>
      <w:color w:val="auto"/>
    </w:rPr>
  </w:style>
  <w:style w:type="paragraph" w:styleId="Revision">
    <w:name w:val="Revision"/>
    <w:hidden/>
    <w:uiPriority w:val="99"/>
    <w:semiHidden/>
    <w:pPr>
      <w:spacing w:after="0" w:line="240" w:lineRule="auto"/>
    </w:pPr>
  </w:style>
  <w:style w:type="paragraph" w:customStyle="1" w:styleId="CM12">
    <w:name w:val="CM1+2"/>
    <w:basedOn w:val="Default"/>
    <w:next w:val="Default"/>
    <w:uiPriority w:val="99"/>
    <w:rPr>
      <w:rFonts w:ascii="EUAlbertina" w:hAnsi="EUAlbertina" w:cstheme="minorBidi"/>
      <w:color w:val="auto"/>
    </w:rPr>
  </w:style>
  <w:style w:type="paragraph" w:customStyle="1" w:styleId="CM32">
    <w:name w:val="CM3+2"/>
    <w:basedOn w:val="Default"/>
    <w:next w:val="Default"/>
    <w:uiPriority w:val="99"/>
    <w:rPr>
      <w:rFonts w:ascii="EUAlbertina" w:hAnsi="EUAlbertina" w:cstheme="minorBidi"/>
      <w:color w:val="auto"/>
    </w:rPr>
  </w:style>
  <w:style w:type="paragraph" w:customStyle="1" w:styleId="CM42">
    <w:name w:val="CM4+2"/>
    <w:basedOn w:val="Default"/>
    <w:next w:val="Default"/>
    <w:uiPriority w:val="99"/>
    <w:rPr>
      <w:rFonts w:ascii="EUAlbertina" w:hAnsi="EUAlbertina" w:cstheme="minorBidi"/>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CBB7-D11D-4A6D-8FB6-25BFAA06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3841</Words>
  <Characters>29462</Characters>
  <Application>Microsoft Office Word</Application>
  <DocSecurity>0</DocSecurity>
  <Lines>555</Lines>
  <Paragraphs>226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2019-02-06T17:08:00Z</dcterms:created>
  <dcterms:modified xsi:type="dcterms:W3CDTF">2019-02-20T06:34:00Z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