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35A49938-60A2-4781-AD0E-B61B5D67B833" style="width:450.45pt;height:366.3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BEGRUNDELSE</w:t>
      </w:r>
    </w:p>
    <w:p>
      <w:pPr>
        <w:pStyle w:val="ManualHeading1"/>
        <w:rPr>
          <w:noProof/>
        </w:rPr>
      </w:pPr>
      <w:r>
        <w:rPr>
          <w:noProof/>
        </w:rPr>
        <w:t>1.</w:t>
      </w:r>
      <w:r>
        <w:rPr>
          <w:noProof/>
        </w:rPr>
        <w:tab/>
        <w:t>BAGGRUND FOR FORSLAGET</w:t>
      </w:r>
    </w:p>
    <w:p>
      <w:pPr>
        <w:pStyle w:val="ManualHeading2"/>
        <w:rPr>
          <w:noProof/>
        </w:rPr>
      </w:pPr>
      <w:r>
        <w:rPr>
          <w:noProof/>
          <w:color w:val="000000"/>
          <w:u w:color="000000"/>
          <w:bdr w:val="nil"/>
        </w:rPr>
        <w:t>•</w:t>
      </w:r>
      <w:r>
        <w:rPr>
          <w:noProof/>
        </w:rPr>
        <w:tab/>
        <w:t>Forslagets begrundelse og formål</w:t>
      </w:r>
    </w:p>
    <w:p>
      <w:pPr>
        <w:rPr>
          <w:noProof/>
          <w:sz w:val="16"/>
          <w:szCs w:val="16"/>
        </w:rPr>
      </w:pPr>
      <w:r>
        <w:rPr>
          <w:noProof/>
        </w:rPr>
        <w:t>I henhold til artikel 54, stk. 3, i Europa-Parlamentets og Rådets forordning (EU) 2016/1624 af 14. september 2016 om den europæiske grænse- og kystvagt</w:t>
      </w:r>
      <w:r>
        <w:rPr>
          <w:rStyle w:val="FootnoteReference"/>
          <w:noProof/>
        </w:rPr>
        <w:footnoteReference w:id="1"/>
      </w:r>
      <w:r>
        <w:rPr>
          <w:noProof/>
        </w:rPr>
        <w:t xml:space="preserve"> kan Det Europæiske Agentur for Grænse- og Kystbevogtning koordinere det operative samarbejde mellem medlemsstaterne og tredjelande, for så vidt angår forvaltning af de ydre grænser. I denne henseende kan agenturet gennemføre tiltag ved de ydre grænser med deltagelse af en eller flere medlemsstater og et tredjeland, der grænser op til mindst en af de pågældende medlemsstater, forudsat at det pågældende tilgrænsende land er indforstået hermed, herunder på tredjelandets område. </w:t>
      </w:r>
    </w:p>
    <w:p>
      <w:pPr>
        <w:rPr>
          <w:noProof/>
          <w:szCs w:val="24"/>
        </w:rPr>
      </w:pPr>
      <w:r>
        <w:rPr>
          <w:noProof/>
        </w:rPr>
        <w:t>I henhold til artikel 54, stk. 4, i forordning (EU) 2016/1624 skal der i tilfælde, hvor der forudses indsættelse af hold fra den europæiske grænse- og kystvagt i tredjelande i tiltag, hvor holdmedlemmerne har udøvende beføjelser, eller hvor andre tiltag i tredjelande nødvendiggør det, indgås en statusaftale mellem Unionen og tredjelandet. Statusaftalen skal omfatte alle aspekter, der er nødvendige for at gennemføre tiltagene. I aftalen fastsættes navnlig operationens omfang, det civil- og strafferetlige ansvar samt holdmedlemmernes opgaver og beføjelser. Statusaftalen skal sikre fuld overholdelse af de grundlæggende rettigheder under disse operationer.</w:t>
      </w:r>
    </w:p>
    <w:p>
      <w:pPr>
        <w:rPr>
          <w:noProof/>
        </w:rPr>
      </w:pPr>
      <w:r>
        <w:rPr>
          <w:noProof/>
        </w:rPr>
        <w:t xml:space="preserve">På grundlag af forhandlingsdirektiver vedtaget af Rådet har Europa-Kommissionen ført forhandlinger med Montenegro om en statusaftale med henblik på at fastlægge den retlige ramme, som giver mulighed for at handle øjeblikkeligt gennem etablering af operative planer, når der er behov for hurtig reaktion. Selv om Montenegro for nuværende ikke i vidt omfang anvendes som transitland af migranter, kan denne situation ændre sig, således som det tidligere er sket. Organiserede kriminelle netværk tilpasser hurtigt deres ruter og metoder til smugling af migranter til eventuelle nye omstændigheder. Med statusaftalen i hus vil Montenegros ansvarlige myndigheder og EU's medlemsstater, som koordineres af Det Europæiske Agentur for Grænse- og Kystbevogtning, være meget bedre i stand til at reagere hurtigt på sådanne eventuelle situationer. </w:t>
      </w:r>
    </w:p>
    <w:p>
      <w:pPr>
        <w:rPr>
          <w:iCs/>
          <w:noProof/>
          <w:szCs w:val="24"/>
        </w:rPr>
      </w:pPr>
      <w:r>
        <w:rPr>
          <w:noProof/>
        </w:rPr>
        <w:t xml:space="preserve">Vedlagte forslag til Rådets afgørelse udgør det retlige instrument til undertegnelse af statusaftalen mellem Den Europæiske Union og Montenegro. </w:t>
      </w:r>
    </w:p>
    <w:p>
      <w:pPr>
        <w:rPr>
          <w:noProof/>
        </w:rPr>
      </w:pPr>
      <w:r>
        <w:rPr>
          <w:noProof/>
        </w:rPr>
        <w:t xml:space="preserve">Kommissionen modtog den 16. oktober 2017 Rådets bemyndigelse til at indlede forhandlinger med Montenegro om en statusaftale om tiltag, som gennemføres af Det Europæiske Agentur for Grænse- og Kystbevogtning i Montenegro. </w:t>
      </w:r>
    </w:p>
    <w:p>
      <w:pPr>
        <w:rPr>
          <w:iCs/>
          <w:noProof/>
          <w:szCs w:val="24"/>
        </w:rPr>
      </w:pPr>
      <w:r>
        <w:rPr>
          <w:noProof/>
        </w:rPr>
        <w:t>Forhandlingerne om statusaftalen blev indledt og afsluttet den 5. juli 2018. Forhandlingerne vil blive afsluttet med positivt resultat ved paraferingen af statusaftalen på et senere tidspunkt.</w:t>
      </w:r>
    </w:p>
    <w:p>
      <w:pPr>
        <w:rPr>
          <w:iCs/>
          <w:noProof/>
          <w:szCs w:val="24"/>
        </w:rPr>
      </w:pPr>
      <w:r>
        <w:rPr>
          <w:noProof/>
        </w:rPr>
        <w:t xml:space="preserve">Kommissionen finder, at de mål, Rådet opstillede i sine forhandlingsdirektiver, er nået, og at udkastet til statusaftale er acceptabelt for Unionen. </w:t>
      </w:r>
    </w:p>
    <w:p>
      <w:pPr>
        <w:spacing w:after="240"/>
        <w:rPr>
          <w:iCs/>
          <w:noProof/>
          <w:szCs w:val="24"/>
        </w:rPr>
      </w:pPr>
      <w:r>
        <w:rPr>
          <w:noProof/>
        </w:rPr>
        <w:t xml:space="preserve">Medlemsstaterne er blevet underrettet og hørt i den relevante arbejdsgruppe i Rådet. </w:t>
      </w:r>
    </w:p>
    <w:p>
      <w:pPr>
        <w:pStyle w:val="ManualHeading2"/>
        <w:rPr>
          <w:noProof/>
          <w:color w:val="000000"/>
          <w:u w:color="000000"/>
          <w:bdr w:val="nil"/>
        </w:rPr>
      </w:pPr>
      <w:r>
        <w:rPr>
          <w:noProof/>
          <w:color w:val="000000"/>
          <w:u w:color="000000"/>
          <w:bdr w:val="nil"/>
        </w:rPr>
        <w:t>•</w:t>
      </w:r>
      <w:r>
        <w:rPr>
          <w:noProof/>
        </w:rPr>
        <w:tab/>
        <w:t>Sammenhæng med eksisterende bilaterale aftaler</w:t>
      </w:r>
    </w:p>
    <w:p>
      <w:pPr>
        <w:rPr>
          <w:rFonts w:eastAsia="Calibri"/>
          <w:noProof/>
          <w:szCs w:val="24"/>
        </w:rPr>
      </w:pPr>
      <w:r>
        <w:rPr>
          <w:noProof/>
        </w:rPr>
        <w:t xml:space="preserve">Aftalen mellem Kroatiens indenrigsministerium og Montenegros indenrigsministerium om politisamarbejde trådte i kraft for Kroatien den 11. november 2011 (NN/MU nr. 15/2011). </w:t>
      </w:r>
    </w:p>
    <w:p>
      <w:pPr>
        <w:rPr>
          <w:rFonts w:eastAsia="Calibri"/>
          <w:iCs/>
          <w:noProof/>
          <w:szCs w:val="24"/>
        </w:rPr>
      </w:pPr>
      <w:r>
        <w:rPr>
          <w:noProof/>
        </w:rPr>
        <w:lastRenderedPageBreak/>
        <w:t xml:space="preserve">Der er etableret en samarbejdsordning (som er ved at blive ajourført) mellem Montenegro og Det Europæiske Agentur for Grænse- og Kystbevogtning, der navnlig omfatter regelmæssig deltagelse af Montenegros kompetente myndigheder i fælles operationer ledet af Det Europæiske Agentur for Grænse- og Kystbevogtning som observatører på medlemsstaternes område. </w:t>
      </w:r>
    </w:p>
    <w:p>
      <w:pPr>
        <w:rPr>
          <w:rFonts w:eastAsia="Calibri"/>
          <w:bCs/>
          <w:noProof/>
          <w:szCs w:val="24"/>
        </w:rPr>
      </w:pPr>
      <w:r>
        <w:rPr>
          <w:noProof/>
        </w:rPr>
        <w:t>Montenegro har rapporteret, at det grænseoverskridende samarbejde — især på teknisk niveau — med alle nabolande forløber tilfredsstillende, og at der gøres gode fremskridt med forhandlingerne om en række aftaler med Serbien, Bosnien-Hercegovina og Kroatien. Med en protokol mellem indenrigsministerierne i Montenegro, Albanien og Kosovo</w:t>
      </w:r>
      <w:r>
        <w:rPr>
          <w:rFonts w:eastAsia="Calibri"/>
          <w:noProof/>
          <w:szCs w:val="24"/>
          <w:vertAlign w:val="superscript"/>
        </w:rPr>
        <w:sym w:font="Symbol" w:char="F02A"/>
      </w:r>
      <w:r>
        <w:rPr>
          <w:noProof/>
        </w:rPr>
        <w:t xml:space="preserve"> er der etableret et fælles politisamarbejdscenter i Plav, der sigter mod at fremme det grænseoverskridende samarbejde i kampen mod kriminalitet gennem en intensiveret udveksling af operative oplysninger og tættere koordinering af den fælles indsats for sikkerheden. Det fælles politisamarbejdscenter blev officielt åbnet den 30. maj 2017. </w:t>
      </w:r>
    </w:p>
    <w:p>
      <w:pPr>
        <w:pStyle w:val="ManualHeading2"/>
        <w:rPr>
          <w:noProof/>
        </w:rPr>
      </w:pPr>
      <w:r>
        <w:rPr>
          <w:rStyle w:val="FootnoteReference"/>
          <w:noProof/>
        </w:rPr>
        <w:footnoteReference w:id="2"/>
      </w:r>
      <w:r>
        <w:rPr>
          <w:noProof/>
        </w:rPr>
        <w:tab/>
        <w:t>Sammenhæng med Unionens politik på andre områder</w:t>
      </w:r>
    </w:p>
    <w:p>
      <w:pPr>
        <w:rPr>
          <w:b/>
          <w:noProof/>
          <w:szCs w:val="24"/>
        </w:rPr>
      </w:pPr>
      <w:r>
        <w:rPr>
          <w:noProof/>
        </w:rPr>
        <w:t>Den europæiske dagsorden for migration</w:t>
      </w:r>
      <w:r>
        <w:rPr>
          <w:rStyle w:val="FootnoteReference"/>
          <w:noProof/>
        </w:rPr>
        <w:footnoteReference w:id="3"/>
      </w:r>
      <w:r>
        <w:rPr>
          <w:noProof/>
        </w:rPr>
        <w:t xml:space="preserve"> bygger på fire søjler. En af disse er grænseforvaltning: dette indebærer en bedre forvaltning af EU's ydre grænser, navnlig gennem solidaritet med de medlemsstater, der befinder sig ved de ydre grænser, og en forbedret effektivitet ved grænsepassagerne. En styrket kontrol af Montenegros grænser vil også få en positiv indvirkning på EU's ydre grænser samt Montenegros grænser. Yderligere styrkelse af sikkerheden ved de ydre grænser er også i overensstemmelse med den europæiske dagsorden om sikkerhed</w:t>
      </w:r>
      <w:r>
        <w:rPr>
          <w:rStyle w:val="FootnoteReference"/>
          <w:noProof/>
        </w:rPr>
        <w:footnoteReference w:id="4"/>
      </w:r>
      <w:r>
        <w:rPr>
          <w:noProof/>
        </w:rPr>
        <w:t xml:space="preserve">. </w:t>
      </w:r>
    </w:p>
    <w:p>
      <w:pPr>
        <w:pStyle w:val="ManualHeading1"/>
        <w:rPr>
          <w:noProof/>
        </w:rPr>
      </w:pPr>
      <w:r>
        <w:rPr>
          <w:noProof/>
        </w:rPr>
        <w:t>2.</w:t>
      </w:r>
      <w:r>
        <w:rPr>
          <w:noProof/>
        </w:rPr>
        <w:tab/>
        <w:t>RETSGRUNDLAG, NÆRHEDSPRINCIPPET OG PROPORTIONALITETSPRINCIPPET</w:t>
      </w:r>
    </w:p>
    <w:p>
      <w:pPr>
        <w:pStyle w:val="ManualHeading2"/>
        <w:rPr>
          <w:noProof/>
          <w:u w:color="000000"/>
          <w:bdr w:val="nil"/>
        </w:rPr>
      </w:pPr>
      <w:r>
        <w:rPr>
          <w:noProof/>
        </w:rPr>
        <w:t>•</w:t>
      </w:r>
      <w:r>
        <w:rPr>
          <w:noProof/>
        </w:rPr>
        <w:tab/>
        <w:t>Retsgrundlag</w:t>
      </w:r>
    </w:p>
    <w:p>
      <w:pPr>
        <w:autoSpaceDE w:val="0"/>
        <w:autoSpaceDN w:val="0"/>
        <w:adjustRightInd w:val="0"/>
        <w:rPr>
          <w:noProof/>
          <w:szCs w:val="24"/>
        </w:rPr>
      </w:pPr>
      <w:r>
        <w:rPr>
          <w:noProof/>
        </w:rPr>
        <w:t xml:space="preserve">Retsgrundlaget for nærværende forslag til Rådets afgørelse er artikel 77, stk. 2, litra b) og d), og artikel 79, stk. 2, litra c), i TEUF sammenholdt med artikel 218, stk. 5, i TEUF. </w:t>
      </w:r>
    </w:p>
    <w:p>
      <w:pPr>
        <w:autoSpaceDE w:val="0"/>
        <w:autoSpaceDN w:val="0"/>
        <w:adjustRightInd w:val="0"/>
        <w:rPr>
          <w:noProof/>
          <w:szCs w:val="24"/>
        </w:rPr>
      </w:pPr>
      <w:r>
        <w:rPr>
          <w:noProof/>
        </w:rPr>
        <w:t xml:space="preserve">Der er i artikel 54, stk. 4, i forordning (EU) 2016/1624 fastsat udtrykkelige bestemmelser om Unionens indgåelse af statusaftaler, og deri hedder det, at der i tilfælde, hvor der forudses indsættelse af hold fra den europæiske grænse- og kystvagt i tredjelande i tiltag, hvor holdmedlemmerne har udøvende beføjelser, eller hvor andre tiltag i tredjelande nødvendiggør det, indgås en statusaftale mellem Unionen og tredjelandet. </w:t>
      </w:r>
    </w:p>
    <w:p>
      <w:pPr>
        <w:autoSpaceDE w:val="0"/>
        <w:autoSpaceDN w:val="0"/>
        <w:adjustRightInd w:val="0"/>
        <w:rPr>
          <w:noProof/>
          <w:szCs w:val="24"/>
        </w:rPr>
      </w:pPr>
      <w:r>
        <w:rPr>
          <w:noProof/>
        </w:rPr>
        <w:t xml:space="preserve">I henhold til artikel 3, stk. 2, i TEUF har Unionen bl.a. enekompetence til at indgå internationale aftaler, når indgåelsen har hjemmel i en lovgivningsmæssig EU-retsakt. I henhold til artikel 54, stk. 4, i forordning (EU) 2016/1624 kan der indgås en statusaftale mellem Den Europæiske Union og det berørte tredjeland. Derfor henhører vedlagte aftale med Montenegro under Den Europæiske Unions enekompetence. </w:t>
      </w:r>
    </w:p>
    <w:p>
      <w:pPr>
        <w:pStyle w:val="ManualHeading2"/>
        <w:rPr>
          <w:noProof/>
          <w:u w:color="000000"/>
          <w:bdr w:val="nil"/>
        </w:rPr>
      </w:pPr>
      <w:r>
        <w:rPr>
          <w:noProof/>
        </w:rPr>
        <w:t>•</w:t>
      </w:r>
      <w:r>
        <w:rPr>
          <w:noProof/>
        </w:rPr>
        <w:tab/>
        <w:t xml:space="preserve">Nærhedsprincippet (for områder, der ikke er omfattet af enekompetence) </w:t>
      </w:r>
    </w:p>
    <w:p>
      <w:pPr>
        <w:pBdr>
          <w:top w:val="nil"/>
          <w:left w:val="nil"/>
          <w:bottom w:val="nil"/>
          <w:right w:val="nil"/>
          <w:between w:val="nil"/>
          <w:bar w:val="nil"/>
        </w:pBdr>
        <w:spacing w:before="0" w:after="240"/>
        <w:rPr>
          <w:noProof/>
        </w:rPr>
      </w:pPr>
      <w:r>
        <w:rPr>
          <w:noProof/>
        </w:rPr>
        <w:t xml:space="preserve">Ikke relevant. </w:t>
      </w:r>
    </w:p>
    <w:p>
      <w:pPr>
        <w:pStyle w:val="ManualHeading2"/>
        <w:rPr>
          <w:noProof/>
          <w:u w:color="000000"/>
          <w:bdr w:val="nil"/>
        </w:rPr>
      </w:pPr>
      <w:r>
        <w:rPr>
          <w:noProof/>
        </w:rPr>
        <w:lastRenderedPageBreak/>
        <w:t>•</w:t>
      </w:r>
      <w:r>
        <w:rPr>
          <w:noProof/>
        </w:rPr>
        <w:tab/>
        <w:t>Proportionalitetsprincippet</w:t>
      </w:r>
    </w:p>
    <w:p>
      <w:pPr>
        <w:spacing w:after="240"/>
        <w:rPr>
          <w:noProof/>
          <w:szCs w:val="24"/>
        </w:rPr>
      </w:pPr>
      <w:r>
        <w:rPr>
          <w:noProof/>
        </w:rPr>
        <w:t xml:space="preserve">En statusaftale vil gøre det muligt for det Det Europæiske Agentur for Grænse- og Kystbevogtning at indsætte hold fra den europæiske grænse- og kystvagt i Montenegro i stedet for medlemsstaternes bilaterale indsættelse i tilfælde af en pludselig tilstrømning af migranter. </w:t>
      </w:r>
    </w:p>
    <w:p>
      <w:pPr>
        <w:spacing w:after="240"/>
        <w:rPr>
          <w:noProof/>
          <w:szCs w:val="24"/>
        </w:rPr>
      </w:pPr>
      <w:r>
        <w:rPr>
          <w:noProof/>
        </w:rPr>
        <w:t>Der er derfor behov for en fælles tilgang for en bedre forvaltning af Montenegros grænser.</w:t>
      </w:r>
    </w:p>
    <w:p>
      <w:pPr>
        <w:pStyle w:val="ManualHeading2"/>
        <w:rPr>
          <w:noProof/>
          <w:u w:color="000000"/>
          <w:bdr w:val="nil"/>
        </w:rPr>
      </w:pPr>
      <w:r>
        <w:rPr>
          <w:noProof/>
        </w:rPr>
        <w:t>•</w:t>
      </w:r>
      <w:r>
        <w:rPr>
          <w:noProof/>
        </w:rPr>
        <w:tab/>
        <w:t>Valg af retsakt</w:t>
      </w:r>
    </w:p>
    <w:p>
      <w:pPr>
        <w:pBdr>
          <w:top w:val="nil"/>
          <w:left w:val="nil"/>
          <w:bottom w:val="nil"/>
          <w:right w:val="nil"/>
          <w:between w:val="nil"/>
          <w:bar w:val="nil"/>
        </w:pBdr>
        <w:spacing w:before="0" w:after="240"/>
        <w:rPr>
          <w:noProof/>
        </w:rPr>
      </w:pPr>
      <w:r>
        <w:rPr>
          <w:noProof/>
        </w:rPr>
        <w:t xml:space="preserve">Dette forslag er i overensstemmelse med artikel 218, stk. 5, i TEUF, hvorefter Rådet kan vedtage afgørelser om internationale aftaler. Der eksisterer ingen andre retlige instrumenter, der kan anvendes til at nå det mål, der er omhandlet i forslaget. </w:t>
      </w:r>
    </w:p>
    <w:p>
      <w:pPr>
        <w:pStyle w:val="ManualHeading1"/>
        <w:rPr>
          <w:noProof/>
        </w:rPr>
      </w:pPr>
      <w:r>
        <w:rPr>
          <w:noProof/>
        </w:rPr>
        <w:t>3.</w:t>
      </w:r>
      <w:r>
        <w:rPr>
          <w:noProof/>
        </w:rPr>
        <w:tab/>
        <w:t>RESULTATER AF EFTERFØLGENDE EVALUERINGER, HØRINGER AF INTERESSEREDE PARTER OG KONSEKVENSANALYSER</w:t>
      </w:r>
    </w:p>
    <w:p>
      <w:pPr>
        <w:pStyle w:val="ManualHeading2"/>
        <w:rPr>
          <w:noProof/>
          <w:u w:color="000000"/>
          <w:bdr w:val="nil"/>
        </w:rPr>
      </w:pPr>
      <w:r>
        <w:rPr>
          <w:noProof/>
        </w:rPr>
        <w:t>•</w:t>
      </w:r>
      <w:r>
        <w:rPr>
          <w:noProof/>
        </w:rPr>
        <w:tab/>
        <w:t>Efterfølgende evalueringer/kvalitetskontrol af gældende lovgivning</w:t>
      </w:r>
    </w:p>
    <w:p>
      <w:pPr>
        <w:pBdr>
          <w:top w:val="nil"/>
          <w:left w:val="nil"/>
          <w:bottom w:val="nil"/>
          <w:right w:val="nil"/>
          <w:between w:val="nil"/>
          <w:bar w:val="nil"/>
        </w:pBdr>
        <w:spacing w:before="0" w:after="240"/>
        <w:rPr>
          <w:rFonts w:eastAsia="Arial Unicode MS"/>
          <w:noProof/>
        </w:rPr>
      </w:pPr>
      <w:r>
        <w:rPr>
          <w:noProof/>
        </w:rPr>
        <w:t xml:space="preserve">Ikke relevant </w:t>
      </w:r>
    </w:p>
    <w:p>
      <w:pPr>
        <w:pStyle w:val="ManualHeading2"/>
        <w:rPr>
          <w:noProof/>
          <w:u w:color="000000"/>
          <w:bdr w:val="nil"/>
        </w:rPr>
      </w:pPr>
      <w:r>
        <w:rPr>
          <w:noProof/>
        </w:rPr>
        <w:t>•</w:t>
      </w:r>
      <w:r>
        <w:rPr>
          <w:noProof/>
        </w:rPr>
        <w:tab/>
        <w:t>Høringer af interesserede parter</w:t>
      </w:r>
    </w:p>
    <w:p>
      <w:pPr>
        <w:pBdr>
          <w:top w:val="nil"/>
          <w:left w:val="nil"/>
          <w:bottom w:val="nil"/>
          <w:right w:val="nil"/>
          <w:between w:val="nil"/>
          <w:bar w:val="nil"/>
        </w:pBdr>
        <w:spacing w:before="0" w:after="240"/>
        <w:rPr>
          <w:rFonts w:eastAsia="Arial Unicode MS"/>
          <w:noProof/>
        </w:rPr>
      </w:pPr>
      <w:r>
        <w:rPr>
          <w:noProof/>
        </w:rPr>
        <w:t xml:space="preserve">Ikke relevant </w:t>
      </w:r>
    </w:p>
    <w:p>
      <w:pPr>
        <w:pStyle w:val="ManualHeading2"/>
        <w:rPr>
          <w:noProof/>
          <w:u w:color="000000"/>
          <w:bdr w:val="nil"/>
        </w:rPr>
      </w:pPr>
      <w:r>
        <w:rPr>
          <w:noProof/>
        </w:rPr>
        <w:t>•</w:t>
      </w:r>
      <w:r>
        <w:rPr>
          <w:noProof/>
        </w:rPr>
        <w:tab/>
        <w:t>Indhentning og brug af ekspertbistand</w:t>
      </w:r>
    </w:p>
    <w:p>
      <w:pPr>
        <w:pBdr>
          <w:top w:val="nil"/>
          <w:left w:val="nil"/>
          <w:bottom w:val="nil"/>
          <w:right w:val="nil"/>
          <w:between w:val="nil"/>
          <w:bar w:val="nil"/>
        </w:pBdr>
        <w:spacing w:before="0" w:after="240"/>
        <w:rPr>
          <w:rFonts w:eastAsia="Arial Unicode MS"/>
          <w:noProof/>
        </w:rPr>
      </w:pPr>
      <w:r>
        <w:rPr>
          <w:noProof/>
        </w:rPr>
        <w:t xml:space="preserve">Ikke relevant </w:t>
      </w:r>
    </w:p>
    <w:p>
      <w:pPr>
        <w:pStyle w:val="ManualHeading2"/>
        <w:rPr>
          <w:noProof/>
          <w:u w:color="000000"/>
          <w:bdr w:val="nil"/>
        </w:rPr>
      </w:pPr>
      <w:r>
        <w:rPr>
          <w:noProof/>
        </w:rPr>
        <w:t>•</w:t>
      </w:r>
      <w:r>
        <w:rPr>
          <w:noProof/>
        </w:rPr>
        <w:tab/>
        <w:t>Konsekvensanalyse</w:t>
      </w:r>
    </w:p>
    <w:p>
      <w:pPr>
        <w:pBdr>
          <w:top w:val="nil"/>
          <w:left w:val="nil"/>
          <w:bottom w:val="nil"/>
          <w:right w:val="nil"/>
          <w:between w:val="nil"/>
          <w:bar w:val="nil"/>
        </w:pBdr>
        <w:spacing w:before="0" w:after="240"/>
        <w:rPr>
          <w:noProof/>
          <w:szCs w:val="24"/>
        </w:rPr>
      </w:pPr>
      <w:r>
        <w:rPr>
          <w:noProof/>
        </w:rPr>
        <w:t xml:space="preserve">Der har ikke været brug for nogen konsekvensanalyse i forbindelse med forhandlingerne om statusaftalen. </w:t>
      </w:r>
    </w:p>
    <w:p>
      <w:pPr>
        <w:pStyle w:val="ManualHeading2"/>
        <w:rPr>
          <w:noProof/>
          <w:u w:color="000000"/>
          <w:bdr w:val="nil"/>
        </w:rPr>
      </w:pPr>
      <w:r>
        <w:rPr>
          <w:noProof/>
        </w:rPr>
        <w:t>•</w:t>
      </w:r>
      <w:r>
        <w:rPr>
          <w:noProof/>
        </w:rPr>
        <w:tab/>
        <w:t>Målrettet regulering og forenkling</w:t>
      </w:r>
    </w:p>
    <w:p>
      <w:pPr>
        <w:keepNext/>
        <w:tabs>
          <w:tab w:val="left" w:pos="850"/>
        </w:tabs>
        <w:outlineLvl w:val="1"/>
        <w:rPr>
          <w:rFonts w:eastAsia="Arial Unicode MS"/>
          <w:noProof/>
          <w:u w:color="000000"/>
          <w:bdr w:val="nil"/>
        </w:rPr>
      </w:pPr>
      <w:r>
        <w:rPr>
          <w:noProof/>
        </w:rPr>
        <w:t>Da dette vil være en ny aftale, har der ikke kunnet gennemføres evaluering eller kvalitetskontrol af eksisterende instrumenter.</w:t>
      </w:r>
    </w:p>
    <w:p>
      <w:pPr>
        <w:pStyle w:val="ManualHeading2"/>
        <w:rPr>
          <w:rFonts w:eastAsia="Arial Unicode MS"/>
          <w:noProof/>
          <w:u w:color="000000"/>
          <w:bdr w:val="nil"/>
        </w:rPr>
      </w:pPr>
      <w:r>
        <w:t>1.1.</w:t>
      </w:r>
      <w:r>
        <w:tab/>
      </w:r>
      <w:r>
        <w:rPr>
          <w:noProof/>
        </w:rPr>
        <w:t>•</w:t>
      </w:r>
      <w:r>
        <w:rPr>
          <w:noProof/>
        </w:rPr>
        <w:tab/>
        <w:t>Grundlæggende rettigheder</w:t>
      </w:r>
    </w:p>
    <w:p>
      <w:pPr>
        <w:pBdr>
          <w:top w:val="nil"/>
          <w:left w:val="nil"/>
          <w:bottom w:val="nil"/>
          <w:right w:val="nil"/>
          <w:between w:val="nil"/>
          <w:bar w:val="nil"/>
        </w:pBdr>
        <w:spacing w:after="240"/>
        <w:rPr>
          <w:noProof/>
          <w:szCs w:val="24"/>
        </w:rPr>
      </w:pPr>
      <w:r>
        <w:rPr>
          <w:noProof/>
        </w:rPr>
        <w:t>Udkastet til statusaftale indeholder bestemmelser, der sikrer, at de grundlæggende rettigheder for personer, der er berørt af foranstaltninger, som træffes af medlemmer af det hold, der deltager i et tiltag, der er koordineret af Det Europæiske Agentur for Grænse- og Kystbevogtning, er beskyttet.</w:t>
      </w:r>
    </w:p>
    <w:p>
      <w:pPr>
        <w:pBdr>
          <w:top w:val="nil"/>
          <w:left w:val="nil"/>
          <w:bottom w:val="nil"/>
          <w:right w:val="nil"/>
          <w:between w:val="nil"/>
          <w:bar w:val="nil"/>
        </w:pBdr>
        <w:spacing w:after="240"/>
        <w:rPr>
          <w:rFonts w:eastAsia="Arial Unicode MS"/>
          <w:noProof/>
        </w:rPr>
      </w:pPr>
      <w:r>
        <w:rPr>
          <w:noProof/>
        </w:rPr>
        <w:t xml:space="preserve">Bestemmelserne om de grundlæggende rettigheder er nærmere forklaret under punkt 5 "Andre forhold". </w:t>
      </w:r>
    </w:p>
    <w:p>
      <w:pPr>
        <w:pStyle w:val="ManualHeading1"/>
        <w:rPr>
          <w:rFonts w:eastAsia="Arial Unicode MS"/>
          <w:noProof/>
        </w:rPr>
      </w:pPr>
      <w:r>
        <w:rPr>
          <w:noProof/>
        </w:rPr>
        <w:t>4.</w:t>
      </w:r>
      <w:r>
        <w:rPr>
          <w:noProof/>
        </w:rPr>
        <w:tab/>
        <w:t>VIRKNINGER FOR BUDGETTET</w:t>
      </w:r>
    </w:p>
    <w:p>
      <w:pPr>
        <w:autoSpaceDE w:val="0"/>
        <w:autoSpaceDN w:val="0"/>
        <w:rPr>
          <w:iCs/>
          <w:noProof/>
          <w:szCs w:val="24"/>
        </w:rPr>
      </w:pPr>
      <w:r>
        <w:rPr>
          <w:noProof/>
        </w:rPr>
        <w:t xml:space="preserve">Statusaftalen medfører ikke i sig selv finansielle konsekvenser. Det er den faktiske indsættelse af hold fra den europæiske grænse- og kystvagt på grundlag af en operativ plan og relevant tilskudsaftale, der vil medføre omkostninger, som afholdes over budgettet for Det Europæiske Agentur for Grænse- og Kystbevogtning. Fremtidige operationer under statusaftalen vil blive </w:t>
      </w:r>
      <w:r>
        <w:rPr>
          <w:noProof/>
        </w:rPr>
        <w:lastRenderedPageBreak/>
        <w:t>finansieret med de egne midler, som Det Europæiske Agentur for Grænse- og Kystbevogtning råder over.</w:t>
      </w:r>
    </w:p>
    <w:p>
      <w:pPr>
        <w:autoSpaceDE w:val="0"/>
        <w:autoSpaceDN w:val="0"/>
        <w:rPr>
          <w:noProof/>
          <w:szCs w:val="24"/>
        </w:rPr>
      </w:pPr>
      <w:r>
        <w:rPr>
          <w:noProof/>
        </w:rPr>
        <w:t>I den finansieringsoversigt, som er vedlagt forslaget til forordning om en europæisk grænse- og kystvagt, blev udgifterne for Det Europæiske Agentur for Grænse- og Kystbevogtning til det styrkede samarbejde med tredjelande (herunder eventuelle fælles operationer med tilgrænsende lande) evalueret til 6,090 mio. EUR i gennemsnit pr. år for 2017-2020.</w:t>
      </w:r>
    </w:p>
    <w:p>
      <w:pPr>
        <w:pStyle w:val="ManualHeading2"/>
        <w:rPr>
          <w:noProof/>
        </w:rPr>
      </w:pPr>
      <w:r>
        <w:t>1.2.</w:t>
      </w:r>
      <w:r>
        <w:tab/>
      </w:r>
      <w:r>
        <w:rPr>
          <w:noProof/>
        </w:rPr>
        <w:t>5.</w:t>
      </w:r>
      <w:r>
        <w:rPr>
          <w:noProof/>
        </w:rPr>
        <w:tab/>
        <w:t>ANDRE FORHOLD</w:t>
      </w:r>
    </w:p>
    <w:p>
      <w:pPr>
        <w:pStyle w:val="ManualHeading2"/>
        <w:rPr>
          <w:noProof/>
          <w:u w:color="000000"/>
          <w:bdr w:val="nil"/>
        </w:rPr>
      </w:pPr>
      <w:r>
        <w:rPr>
          <w:noProof/>
        </w:rPr>
        <w:t>•</w:t>
      </w:r>
      <w:r>
        <w:rPr>
          <w:noProof/>
        </w:rPr>
        <w:tab/>
        <w:t>Planer for gennemførelsen og foranstaltninger til overvågning, evaluering og rapportering</w:t>
      </w:r>
    </w:p>
    <w:p>
      <w:pPr>
        <w:rPr>
          <w:noProof/>
          <w:szCs w:val="24"/>
        </w:rPr>
      </w:pPr>
      <w:r>
        <w:rPr>
          <w:noProof/>
        </w:rPr>
        <w:t xml:space="preserve">Kommissionen vil sikre en passende overvågning af gennemførelsen af statusaftalen. </w:t>
      </w:r>
    </w:p>
    <w:p>
      <w:pPr>
        <w:rPr>
          <w:noProof/>
          <w:szCs w:val="24"/>
        </w:rPr>
      </w:pPr>
      <w:r>
        <w:rPr>
          <w:noProof/>
        </w:rPr>
        <w:t xml:space="preserve">Montenegro og Det Europæiske Agentur for Grænse- og Kystbevogtning evaluerer i fællesskab hver enkelt fælles operation eller hurtige grænseindsats. </w:t>
      </w:r>
    </w:p>
    <w:p>
      <w:pPr>
        <w:spacing w:after="240"/>
        <w:rPr>
          <w:noProof/>
          <w:szCs w:val="24"/>
        </w:rPr>
      </w:pPr>
      <w:r>
        <w:rPr>
          <w:noProof/>
        </w:rPr>
        <w:t xml:space="preserve">Navnlig skal Det Europæiske Agentur for Grænse- og Kystbevogtning, Montenegro og de medlemsstater, der deltager i et bestemt tiltag, ved afslutningen af hver aktion udarbejde en rapport om anvendelsen af aftalens bestemmelser, herunder om behandling af personoplysninger. </w:t>
      </w:r>
    </w:p>
    <w:p>
      <w:pPr>
        <w:pStyle w:val="ManualHeading2"/>
        <w:rPr>
          <w:noProof/>
          <w:u w:color="000000"/>
          <w:bdr w:val="nil"/>
        </w:rPr>
      </w:pPr>
      <w:r>
        <w:rPr>
          <w:noProof/>
        </w:rPr>
        <w:t>•</w:t>
      </w:r>
      <w:r>
        <w:rPr>
          <w:noProof/>
        </w:rPr>
        <w:tab/>
        <w:t>Forklarende dokumenter (for direktiver)</w:t>
      </w:r>
    </w:p>
    <w:p>
      <w:pPr>
        <w:pBdr>
          <w:top w:val="nil"/>
          <w:left w:val="nil"/>
          <w:bottom w:val="nil"/>
          <w:right w:val="nil"/>
          <w:between w:val="nil"/>
          <w:bar w:val="nil"/>
        </w:pBdr>
        <w:spacing w:before="0" w:after="240"/>
        <w:rPr>
          <w:rFonts w:eastAsia="Arial Unicode MS"/>
          <w:noProof/>
        </w:rPr>
      </w:pPr>
      <w:r>
        <w:rPr>
          <w:noProof/>
        </w:rPr>
        <w:t xml:space="preserve">Ikke relevant. </w:t>
      </w:r>
    </w:p>
    <w:p>
      <w:pPr>
        <w:pStyle w:val="ManualHeading2"/>
        <w:rPr>
          <w:noProof/>
          <w:u w:color="000000"/>
          <w:bdr w:val="nil"/>
        </w:rPr>
      </w:pPr>
      <w:r>
        <w:rPr>
          <w:noProof/>
        </w:rPr>
        <w:t>•</w:t>
      </w:r>
      <w:r>
        <w:rPr>
          <w:noProof/>
        </w:rPr>
        <w:tab/>
        <w:t>Nærmere redegørelse for de enkelte bestemmelser i forslaget</w:t>
      </w:r>
    </w:p>
    <w:p>
      <w:pPr>
        <w:rPr>
          <w:i/>
          <w:noProof/>
        </w:rPr>
      </w:pPr>
      <w:r>
        <w:rPr>
          <w:i/>
          <w:noProof/>
        </w:rPr>
        <w:t>Aftalens anvendelsesområde</w:t>
      </w:r>
    </w:p>
    <w:p>
      <w:pPr>
        <w:rPr>
          <w:rFonts w:eastAsia="Times New Roman"/>
          <w:noProof/>
        </w:rPr>
      </w:pPr>
      <w:r>
        <w:rPr>
          <w:noProof/>
        </w:rPr>
        <w:t>I henhold til denne aftale har Det Europæiske Agentur for Grænse- og Kystbevogtning mulighed for at indsætte europæiske grænse- og kystvagthold med udøvende beføjelser i Montenegro for at udføre fælles operationer, hurtig grænseindsats eller tilbagesendelsesoperationer.</w:t>
      </w:r>
    </w:p>
    <w:p>
      <w:pPr>
        <w:spacing w:after="240"/>
        <w:rPr>
          <w:rFonts w:eastAsia="Times New Roman"/>
          <w:noProof/>
        </w:rPr>
      </w:pPr>
      <w:r>
        <w:rPr>
          <w:noProof/>
        </w:rPr>
        <w:t>Hold fra den europæiske grænse- og kystvagt kan kun indsættes på Montenegros område i regioner, der grænser op til EU's ydre grænser, og medlemmer af holdet har udøvende beføjelser i disse områder af Montenegro som fastlagt i den operative plan.</w:t>
      </w:r>
    </w:p>
    <w:p>
      <w:pPr>
        <w:spacing w:after="240"/>
        <w:rPr>
          <w:rFonts w:eastAsia="Times New Roman"/>
          <w:noProof/>
        </w:rPr>
      </w:pPr>
      <w:r>
        <w:rPr>
          <w:noProof/>
        </w:rPr>
        <w:t xml:space="preserve">Status for de respektive områder i EU-medlemsstaterne og Montenegro i henhold til folkeretten og deres afgrænsning berøres på ingen måde hverken af denne aftale eller af nogen handling, der udøves under dens gennemførelse af parterne eller på deres vegne, herunder etablering af operative planer eller deltagelse i grænseoverskridende operationer. </w:t>
      </w:r>
    </w:p>
    <w:p>
      <w:pPr>
        <w:rPr>
          <w:rFonts w:eastAsia="Times New Roman"/>
          <w:i/>
          <w:noProof/>
        </w:rPr>
      </w:pPr>
      <w:r>
        <w:rPr>
          <w:i/>
          <w:noProof/>
        </w:rPr>
        <w:t>Iværksættelse af et tiltag</w:t>
      </w:r>
    </w:p>
    <w:p>
      <w:pPr>
        <w:rPr>
          <w:rFonts w:eastAsia="Times New Roman"/>
          <w:noProof/>
        </w:rPr>
      </w:pPr>
      <w:r>
        <w:rPr>
          <w:noProof/>
        </w:rPr>
        <w:t xml:space="preserve">Agenturet kan tage initiativ til at foreslå iværksættelse af et tiltag. De kompetente myndigheder i Montenegro kan anmode agenturet om at overveje at iværksætte et tiltag. Det kræver godkendelse både fra Montenegros kompetente myndigheder og fra agenturet at gennemføre et tiltag. </w:t>
      </w:r>
    </w:p>
    <w:p>
      <w:pPr>
        <w:rPr>
          <w:rFonts w:eastAsia="Arial Unicode MS"/>
          <w:i/>
          <w:noProof/>
          <w:color w:val="0000FF"/>
        </w:rPr>
      </w:pPr>
      <w:r>
        <w:rPr>
          <w:i/>
          <w:noProof/>
        </w:rPr>
        <w:t>Operativ plan</w:t>
      </w:r>
      <w:r>
        <w:rPr>
          <w:noProof/>
        </w:rPr>
        <w:t xml:space="preserve"> </w:t>
      </w:r>
    </w:p>
    <w:p>
      <w:pPr>
        <w:rPr>
          <w:rFonts w:eastAsia="Times New Roman"/>
          <w:noProof/>
        </w:rPr>
      </w:pPr>
      <w:r>
        <w:rPr>
          <w:noProof/>
        </w:rPr>
        <w:t xml:space="preserve">Forud for hver fælles operation eller hurtige grænseindsats skal der træffes aftale om en operativ plan mellem agenturet og Montenegro. Den eller de medlemsstater, der grænser op til det operative område, skal også være enige i den operative plan. </w:t>
      </w:r>
    </w:p>
    <w:p>
      <w:pPr>
        <w:spacing w:after="240"/>
        <w:rPr>
          <w:rFonts w:eastAsia="Times New Roman"/>
          <w:noProof/>
        </w:rPr>
      </w:pPr>
      <w:r>
        <w:rPr>
          <w:noProof/>
        </w:rPr>
        <w:lastRenderedPageBreak/>
        <w:t>Planen skal indeholde en detaljeret redegørelse for de organisatoriske og proceduremæssige aspekter af den fælles operation eller den hurtige grænseindsats, herunder en beskrivelse af situationen og en vurdering af denne, det operative mål og de operative målsætninger, den operative model, den type teknisk udstyr, der skal anvendes, gennemførelsesplanen, samarbejdet med andre tredjelande, andre EU-agenturer og -organer eller internationale organisationer, bestemmelserne vedrørende de grundlæggende rettigheder, herunder beskyttelse af personoplysninger, koordinerings-, kommando-, kontrol-, kommunikations- og rapporteringsstrukturen, de organisatoriske og logistiske ordninger samt evalueringen og de finansielle aspekter af den fælles operation eller den hurtige grænseindsats. Evalueringen af den fælles operation eller den hurtige grænseindsats gennemføres i fællesskab af Montenegro og agenturet.</w:t>
      </w:r>
    </w:p>
    <w:p>
      <w:pPr>
        <w:rPr>
          <w:rFonts w:eastAsia="Times New Roman"/>
          <w:i/>
          <w:noProof/>
        </w:rPr>
      </w:pPr>
      <w:r>
        <w:rPr>
          <w:i/>
          <w:noProof/>
        </w:rPr>
        <w:t>Holdmedlemmers opgaver og beføjelser</w:t>
      </w:r>
    </w:p>
    <w:p>
      <w:pPr>
        <w:rPr>
          <w:rFonts w:eastAsia="Times New Roman"/>
          <w:noProof/>
        </w:rPr>
      </w:pPr>
      <w:r>
        <w:rPr>
          <w:noProof/>
        </w:rPr>
        <w:t>Som hovedregel har holdene bemyndigelse til at udføre de opgaver og udøve de beføjelser, der er nødvendige for grænsekontrol og tilbagesendelsesoperationer. De skal overholde lovene og forskrifterne i Montenegro.</w:t>
      </w:r>
    </w:p>
    <w:p>
      <w:pPr>
        <w:rPr>
          <w:noProof/>
        </w:rPr>
      </w:pPr>
      <w:r>
        <w:rPr>
          <w:noProof/>
        </w:rPr>
        <w:t>Holdene må kun handle på Montenegros område efter instrukser fra og under tilstedeværelse af grænsevagter eller andet relevant personale fra Montenegro. Montenegro kan undtagelsesvist bemyndige holdmedlemmer til at handle på sine vegne.</w:t>
      </w:r>
    </w:p>
    <w:p>
      <w:pPr>
        <w:rPr>
          <w:rFonts w:eastAsia="Times New Roman"/>
          <w:noProof/>
        </w:rPr>
      </w:pPr>
      <w:r>
        <w:rPr>
          <w:noProof/>
        </w:rPr>
        <w:t>Holdmedlemmer skal efter omstændighederne bære deres egen uniform, synlig personlig identifikation og et blåt armbind med Den Europæiske Unions og agenturets insignier på deres uniform. De skal også bære et akkrediteringsdokument på sig, for at de nationale myndigheder i Montenegro klart kan identificere dem.</w:t>
      </w:r>
    </w:p>
    <w:p>
      <w:pPr>
        <w:rPr>
          <w:rFonts w:eastAsia="Times New Roman"/>
          <w:noProof/>
        </w:rPr>
      </w:pPr>
      <w:r>
        <w:rPr>
          <w:noProof/>
        </w:rPr>
        <w:t xml:space="preserve">Holdmedlemmerne kan bære tjenestevåben, ammunition og udstyr, som er godkendt i overensstemmelse med deres egen nationale lovgivning. Agenturet skal på forhånd underrettes af Montenegros myndigheder om tilladte tjenestevåben, ammunition og udstyr samt om betingelserne for deres anvendelse. </w:t>
      </w:r>
    </w:p>
    <w:p>
      <w:pPr>
        <w:rPr>
          <w:rFonts w:eastAsia="Times New Roman"/>
          <w:noProof/>
        </w:rPr>
      </w:pPr>
      <w:r>
        <w:rPr>
          <w:noProof/>
        </w:rPr>
        <w:t xml:space="preserve">Holdmedlemmerne kan anvende magt, herunder tjenestevåben, ammunition og udstyr, med samtykke fra deres egen stat og Montenegros myndigheder under tilstedeværelse af grænsevagter eller andet relevant personale fra Montenegro og i overensstemmelse med den nationale lovgivning i Montenegro. Montenegros myndigheder kan give holdmedlemmer tilladelse til også at anvende magt i fravær af deres grænsevagter. </w:t>
      </w:r>
    </w:p>
    <w:p>
      <w:pPr>
        <w:spacing w:after="240"/>
        <w:rPr>
          <w:rFonts w:eastAsia="Times New Roman"/>
          <w:iCs/>
          <w:noProof/>
        </w:rPr>
      </w:pPr>
      <w:r>
        <w:rPr>
          <w:noProof/>
        </w:rPr>
        <w:t xml:space="preserve">Montenegro kan give holdmedlemmer tilladelse til at foretage søgninger i sine nationale databaser, hvis det er nødvendigt for at opfylde de operative mål, der er fastlagt i den operative plan. Inden indsættelsen af holdmedlemmer oplyser Montenegros myndigheder agenturet om, hvilke nationale databaser der i overensstemmelse med Montenegro nationale lovgivning om databeskyttelse kan søges i. </w:t>
      </w:r>
    </w:p>
    <w:p>
      <w:pPr>
        <w:rPr>
          <w:i/>
          <w:noProof/>
        </w:rPr>
      </w:pPr>
      <w:r>
        <w:rPr>
          <w:i/>
          <w:noProof/>
        </w:rPr>
        <w:t>Suspension af tiltaget eller tiltagets ophør</w:t>
      </w:r>
    </w:p>
    <w:p>
      <w:pPr>
        <w:spacing w:after="240"/>
        <w:rPr>
          <w:rFonts w:eastAsia="Times New Roman"/>
          <w:noProof/>
        </w:rPr>
      </w:pPr>
      <w:r>
        <w:rPr>
          <w:noProof/>
        </w:rPr>
        <w:t xml:space="preserve">Både agenturet og Montenegros myndigheder kan suspendere tiltaget eller bringe det til ophør, hvis de finder, at bestemmelserne i aftalen eller i den operative plan ikke overholdes af den anden part. </w:t>
      </w:r>
    </w:p>
    <w:p>
      <w:pPr>
        <w:spacing w:line="288" w:lineRule="auto"/>
        <w:rPr>
          <w:rFonts w:eastAsia="Times New Roman"/>
          <w:i/>
          <w:noProof/>
          <w:color w:val="000000"/>
          <w:szCs w:val="24"/>
        </w:rPr>
      </w:pPr>
      <w:r>
        <w:rPr>
          <w:i/>
          <w:noProof/>
          <w:color w:val="000000"/>
        </w:rPr>
        <w:t>Holdmedlemmers privilegier og immuniteter</w:t>
      </w:r>
    </w:p>
    <w:p>
      <w:pPr>
        <w:rPr>
          <w:rFonts w:eastAsia="Times New Roman"/>
          <w:noProof/>
          <w:color w:val="000000"/>
          <w:szCs w:val="24"/>
        </w:rPr>
      </w:pPr>
      <w:r>
        <w:rPr>
          <w:noProof/>
          <w:color w:val="000000"/>
        </w:rPr>
        <w:t xml:space="preserve">Holdmedlemmer nyder immunitet fra strafferetlig forfølgelse i Montenegro med hensyn til handlinger, der foretages som led i udøvelsen af officielle funktioner ("i tjenesten"), men de nyder ikke immunitet for handlinger begået "uden for tjenesten". </w:t>
      </w:r>
    </w:p>
    <w:p>
      <w:pPr>
        <w:rPr>
          <w:rFonts w:eastAsia="Times New Roman"/>
          <w:noProof/>
          <w:color w:val="000000"/>
          <w:szCs w:val="24"/>
        </w:rPr>
      </w:pPr>
      <w:r>
        <w:rPr>
          <w:noProof/>
          <w:color w:val="000000"/>
        </w:rPr>
        <w:lastRenderedPageBreak/>
        <w:t xml:space="preserve">I den operative plan fastlægges præcist, hvilke handlinger der er omfattet af immunitet fra strafferetlig forfølgelse i Montenegro. </w:t>
      </w:r>
    </w:p>
    <w:p>
      <w:pPr>
        <w:rPr>
          <w:rFonts w:eastAsia="Times New Roman"/>
          <w:noProof/>
          <w:color w:val="000000"/>
          <w:szCs w:val="24"/>
        </w:rPr>
      </w:pPr>
      <w:r>
        <w:rPr>
          <w:noProof/>
          <w:color w:val="000000"/>
        </w:rPr>
        <w:t>I tilfælde af at der fremsættes påstand om, at et holdmedlem har begået en strafbar handling, skal agenturets administrerende direktør, før en sag indledes ved domstolene, over for Montenegros kompetente retslige myndigheder attestere, om den pågældende handling blev udført under udøvelsen af holdmedlemmets officielle funktioner eller ej. Agenturets administrerende direktør træffer sin afgørelse efter nøje overvejelse af eventuelle henvendelser fra den kompetente myndighed i den medlemsstat, som har indsat den pågældende grænsevagt eller andet relevant personale og de kompetente myndigheder i Montenegro. Attesteringen fra agenturets administrerende direktør er bindende for Montenegros kompetente myndigheder.</w:t>
      </w:r>
    </w:p>
    <w:p>
      <w:pPr>
        <w:rPr>
          <w:rFonts w:eastAsia="Times New Roman"/>
          <w:noProof/>
          <w:color w:val="000000"/>
          <w:szCs w:val="24"/>
        </w:rPr>
      </w:pPr>
      <w:r>
        <w:rPr>
          <w:noProof/>
          <w:color w:val="000000"/>
        </w:rPr>
        <w:t xml:space="preserve">De privilegier, der gives til holdmedlemmer, og immunitet fra strafferetlig forfølgelse i Montenegro fritager dem ikke fra strafferetlig forfølgelse i oprindelsesmedlemsstaten. </w:t>
      </w:r>
    </w:p>
    <w:p>
      <w:pPr>
        <w:rPr>
          <w:rFonts w:eastAsia="Times New Roman"/>
          <w:noProof/>
          <w:color w:val="000000"/>
          <w:szCs w:val="24"/>
        </w:rPr>
      </w:pPr>
      <w:r>
        <w:rPr>
          <w:noProof/>
          <w:color w:val="000000"/>
        </w:rPr>
        <w:t xml:space="preserve">En tilsvarende ordning gælder holdmedlemmernes civile og administrative ansvar. </w:t>
      </w:r>
    </w:p>
    <w:p>
      <w:pPr>
        <w:rPr>
          <w:rFonts w:eastAsia="Times New Roman"/>
          <w:noProof/>
          <w:color w:val="000000"/>
          <w:szCs w:val="24"/>
        </w:rPr>
      </w:pPr>
      <w:r>
        <w:rPr>
          <w:noProof/>
          <w:color w:val="000000"/>
        </w:rPr>
        <w:t>Holdmedlemmers immunitet fra strafferetlig, civilretlig og administrativ forfølgelse i Montenegro kan ophæves af den medlemsstat, der har indsat den pågældende grænsevagt eller andet relevant personale. En sådan ophævelse skal altid være eksplicit.</w:t>
      </w:r>
    </w:p>
    <w:p>
      <w:pPr>
        <w:rPr>
          <w:rFonts w:eastAsia="Times New Roman"/>
          <w:noProof/>
          <w:color w:val="000000"/>
          <w:szCs w:val="24"/>
        </w:rPr>
      </w:pPr>
      <w:r>
        <w:rPr>
          <w:noProof/>
          <w:color w:val="000000"/>
        </w:rPr>
        <w:t>Holdmedlemmer kan forpligtes til at vidne i retten i overensstemmelse med de proceduremæssige bestemmelser i Montenegro.</w:t>
      </w:r>
    </w:p>
    <w:p>
      <w:pPr>
        <w:rPr>
          <w:rFonts w:eastAsia="Times New Roman"/>
          <w:noProof/>
          <w:color w:val="000000"/>
          <w:szCs w:val="24"/>
        </w:rPr>
      </w:pPr>
      <w:r>
        <w:rPr>
          <w:noProof/>
          <w:color w:val="000000"/>
        </w:rPr>
        <w:t xml:space="preserve">Aftalen indeholder bestemmelser om en mekanisme til at kompensere for skader. Kompensationsmekanismen er baseret på artikel 42 i forordning (EU) 2016/1624 om den europæiske grænse- og kystvagt. Hvis skaden er forvoldt af et holdmedlem "i tjenesten", er Montenegro ansvarlig. Hvis skaden er forvoldt "i tjenesten" af et medlem af et hold fra en deltagende medlemsstat som følge af grov uagtsomhed eller forsætlig forsømmelse, eller hvis handlingen blev begået "uden for tjenesten", kan Montenegro via agenturets administrerende direktør anmode om, at den pågældende deltagende medlemsstat betaler kompensation. Hvis skaden er forvoldt af et medlem af agenturets personale, kan Montenegro anmode om, at agenturet betaler kompensation. </w:t>
      </w:r>
    </w:p>
    <w:p>
      <w:pPr>
        <w:rPr>
          <w:rFonts w:eastAsia="Times New Roman"/>
          <w:noProof/>
          <w:color w:val="000000"/>
          <w:szCs w:val="24"/>
        </w:rPr>
      </w:pPr>
      <w:r>
        <w:rPr>
          <w:noProof/>
          <w:color w:val="000000"/>
        </w:rPr>
        <w:t>Der må ikke træffes fuldbyrdelsesforanstaltninger over for holdmedlemmer, medmindre de sagsøges i en civil retssag, der ikke vedrører deres officielle funktioner.</w:t>
      </w:r>
    </w:p>
    <w:p>
      <w:pPr>
        <w:rPr>
          <w:rFonts w:eastAsia="Times New Roman"/>
          <w:noProof/>
          <w:color w:val="000000"/>
          <w:szCs w:val="24"/>
        </w:rPr>
      </w:pPr>
      <w:r>
        <w:rPr>
          <w:noProof/>
          <w:color w:val="000000"/>
        </w:rPr>
        <w:t>Holdmedlemmers ejendom, der er nødvendig for udøvelsen af deres officielle funktioner, må ikke beslaglægges. I civile retssager må holdmedlemmer ikke underkastes nogen begrænsninger i deres personlige frihed eller nogen anden tvangsforanstaltning.</w:t>
      </w:r>
    </w:p>
    <w:p>
      <w:pPr>
        <w:rPr>
          <w:rFonts w:eastAsia="Times New Roman"/>
          <w:noProof/>
          <w:color w:val="000000"/>
          <w:szCs w:val="24"/>
        </w:rPr>
      </w:pPr>
      <w:r>
        <w:rPr>
          <w:noProof/>
          <w:color w:val="000000"/>
        </w:rPr>
        <w:t>Holdmedlemmer er fritaget for de bestemmelser om social sikring, der eventuelt gælder i Montenegro, med hensyn til tjenester der udføres for agenturet. Holdmedlemmer er også fritaget for enhver form for beskatning i Montenegro af de vederlag og honorarer, som agenturet eller oprindelsesmedlemsstaten betaler dem, samt af enhver indkomst, der modtages fra kilder uden for Montenegro.</w:t>
      </w:r>
    </w:p>
    <w:p>
      <w:pPr>
        <w:rPr>
          <w:rFonts w:eastAsia="Times New Roman"/>
          <w:noProof/>
          <w:color w:val="000000"/>
          <w:szCs w:val="24"/>
        </w:rPr>
      </w:pPr>
      <w:r>
        <w:rPr>
          <w:noProof/>
          <w:color w:val="000000"/>
        </w:rPr>
        <w:t xml:space="preserve">Montenegros myndigheder tillader ind- og udførsel af genstande til holdmedlemmers personlige brug og fritager disse for al told og alle skatter og lignende afgifter (bortset fra betaling for lager- og transportydelser samt tilsvarende ydelser). </w:t>
      </w:r>
    </w:p>
    <w:p>
      <w:pPr>
        <w:spacing w:after="0"/>
        <w:rPr>
          <w:rFonts w:eastAsia="Times New Roman"/>
          <w:noProof/>
          <w:color w:val="000000"/>
          <w:szCs w:val="24"/>
        </w:rPr>
      </w:pPr>
      <w:r>
        <w:rPr>
          <w:noProof/>
          <w:color w:val="000000"/>
        </w:rPr>
        <w:t xml:space="preserve">Holdmedlemmers personlige bagage er fritaget for kontrol, medmindre der er begrundet formodning om, at den indeholder genstande, der ikke er til holdmedlemmernes personlige brug, eller genstande, hvis ind- eller udførsel er forbudt ved lov eller underlagt karantæneregler i Montenegro. Kontrol af sådan personlig bagage må kun udføres i </w:t>
      </w:r>
      <w:r>
        <w:rPr>
          <w:noProof/>
          <w:color w:val="000000"/>
        </w:rPr>
        <w:lastRenderedPageBreak/>
        <w:t>nærværelse af det eller de berørte holdmedlem(mer) eller af en bemyndiget repræsentant for agenturet.</w:t>
      </w:r>
    </w:p>
    <w:p>
      <w:pPr>
        <w:rPr>
          <w:rFonts w:eastAsia="Times New Roman"/>
          <w:noProof/>
          <w:color w:val="000000"/>
          <w:szCs w:val="24"/>
        </w:rPr>
      </w:pPr>
      <w:r>
        <w:rPr>
          <w:noProof/>
          <w:color w:val="000000"/>
        </w:rPr>
        <w:t xml:space="preserve">Holdmedlemmers dokumenter, korrespondance og ejendom er ukrænkelige, medmindre der er tale om fuldbyrdelsesforanstaltninger. </w:t>
      </w:r>
    </w:p>
    <w:p>
      <w:pPr>
        <w:rPr>
          <w:i/>
          <w:noProof/>
        </w:rPr>
      </w:pPr>
      <w:r>
        <w:rPr>
          <w:i/>
          <w:noProof/>
        </w:rPr>
        <w:t xml:space="preserve">Akkrediteringsdokument </w:t>
      </w:r>
    </w:p>
    <w:p>
      <w:pPr>
        <w:spacing w:after="240"/>
        <w:rPr>
          <w:rFonts w:eastAsia="Times New Roman"/>
          <w:noProof/>
          <w:color w:val="000000"/>
          <w:szCs w:val="24"/>
        </w:rPr>
      </w:pPr>
      <w:r>
        <w:rPr>
          <w:noProof/>
          <w:color w:val="000000"/>
        </w:rPr>
        <w:t>Agenturet udsteder i samarbejde med Montenegro et akkrediteringsdokument til holdmedlemmer med henblik på identifikation over for Montenegros myndigheder som bevis for indehaverens ret til at udføre de opgaver og udøve de beføjelser, denne er tillagt i henhold til denne aftale og i den operative plan. Akkrediteringsdokumentet giver i kombination med et gyldigt rejsedokument holdmedlemmet adgang til Montenegro uden visum eller forudgående tilladelse.</w:t>
      </w:r>
    </w:p>
    <w:p>
      <w:pPr>
        <w:rPr>
          <w:rFonts w:eastAsia="Times New Roman"/>
          <w:i/>
          <w:noProof/>
          <w:color w:val="000000"/>
          <w:szCs w:val="24"/>
        </w:rPr>
      </w:pPr>
      <w:r>
        <w:rPr>
          <w:i/>
          <w:noProof/>
          <w:color w:val="000000"/>
        </w:rPr>
        <w:t>Grundlæggende rettigheder</w:t>
      </w:r>
    </w:p>
    <w:p>
      <w:pPr>
        <w:rPr>
          <w:rFonts w:eastAsia="Times New Roman"/>
          <w:noProof/>
          <w:color w:val="000000"/>
          <w:szCs w:val="24"/>
        </w:rPr>
      </w:pPr>
      <w:r>
        <w:rPr>
          <w:noProof/>
          <w:color w:val="000000"/>
        </w:rPr>
        <w:t>Holdmedlemmer skal under udførelsen af deres opgaver og udøvelsen af deres beføjelser fuldt ud overholde de grundlæggende rettigheder og frihedsrettighederne, herunder for så vidt angår retten til adgang til asylprocedurer, principperne om menneskelig værdighed og forbuddet mod tortur og umenneskelig eller nedværdigende behandling, retten til frihed, princippet om nonrefoulement og forbuddet mod kollektive udvisninger, barnets rettigheder og retten til respekt for privatliv og familieliv. De må ikke øve nogen form for diskrimination mod personer, uanset grund, herunder køn, race eller etnisk oprindelse, religion eller tro, handicap, alder, seksuel orientering eller kønsidentitet. Eventuelle foranstaltninger, der griber ind i de grundlæggende rettigheder og frihedsrettigheder, skal stå i et rimeligt forhold til formålene med foranstaltningerne og respektere kernen i disse rettigheder.</w:t>
      </w:r>
    </w:p>
    <w:p>
      <w:pPr>
        <w:spacing w:after="240"/>
        <w:rPr>
          <w:rFonts w:eastAsia="Times New Roman"/>
          <w:noProof/>
          <w:color w:val="000000"/>
          <w:szCs w:val="24"/>
        </w:rPr>
      </w:pPr>
      <w:r>
        <w:rPr>
          <w:noProof/>
          <w:color w:val="000000"/>
        </w:rPr>
        <w:t xml:space="preserve">Hver part skal have en klagemekanisme til behandling af påstande om deres personales tilsidesættelse af de grundlæggende rettigheder. Agenturet har oprettet den klagemekanisme, der er omhandlet i artikel 72 i forordning (EU) 2016/1624 om den europæiske grænse- og kystvagt, og lever derfor op til dette krav. Ombudsmanden i Montenegro kan behandle sådanne påstande, medmindre Montenegros myndigheder beslutter at oprette en mekanisme, som specifikt har til opgave at behandle klager indgivet i henhold til denne aftale. </w:t>
      </w:r>
    </w:p>
    <w:p>
      <w:pPr>
        <w:rPr>
          <w:rFonts w:eastAsia="Times New Roman"/>
          <w:i/>
          <w:noProof/>
          <w:color w:val="000000"/>
          <w:szCs w:val="24"/>
        </w:rPr>
      </w:pPr>
      <w:r>
        <w:rPr>
          <w:i/>
          <w:noProof/>
          <w:color w:val="000000"/>
        </w:rPr>
        <w:t>Behandling af personoplysninger</w:t>
      </w:r>
    </w:p>
    <w:p>
      <w:pPr>
        <w:rPr>
          <w:rFonts w:eastAsia="Times New Roman"/>
          <w:i/>
          <w:noProof/>
          <w:color w:val="000000"/>
          <w:szCs w:val="24"/>
        </w:rPr>
      </w:pPr>
      <w:r>
        <w:rPr>
          <w:noProof/>
          <w:color w:val="000000"/>
        </w:rPr>
        <w:t>Personoplysninger skal, hvis det er nødvendigt af hensyn til udførelsen af opgaver og udøvelsen af beføjelser, behandles af holdmedlemmer i overensstemmelse med de gældende regler for agenturet og EU-medlemsstaterne. Montenegros myndigheders behandling af personoplysninger er underlagt dette lands nationale lovgivning.</w:t>
      </w:r>
    </w:p>
    <w:p>
      <w:pPr>
        <w:spacing w:after="240"/>
        <w:rPr>
          <w:rFonts w:eastAsia="Times New Roman"/>
          <w:i/>
          <w:noProof/>
          <w:color w:val="000000"/>
          <w:szCs w:val="24"/>
        </w:rPr>
      </w:pPr>
      <w:r>
        <w:rPr>
          <w:noProof/>
          <w:color w:val="000000"/>
        </w:rPr>
        <w:t>Agenturet, de deltagende medlemsstater og Montenegros myndigheder udarbejder en fælles rapport om behandlingen af holdmedlemmers personoplysninger ved det enkelte tiltags ophør. Denne rapport sendes til agenturets ansvarlige for grundlæggende rettigheder og til dets databeskyttelsesansvarlige. De aflægger rapport til agenturets administrerende direktør.</w:t>
      </w:r>
    </w:p>
    <w:p>
      <w:pPr>
        <w:rPr>
          <w:rFonts w:eastAsia="Times New Roman"/>
          <w:i/>
          <w:noProof/>
          <w:color w:val="000000"/>
          <w:szCs w:val="24"/>
        </w:rPr>
      </w:pPr>
      <w:r>
        <w:rPr>
          <w:i/>
          <w:noProof/>
          <w:color w:val="000000"/>
        </w:rPr>
        <w:t>Tvister og fortolkning</w:t>
      </w:r>
    </w:p>
    <w:p>
      <w:pPr>
        <w:spacing w:before="0"/>
        <w:rPr>
          <w:rFonts w:eastAsia="Times New Roman"/>
          <w:noProof/>
          <w:color w:val="000000"/>
          <w:szCs w:val="24"/>
        </w:rPr>
      </w:pPr>
      <w:r>
        <w:rPr>
          <w:noProof/>
          <w:color w:val="000000"/>
        </w:rPr>
        <w:t xml:space="preserve">Alle spørgsmål, der opstår i forbindelse med anvendelsen af denne aftale, drøftes i fællesskab af Montenegros kompetente myndigheder og repræsentanter for agenturet, som hører den eller de medlemsstater, der grænser op til Montenegro. </w:t>
      </w:r>
    </w:p>
    <w:p>
      <w:pPr>
        <w:spacing w:before="0"/>
        <w:rPr>
          <w:rFonts w:eastAsia="Times New Roman"/>
          <w:noProof/>
          <w:color w:val="000000"/>
          <w:szCs w:val="24"/>
        </w:rPr>
      </w:pPr>
      <w:r>
        <w:rPr>
          <w:noProof/>
          <w:color w:val="000000"/>
        </w:rPr>
        <w:t>I mangel af forudgående bilæggelse løses tvister om fortolkning eller anvendelse af denne aftale udelukkende gennem forhandling mellem Montenegro og Europa-Kommissionen, som, når den finder det nødvendigt, hører de medlemsstater, der grænser op til Montenegro.</w:t>
      </w:r>
    </w:p>
    <w:p>
      <w:pPr>
        <w:rPr>
          <w:rFonts w:eastAsia="Times New Roman"/>
          <w:i/>
          <w:noProof/>
          <w:color w:val="000000"/>
          <w:szCs w:val="24"/>
        </w:rPr>
      </w:pPr>
      <w:r>
        <w:rPr>
          <w:i/>
          <w:noProof/>
          <w:color w:val="000000"/>
        </w:rPr>
        <w:lastRenderedPageBreak/>
        <w:t>Myndigheder, der er ansvarlige for gennemførelsen af aftalen</w:t>
      </w:r>
    </w:p>
    <w:p>
      <w:pPr>
        <w:spacing w:after="240"/>
        <w:rPr>
          <w:rFonts w:eastAsia="Times New Roman"/>
          <w:b/>
          <w:noProof/>
          <w:color w:val="000000"/>
          <w:szCs w:val="24"/>
        </w:rPr>
      </w:pPr>
      <w:r>
        <w:rPr>
          <w:noProof/>
          <w:color w:val="000000"/>
        </w:rPr>
        <w:t>For Montenegro er indenrigsministeriet ansvarligt for gennemførelse af denne aftale. For Den Europæiske Union er det Det Europæiske Agentur for Grænse- og Kystbevogtning.</w:t>
      </w:r>
    </w:p>
    <w:p>
      <w:pPr>
        <w:rPr>
          <w:rFonts w:eastAsia="Times New Roman"/>
          <w:i/>
          <w:noProof/>
          <w:color w:val="000000"/>
          <w:szCs w:val="24"/>
        </w:rPr>
      </w:pPr>
      <w:r>
        <w:rPr>
          <w:i/>
          <w:noProof/>
          <w:color w:val="000000"/>
        </w:rPr>
        <w:t>Fælles erklæring</w:t>
      </w:r>
    </w:p>
    <w:p>
      <w:pPr>
        <w:spacing w:after="240"/>
        <w:rPr>
          <w:rFonts w:eastAsia="Times New Roman"/>
          <w:noProof/>
          <w:color w:val="000000"/>
          <w:szCs w:val="24"/>
        </w:rPr>
      </w:pPr>
      <w:r>
        <w:rPr>
          <w:noProof/>
          <w:color w:val="000000"/>
        </w:rPr>
        <w:t>Parterne er enige om at afholde sig fra enhver foranstaltning, som vil kunne skade værtsstatens kompetente myndigheders eventuelle efterfølgende strafferetlige forfølgelse af et holdmedlem, herunder aktivt at lette tilbagesendelsen af det berørte holdmedlem fra den europæiske grænse- og kystvagts operationslokaler i Montenegro til vedkommendes oprindelsesmedlemsstat, indtil attesteringen fra agenturets administrerende direktør foreligger.</w:t>
      </w:r>
    </w:p>
    <w:p>
      <w:pPr>
        <w:rPr>
          <w:rFonts w:eastAsia="Calibri"/>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2019/0041 (NLE)</w:t>
      </w:r>
    </w:p>
    <w:p>
      <w:pPr>
        <w:pStyle w:val="Statut"/>
        <w:rPr>
          <w:noProof/>
        </w:rPr>
      </w:pPr>
      <w:r>
        <w:rPr>
          <w:noProof/>
        </w:rPr>
        <w:t>Forslag til</w:t>
      </w:r>
    </w:p>
    <w:p>
      <w:pPr>
        <w:pStyle w:val="Typedudocument"/>
        <w:rPr>
          <w:noProof/>
        </w:rPr>
      </w:pPr>
      <w:r>
        <w:rPr>
          <w:noProof/>
        </w:rPr>
        <w:t>RÅDETS AFGØRELSE</w:t>
      </w:r>
    </w:p>
    <w:p>
      <w:pPr>
        <w:pStyle w:val="Titreobjet"/>
        <w:rPr>
          <w:noProof/>
        </w:rPr>
      </w:pPr>
      <w:r>
        <w:rPr>
          <w:noProof/>
        </w:rPr>
        <w:t xml:space="preserve">om undertegnelse på Unionens vegne af statusaftalen mellem Den Europæiske Union og Montenegro om tiltag, som gennemføres af Det Europæiske Agentur for Grænse- og Kystbevogtning i Montenegro </w:t>
      </w:r>
    </w:p>
    <w:p>
      <w:pPr>
        <w:pStyle w:val="Institutionquiagit"/>
        <w:rPr>
          <w:noProof/>
        </w:rPr>
      </w:pPr>
      <w:r>
        <w:rPr>
          <w:noProof/>
        </w:rPr>
        <w:t>RÅDET FOR DEN EUROPÆISKE UNION HAR —</w:t>
      </w:r>
    </w:p>
    <w:p>
      <w:pPr>
        <w:rPr>
          <w:noProof/>
        </w:rPr>
      </w:pPr>
      <w:r>
        <w:rPr>
          <w:noProof/>
        </w:rPr>
        <w:t>under henvisning til traktaten om Den Europæiske Unions funktionsmåde, særlig artikel 77, stk. 2, litra b) og d), og artikel 79, stk. 2, litra c), sammenholdt med artikel 218, stk. 5,</w:t>
      </w:r>
    </w:p>
    <w:p>
      <w:pPr>
        <w:rPr>
          <w:noProof/>
        </w:rPr>
      </w:pPr>
      <w:r>
        <w:rPr>
          <w:noProof/>
        </w:rPr>
        <w:t>under henvisning til forslag fra Europa-Kommissionen, og</w:t>
      </w:r>
    </w:p>
    <w:p>
      <w:pPr>
        <w:rPr>
          <w:noProof/>
        </w:rPr>
      </w:pPr>
      <w:r>
        <w:rPr>
          <w:noProof/>
        </w:rPr>
        <w:t>ud fra følgende betragtninger:</w:t>
      </w:r>
    </w:p>
    <w:p>
      <w:pPr>
        <w:pStyle w:val="ManualConsidrant"/>
        <w:rPr>
          <w:noProof/>
        </w:rPr>
      </w:pPr>
      <w:r>
        <w:t>(1)</w:t>
      </w:r>
      <w:r>
        <w:tab/>
      </w:r>
      <w:r>
        <w:rPr>
          <w:noProof/>
        </w:rPr>
        <w:t>I henhold til artikel 54, stk. 4, i Europa-Parlamentets og Rådets forordning (EU) 2016/1624</w:t>
      </w:r>
      <w:r>
        <w:rPr>
          <w:rStyle w:val="FootnoteReference"/>
          <w:noProof/>
        </w:rPr>
        <w:footnoteReference w:id="5"/>
      </w:r>
      <w:r>
        <w:rPr>
          <w:noProof/>
        </w:rPr>
        <w:t xml:space="preserve"> skal der i tilfælde, hvor der forudses indsættelse af hold fra den europæiske grænse- og kystvagt i tredjelande i tiltag, hvor holdmedlemmerne har udøvende beføjelser, eller hvor andre tiltag i tredjelande nødvendiggør det, indgås en statusaftale mellem Unionen og tredjelandet. Denne statusaftale bør omfatte alle aspekter, der er nødvendige for at gennemføre tiltagene.</w:t>
      </w:r>
    </w:p>
    <w:p>
      <w:pPr>
        <w:pStyle w:val="ManualConsidrant"/>
        <w:rPr>
          <w:noProof/>
        </w:rPr>
      </w:pPr>
      <w:r>
        <w:t>(2)</w:t>
      </w:r>
      <w:r>
        <w:tab/>
      </w:r>
      <w:r>
        <w:rPr>
          <w:noProof/>
        </w:rPr>
        <w:t xml:space="preserve">Rådet bemyndigede den 16. oktober 2017 Kommissionen til at indlede forhandlinger med Montenegro om en statusaftale om tiltag, som gennemføres af Det Europæiske Agentur for Grænse- og Kystbevogtning i Montenegro. </w:t>
      </w:r>
    </w:p>
    <w:p>
      <w:pPr>
        <w:pStyle w:val="ManualConsidrant"/>
        <w:rPr>
          <w:noProof/>
        </w:rPr>
      </w:pPr>
      <w:r>
        <w:t>(3)</w:t>
      </w:r>
      <w:r>
        <w:tab/>
      </w:r>
      <w:r>
        <w:rPr>
          <w:noProof/>
        </w:rPr>
        <w:t>Forhandlingerne blev afsluttet med positivt resultat ved paraferingen af statusaftalen mellem Den Europæiske Union og Montenegro om tiltag, som gennemføres af Det Europæiske Agentur for Grænse- og Kystbevogtning i Montenegro ("aftalen").</w:t>
      </w:r>
    </w:p>
    <w:p>
      <w:pPr>
        <w:pStyle w:val="ManualConsidrant"/>
        <w:rPr>
          <w:noProof/>
          <w:szCs w:val="24"/>
        </w:rPr>
      </w:pPr>
      <w:r>
        <w:t>(4)</w:t>
      </w:r>
      <w:r>
        <w:tab/>
      </w:r>
      <w:r>
        <w:rPr>
          <w:noProof/>
        </w:rPr>
        <w:t>Denne afgørelse udgør en udvikling af bestemmelser i Schengenreglerne, som Det Forenede Kongerige ikke deltager i, jf. Rådets afgørelse 2000/365/EF</w:t>
      </w:r>
      <w:r>
        <w:rPr>
          <w:rStyle w:val="FootnoteReference"/>
          <w:noProof/>
        </w:rPr>
        <w:footnoteReference w:id="6"/>
      </w:r>
      <w:r>
        <w:rPr>
          <w:noProof/>
        </w:rPr>
        <w:t xml:space="preserve">. Det Forenede Kongerige deltager derfor ikke i vedtagelsen af denne afgørelse, som ikke er bindende for og ikke finder anvendelse i Det Forenede Kongerige. </w:t>
      </w:r>
    </w:p>
    <w:p>
      <w:pPr>
        <w:pStyle w:val="ManualConsidrant"/>
        <w:rPr>
          <w:noProof/>
          <w:szCs w:val="24"/>
        </w:rPr>
      </w:pPr>
      <w:r>
        <w:t>(5)</w:t>
      </w:r>
      <w:r>
        <w:tab/>
      </w:r>
      <w:r>
        <w:rPr>
          <w:noProof/>
        </w:rPr>
        <w:t>Denne afgørelse udgør en udvikling af bestemmelser i Schengenreglerne, som Irland ikke deltager i, jf. Rådets afgørelse 2002/192/EF</w:t>
      </w:r>
      <w:r>
        <w:rPr>
          <w:rStyle w:val="FootnoteReference"/>
          <w:noProof/>
        </w:rPr>
        <w:footnoteReference w:id="7"/>
      </w:r>
      <w:r>
        <w:rPr>
          <w:noProof/>
        </w:rPr>
        <w:t>. Irland deltager derfor ikke i vedtagelsen af denne afgørelse, som ikke er bindende for og ikke finder anvendelse i Irland.</w:t>
      </w:r>
    </w:p>
    <w:p>
      <w:pPr>
        <w:pStyle w:val="ManualConsidrant"/>
        <w:rPr>
          <w:noProof/>
          <w:szCs w:val="24"/>
        </w:rPr>
      </w:pPr>
      <w:r>
        <w:lastRenderedPageBreak/>
        <w:t>(6)</w:t>
      </w:r>
      <w:r>
        <w:tab/>
      </w:r>
      <w:r>
        <w:rPr>
          <w:noProof/>
        </w:rPr>
        <w:t>I medfør af artikel 1 og 2 i protokol nr. 22 om Danmarks stilling, der er knyttet som bilag til traktaten om Den Europæiske Union og til traktaten om Den Europæiske Unions funktionsmåde, deltager Danmark ikke i vedtagelsen af denne afgørelse, som ikke er bindende for og ikke finder anvendelse i Danmark.</w:t>
      </w:r>
    </w:p>
    <w:p>
      <w:pPr>
        <w:pStyle w:val="ManualConsidrant"/>
        <w:rPr>
          <w:noProof/>
        </w:rPr>
      </w:pPr>
      <w:r>
        <w:t>(7)</w:t>
      </w:r>
      <w:r>
        <w:tab/>
      </w:r>
      <w:r>
        <w:rPr>
          <w:noProof/>
        </w:rPr>
        <w:t>Aftalen bør derfor undertegnes på Unionens vegne med forbehold af dens indgåelse på et senere tidspunkt, og vedlagte erklæringer bør godkendes —</w:t>
      </w:r>
    </w:p>
    <w:p>
      <w:pPr>
        <w:pStyle w:val="Formuledadoption"/>
        <w:rPr>
          <w:noProof/>
        </w:rPr>
      </w:pPr>
      <w:r>
        <w:rPr>
          <w:noProof/>
        </w:rPr>
        <w:t xml:space="preserve">VEDTAGET DENNE AFGØRELSE: </w:t>
      </w:r>
    </w:p>
    <w:p>
      <w:pPr>
        <w:pStyle w:val="Titrearticle"/>
        <w:rPr>
          <w:noProof/>
        </w:rPr>
      </w:pPr>
      <w:r>
        <w:rPr>
          <w:noProof/>
        </w:rPr>
        <w:t>Artikel 1</w:t>
      </w:r>
    </w:p>
    <w:p>
      <w:pPr>
        <w:rPr>
          <w:noProof/>
        </w:rPr>
      </w:pPr>
      <w:r>
        <w:rPr>
          <w:noProof/>
        </w:rPr>
        <w:t>Undertegnelsen af statusaftalen mellem Den Europæiske Union og Montenegro om tiltag, som gennemføres af Det Europæiske Agentur for Grænse- og Kystbevogtning i Montenegro ("aftalen"), godkendes hermed på vegne af Unionen med forbehold af indgåelse af aftalen.</w:t>
      </w:r>
    </w:p>
    <w:p>
      <w:pPr>
        <w:rPr>
          <w:noProof/>
        </w:rPr>
      </w:pPr>
      <w:r>
        <w:rPr>
          <w:noProof/>
        </w:rPr>
        <w:t xml:space="preserve">Teksten til aftalen er knyttet til denne afgørelse. </w:t>
      </w:r>
    </w:p>
    <w:p>
      <w:pPr>
        <w:pStyle w:val="Titrearticle"/>
        <w:rPr>
          <w:noProof/>
          <w:color w:val="0000FF"/>
        </w:rPr>
      </w:pPr>
      <w:r>
        <w:rPr>
          <w:noProof/>
        </w:rPr>
        <w:t>Artikel 2</w:t>
      </w:r>
    </w:p>
    <w:p>
      <w:pPr>
        <w:rPr>
          <w:noProof/>
        </w:rPr>
      </w:pPr>
      <w:r>
        <w:rPr>
          <w:noProof/>
        </w:rPr>
        <w:t xml:space="preserve">Erklæringen, der er knyttet til denne afgørelse, godkendes på Unionens vegne. </w:t>
      </w:r>
    </w:p>
    <w:p>
      <w:pPr>
        <w:pStyle w:val="Titrearticle"/>
        <w:rPr>
          <w:noProof/>
          <w:color w:val="0000FF"/>
        </w:rPr>
      </w:pPr>
      <w:r>
        <w:rPr>
          <w:noProof/>
        </w:rPr>
        <w:t xml:space="preserve">Artikel 3 </w:t>
      </w:r>
    </w:p>
    <w:p>
      <w:pPr>
        <w:rPr>
          <w:noProof/>
        </w:rPr>
      </w:pPr>
      <w:r>
        <w:rPr>
          <w:noProof/>
        </w:rPr>
        <w:t>Generalsekretariatet for Rådet udarbejder det relevante fuldmagtsinstrument til undertegnelse af aftalen, med forbehold af dens indgåelse, til den eller de personer, der er udpeget af forhandleren af aftalen.</w:t>
      </w:r>
    </w:p>
    <w:p>
      <w:pPr>
        <w:pStyle w:val="Titrearticle"/>
        <w:rPr>
          <w:noProof/>
        </w:rPr>
      </w:pPr>
      <w:r>
        <w:rPr>
          <w:noProof/>
        </w:rPr>
        <w:t>Artikel 4</w:t>
      </w:r>
    </w:p>
    <w:p>
      <w:pPr>
        <w:keepLines/>
        <w:rPr>
          <w:noProof/>
        </w:rPr>
      </w:pPr>
      <w:r>
        <w:rPr>
          <w:noProof/>
        </w:rPr>
        <w:t xml:space="preserve">Denne afgørelse træder i kraft på dagen for vedtagelsen. </w:t>
      </w:r>
    </w:p>
    <w:p>
      <w:pPr>
        <w:pStyle w:val="Fait"/>
        <w:rPr>
          <w:noProof/>
        </w:rPr>
      </w:pPr>
      <w:r>
        <w:t xml:space="preserve">Udfærdiget i Bruxelles, den </w:t>
      </w:r>
      <w:r>
        <w:rPr>
          <w:rStyle w:val="Marker"/>
        </w:rPr>
        <w:t>[…]</w:t>
      </w:r>
      <w:r>
        <w:t>.</w:t>
      </w:r>
    </w:p>
    <w:p>
      <w:pPr>
        <w:pStyle w:val="Institutionquisigne"/>
        <w:rPr>
          <w:noProof/>
        </w:rPr>
      </w:pPr>
      <w:r>
        <w:rPr>
          <w:noProof/>
        </w:rPr>
        <w:tab/>
        <w:t>På Rådets vegne</w:t>
      </w:r>
    </w:p>
    <w:p>
      <w:pPr>
        <w:pStyle w:val="Personnequisigne"/>
        <w:rPr>
          <w:noProof/>
        </w:rPr>
      </w:pPr>
      <w:r>
        <w:rPr>
          <w:noProof/>
        </w:rPr>
        <w:tab/>
        <w:t>Formand</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10</w:t>
    </w:r>
    <w:r>
      <w:fldChar w:fldCharType="end"/>
    </w:r>
    <w:r>
      <w:tab/>
    </w:r>
    <w:r>
      <w:tab/>
    </w:r>
    <w:r>
      <w:rPr>
        <w:rFonts w:ascii="Arial" w:hAnsi="Arial" w:cs="Arial"/>
        <w:b/>
        <w:sz w:val="48"/>
      </w:rPr>
      <w:t>DA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EUT L 251 af 16.9.2016, s. 1.</w:t>
      </w:r>
    </w:p>
  </w:footnote>
  <w:footnote w:id="2">
    <w:p>
      <w:pPr>
        <w:pStyle w:val="FootnoteText"/>
        <w:rPr>
          <w:rFonts w:ascii="Calibri" w:hAnsi="Calibri"/>
        </w:rPr>
      </w:pPr>
      <w:r>
        <w:rPr>
          <w:rStyle w:val="FootnoteReference"/>
        </w:rPr>
        <w:footnoteRef/>
      </w:r>
      <w:r>
        <w:tab/>
        <w:t>*</w:t>
      </w:r>
      <w:r>
        <w:tab/>
        <w:t>Denne betegnelse indebærer ingen stillingtagen til Kosovos status, og den er i overensstemmelse med FN's Sikkerhedsråds resolution 1244/1999 og Den Internationale Domstols udtalelse om Kosovos uafhængighedserklæring.</w:t>
      </w:r>
    </w:p>
  </w:footnote>
  <w:footnote w:id="3">
    <w:p>
      <w:pPr>
        <w:pStyle w:val="FootnoteText"/>
      </w:pPr>
      <w:r>
        <w:rPr>
          <w:rStyle w:val="FootnoteReference"/>
        </w:rPr>
        <w:footnoteRef/>
      </w:r>
      <w:r>
        <w:tab/>
        <w:t>COM(2015) 240 final.</w:t>
      </w:r>
    </w:p>
  </w:footnote>
  <w:footnote w:id="4">
    <w:p>
      <w:pPr>
        <w:pStyle w:val="FootnoteText"/>
      </w:pPr>
      <w:r>
        <w:rPr>
          <w:rStyle w:val="FootnoteReference"/>
        </w:rPr>
        <w:footnoteRef/>
      </w:r>
      <w:r>
        <w:tab/>
        <w:t>COM(2015) 185 final.</w:t>
      </w:r>
    </w:p>
  </w:footnote>
  <w:footnote w:id="5">
    <w:p>
      <w:pPr>
        <w:pStyle w:val="FootnoteText"/>
      </w:pPr>
      <w:r>
        <w:rPr>
          <w:rStyle w:val="FootnoteReference"/>
        </w:rPr>
        <w:footnoteRef/>
      </w:r>
      <w:r>
        <w:tab/>
        <w:t>Europa-Parlamentets og Rådets forordning (EU) 2016/1624 af 14. september 2016 om den europæiske grænse- og kystvagt og om ændring af Europa-Parlamentets og Rådets forordning (EU) 2016/399 og om ophævelse af Europa-Parlamentets og Rådets forordning (EF) nr. 863/2007, Rådets forordning (EF) nr. 2007/2004 og Rådets beslutning 2005/267/EF (EUT L 251 af 16.9.2016, s. 1).</w:t>
      </w:r>
    </w:p>
  </w:footnote>
  <w:footnote w:id="6">
    <w:p>
      <w:pPr>
        <w:pStyle w:val="FootnoteText"/>
      </w:pPr>
      <w:r>
        <w:rPr>
          <w:rStyle w:val="FootnoteReference"/>
        </w:rPr>
        <w:footnoteRef/>
      </w:r>
      <w:r>
        <w:tab/>
        <w:t>Rådets afgørelse 2000/365/EF af 29. maj 2000 om anmodningen fra Det Forenede Kongerige Storbritannien og Nordirland om at deltage i visse bestemmelser i Schengenreglerne (EFT L 131 af 1.6.2000, s. 43).</w:t>
      </w:r>
    </w:p>
  </w:footnote>
  <w:footnote w:id="7">
    <w:p>
      <w:pPr>
        <w:pStyle w:val="FootnoteText"/>
      </w:pPr>
      <w:r>
        <w:rPr>
          <w:rStyle w:val="FootnoteReference"/>
        </w:rPr>
        <w:footnoteRef/>
      </w:r>
      <w:r>
        <w:tab/>
        <w:t xml:space="preserve">Rådets afgørelse 2002/192/EF af 28. februar 2002 om anmodningen fra Irland om at deltage i visse bestemmelser i Schengenreglerne (EFT L 64 af 7.3.2002, s. 20).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1C490F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5D008E6"/>
    <w:lvl w:ilvl="0">
      <w:start w:val="1"/>
      <w:numFmt w:val="decimal"/>
      <w:pStyle w:val="ListNumber3"/>
      <w:lvlText w:val="%1."/>
      <w:lvlJc w:val="left"/>
      <w:pPr>
        <w:tabs>
          <w:tab w:val="num" w:pos="926"/>
        </w:tabs>
        <w:ind w:left="926" w:hanging="360"/>
      </w:pPr>
    </w:lvl>
  </w:abstractNum>
  <w:abstractNum w:abstractNumId="2">
    <w:nsid w:val="FFFFFF7F"/>
    <w:multiLevelType w:val="singleLevel"/>
    <w:tmpl w:val="C26ACE2E"/>
    <w:lvl w:ilvl="0">
      <w:start w:val="1"/>
      <w:numFmt w:val="decimal"/>
      <w:pStyle w:val="ListNumber2"/>
      <w:lvlText w:val="%1."/>
      <w:lvlJc w:val="left"/>
      <w:pPr>
        <w:tabs>
          <w:tab w:val="num" w:pos="643"/>
        </w:tabs>
        <w:ind w:left="643" w:hanging="360"/>
      </w:pPr>
    </w:lvl>
  </w:abstractNum>
  <w:abstractNum w:abstractNumId="3">
    <w:nsid w:val="FFFFFF81"/>
    <w:multiLevelType w:val="singleLevel"/>
    <w:tmpl w:val="170A4EB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D426BD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BF0347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F6A9DB4"/>
    <w:lvl w:ilvl="0">
      <w:start w:val="1"/>
      <w:numFmt w:val="decimal"/>
      <w:pStyle w:val="ListNumber"/>
      <w:lvlText w:val="%1."/>
      <w:lvlJc w:val="left"/>
      <w:pPr>
        <w:tabs>
          <w:tab w:val="num" w:pos="360"/>
        </w:tabs>
        <w:ind w:left="360" w:hanging="360"/>
      </w:pPr>
    </w:lvl>
  </w:abstractNum>
  <w:abstractNum w:abstractNumId="7">
    <w:nsid w:val="FFFFFF89"/>
    <w:multiLevelType w:val="singleLevel"/>
    <w:tmpl w:val="84EA939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oNotDisplayPageBoundaries/>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2-13 17:50:2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1"/>
    <w:docVar w:name="LW_CORRIGENDUM" w:val="&lt;UNUSED&gt;"/>
    <w:docVar w:name="LW_COVERPAGE_EXISTS" w:val="True"/>
    <w:docVar w:name="LW_COVERPAGE_GUID" w:val="35A49938-60A2-4781-AD0E-B61B5D67B833"/>
    <w:docVar w:name="LW_COVERPAGE_TYPE" w:val="1"/>
    <w:docVar w:name="LW_CROSSREFERENCE" w:val="&lt;UNUSED&gt;"/>
    <w:docVar w:name="LW_DocType" w:val="COM"/>
    <w:docVar w:name="LW_EMISSION" w:val="21.2.2019"/>
    <w:docVar w:name="LW_EMISSION_ISODATE" w:val="2019-02-21"/>
    <w:docVar w:name="LW_EMISSION_LOCATION" w:val="BRX"/>
    <w:docVar w:name="LW_EMISSION_PREFIX" w:val="Bruxelles, den "/>
    <w:docVar w:name="LW_EMISSION_SUFFIX" w:val="&lt;EMPTY&gt;"/>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DA"/>
    <w:docVar w:name="LW_LEVEL_OF_SENSITIVITY" w:val="Standard treatment"/>
    <w:docVar w:name="LW_NOM.INST" w:val="EUROPA-KOMMISSIONEN"/>
    <w:docVar w:name="LW_NOM.INST_JOINTDOC" w:val="&lt;EMPTY&gt;"/>
    <w:docVar w:name="LW_PART_NBR" w:val="1"/>
    <w:docVar w:name="LW_PART_NBR_TOTAL" w:val="1"/>
    <w:docVar w:name="LW_REF.II.NEW.CP" w:val="NLE"/>
    <w:docVar w:name="LW_REF.II.NEW.CP_NUMBER" w:val="0041"/>
    <w:docVar w:name="LW_REF.II.NEW.CP_YEAR" w:val="2019"/>
    <w:docVar w:name="LW_REF.INST.NEW" w:val="COM"/>
    <w:docVar w:name="LW_REF.INST.NEW_ADOPTED" w:val="final"/>
    <w:docVar w:name="LW_REF.INST.NEW_TEXT" w:val="(2019) 8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Forslag til"/>
    <w:docVar w:name="LW_SUPERTITRE" w:val="&lt;UNUSED&gt;"/>
    <w:docVar w:name="LW_TITRE.OBJ.CP" w:val="om undertegnelse på Unionens vegne af statusaftalen mellem Den Europæiske Union og Montenegro om tiltag, som gennemføres af Det Europæiske Agentur for Grænse- og Kystbevogtning i Montenegro "/>
    <w:docVar w:name="LW_TYPE.DOC.CP" w:val="RÅDETS AFGØRELS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uiPriority w:val="99"/>
    <w:unhideWhenUsed/>
    <w:rPr>
      <w:strike w:val="0"/>
      <w:dstrike w:val="0"/>
      <w:color w:val="0065A2"/>
      <w:u w:val="none"/>
      <w:effect w:val="none"/>
      <w:shd w:val="clear" w:color="auto" w:fill="auto"/>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uiPriority w:val="99"/>
    <w:unhideWhenUsed/>
    <w:rPr>
      <w:strike w:val="0"/>
      <w:dstrike w:val="0"/>
      <w:color w:val="0065A2"/>
      <w:u w:val="none"/>
      <w:effect w:val="none"/>
      <w:shd w:val="clear" w:color="auto" w:fill="auto"/>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08307">
      <w:bodyDiv w:val="1"/>
      <w:marLeft w:val="0"/>
      <w:marRight w:val="0"/>
      <w:marTop w:val="0"/>
      <w:marBottom w:val="0"/>
      <w:divBdr>
        <w:top w:val="none" w:sz="0" w:space="0" w:color="auto"/>
        <w:left w:val="none" w:sz="0" w:space="0" w:color="auto"/>
        <w:bottom w:val="none" w:sz="0" w:space="0" w:color="auto"/>
        <w:right w:val="none" w:sz="0" w:space="0" w:color="auto"/>
      </w:divBdr>
    </w:div>
    <w:div w:id="1168207489">
      <w:bodyDiv w:val="1"/>
      <w:marLeft w:val="0"/>
      <w:marRight w:val="0"/>
      <w:marTop w:val="0"/>
      <w:marBottom w:val="0"/>
      <w:divBdr>
        <w:top w:val="none" w:sz="0" w:space="0" w:color="auto"/>
        <w:left w:val="none" w:sz="0" w:space="0" w:color="auto"/>
        <w:bottom w:val="none" w:sz="0" w:space="0" w:color="auto"/>
        <w:right w:val="none" w:sz="0" w:space="0" w:color="auto"/>
      </w:divBdr>
    </w:div>
    <w:div w:id="201695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EE43E-D313-4D58-B13C-23D7D824C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11</Pages>
  <Words>3434</Words>
  <Characters>21637</Characters>
  <Application>Microsoft Office Word</Application>
  <DocSecurity>0</DocSecurity>
  <Lines>360</Lines>
  <Paragraphs>151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2019-02-08T13:16:00Z</cp:lastPrinted>
  <dcterms:created xsi:type="dcterms:W3CDTF">2019-02-11T08:33:00Z</dcterms:created>
  <dcterms:modified xsi:type="dcterms:W3CDTF">2019-02-13T16:50:00Z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