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FD145F63-8F38-43E8-9A51-F3274208F27E" style="width:450.45pt;height:351.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Justificação e objetivos da proposta</w:t>
      </w:r>
    </w:p>
    <w:p>
      <w:pPr>
        <w:pBdr>
          <w:top w:val="nil"/>
          <w:left w:val="nil"/>
          <w:bottom w:val="nil"/>
          <w:right w:val="nil"/>
          <w:between w:val="nil"/>
          <w:bar w:val="nil"/>
        </w:pBdr>
        <w:spacing w:before="0" w:after="240"/>
        <w:rPr>
          <w:noProof/>
        </w:rPr>
      </w:pPr>
      <w:r>
        <w:rPr>
          <w:noProof/>
        </w:rPr>
        <w:t>Na sequência dos acórdãos do Tribunal de Justiça nos chamados processos «Céu Aberto», o Conselho autorizou a Comissão, em 5 de junho de 2003, a encetar negociações com países terceiros sobre a substituição de certas disposições dos acordos bilaterais de serviços aéreos em vigor por um acordo a nível da União («autorização horizontal»). Estes acordos têm por objetivo conceder a todas as transportadoras aéreas da UE acesso não discriminatório a ligações entre a União Europeia e países terceiros e, assim, tornar os acordos bilaterais de serviços aéreos celebrados entre Estados-Membros e países terceiros conformes com o direito da União.</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Coerência com as disposições em vigor no mesmo domínio de intervenção</w:t>
      </w:r>
    </w:p>
    <w:p>
      <w:pPr>
        <w:pBdr>
          <w:top w:val="nil"/>
          <w:left w:val="nil"/>
          <w:bottom w:val="nil"/>
          <w:right w:val="nil"/>
          <w:between w:val="nil"/>
          <w:bar w:val="nil"/>
        </w:pBdr>
        <w:spacing w:before="0" w:after="240"/>
        <w:rPr>
          <w:noProof/>
        </w:rPr>
      </w:pPr>
      <w:r>
        <w:rPr>
          <w:noProof/>
        </w:rPr>
        <w:t>As disposições do acordo substituem ou completam as disposições vigentes dos 22 acordos bilaterais de serviços aéreos celebrados entre os Estados-Membros e a República da Coreia.</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Coerência com as outras políticas da União</w:t>
      </w:r>
    </w:p>
    <w:p>
      <w:pPr>
        <w:pBdr>
          <w:top w:val="nil"/>
          <w:left w:val="nil"/>
          <w:bottom w:val="nil"/>
          <w:right w:val="nil"/>
          <w:between w:val="nil"/>
          <w:bar w:val="nil"/>
        </w:pBdr>
        <w:spacing w:before="0" w:after="240"/>
        <w:rPr>
          <w:noProof/>
        </w:rPr>
      </w:pPr>
      <w:r>
        <w:rPr>
          <w:noProof/>
        </w:rPr>
        <w:t>Ao tornar os acordos bilaterais de serviços aéreos em vigor conformes com o direito da União, o acordo dará resposta a um objetivo fundamental da política externa da União no setor da aviação.</w:t>
      </w:r>
    </w:p>
    <w:p>
      <w:pPr>
        <w:pStyle w:val="ManualHeading1"/>
        <w:rPr>
          <w:noProof/>
        </w:rPr>
      </w:pPr>
      <w:r>
        <w:rPr>
          <w:noProof/>
        </w:rPr>
        <w:t>2.</w:t>
      </w:r>
      <w:r>
        <w:rPr>
          <w:noProof/>
        </w:rPr>
        <w:tab/>
        <w:t>BASE JURÍDICA, SUBSIDIARIEDADE E PROPORCIONALIDADE</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Base jurídica</w:t>
      </w:r>
    </w:p>
    <w:p>
      <w:pPr>
        <w:pBdr>
          <w:top w:val="nil"/>
          <w:left w:val="nil"/>
          <w:bottom w:val="nil"/>
          <w:right w:val="nil"/>
          <w:between w:val="nil"/>
          <w:bar w:val="nil"/>
        </w:pBdr>
        <w:spacing w:before="0" w:after="240"/>
        <w:rPr>
          <w:noProof/>
        </w:rPr>
      </w:pPr>
      <w:r>
        <w:rPr>
          <w:noProof/>
        </w:rPr>
        <w:t>Artigo 100.º, n.º 2, e artigo 218.º, n.º 6, alínea a), do TFUE.</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 xml:space="preserve">Subsidiariedade (no caso de competência não exclusiva) </w:t>
      </w:r>
    </w:p>
    <w:p>
      <w:pPr>
        <w:pBdr>
          <w:top w:val="nil"/>
          <w:left w:val="nil"/>
          <w:bottom w:val="nil"/>
          <w:right w:val="nil"/>
          <w:between w:val="nil"/>
          <w:bar w:val="nil"/>
        </w:pBdr>
        <w:spacing w:before="0" w:after="240"/>
        <w:rPr>
          <w:noProof/>
        </w:rPr>
      </w:pPr>
      <w:r>
        <w:rPr>
          <w:noProof/>
        </w:rPr>
        <w:t>A proposta baseia-se inteiramente na «autorização horizontal» conferida pelo Conselho, tendo em conta as questões cobertas pelo direito da União e pelos acordos bilaterais de serviços aéreos.</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Proporcionalidade</w:t>
      </w:r>
    </w:p>
    <w:p>
      <w:pPr>
        <w:pBdr>
          <w:top w:val="nil"/>
          <w:left w:val="nil"/>
          <w:bottom w:val="nil"/>
          <w:right w:val="nil"/>
          <w:between w:val="nil"/>
          <w:bar w:val="nil"/>
        </w:pBdr>
        <w:spacing w:before="0" w:after="240"/>
        <w:rPr>
          <w:noProof/>
        </w:rPr>
      </w:pPr>
      <w:r>
        <w:rPr>
          <w:noProof/>
        </w:rPr>
        <w:t>O Acordo altera ou complementa as disposições dos acordos bilaterais de serviços aéreos apenas na medida do necessário para assegurar a conformidade com o direito da União.</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Escolha do instrumento</w:t>
      </w:r>
    </w:p>
    <w:p>
      <w:pPr>
        <w:pBdr>
          <w:top w:val="nil"/>
          <w:left w:val="nil"/>
          <w:bottom w:val="nil"/>
          <w:right w:val="nil"/>
          <w:between w:val="nil"/>
          <w:bar w:val="nil"/>
        </w:pBdr>
        <w:spacing w:before="0" w:after="240"/>
        <w:rPr>
          <w:noProof/>
        </w:rPr>
      </w:pPr>
      <w:r>
        <w:rPr>
          <w:noProof/>
        </w:rPr>
        <w:t>O Acordo entre a União e a República da Coreia é o instrumento mais eficaz para tornar todos os atuais acordos bilaterais de serviços aéreos entre os Estados-Membros e a República da Coreia conformes com o direito da União.</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rFonts w:eastAsia="Arial Unicode MS"/>
          <w:noProof/>
          <w:u w:color="000000"/>
          <w:bdr w:val="nil"/>
        </w:rPr>
      </w:pPr>
      <w:r>
        <w:rPr>
          <w:noProof/>
        </w:rPr>
        <w:t>•</w:t>
      </w:r>
      <w:r>
        <w:rPr>
          <w:noProof/>
        </w:rPr>
        <w:tab/>
        <w:t xml:space="preserve">Avaliações </w:t>
      </w:r>
      <w:r>
        <w:rPr>
          <w:i/>
          <w:noProof/>
        </w:rPr>
        <w:t>ex post</w:t>
      </w:r>
      <w:r>
        <w:rPr>
          <w:noProof/>
        </w:rPr>
        <w:t>/balanços de qualidade da legislação existente</w:t>
      </w:r>
    </w:p>
    <w:p>
      <w:pPr>
        <w:pBdr>
          <w:top w:val="nil"/>
          <w:left w:val="nil"/>
          <w:bottom w:val="nil"/>
          <w:right w:val="nil"/>
          <w:between w:val="nil"/>
          <w:bar w:val="nil"/>
        </w:pBdr>
        <w:spacing w:before="0" w:after="240"/>
        <w:rPr>
          <w:noProof/>
        </w:rPr>
      </w:pPr>
      <w:r>
        <w:rPr>
          <w:noProof/>
        </w:rPr>
        <w:t>Não aplicável.</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Consultas das partes interessadas</w:t>
      </w:r>
    </w:p>
    <w:p>
      <w:pPr>
        <w:pBdr>
          <w:top w:val="nil"/>
          <w:left w:val="nil"/>
          <w:bottom w:val="nil"/>
          <w:right w:val="nil"/>
          <w:between w:val="nil"/>
          <w:bar w:val="nil"/>
        </w:pBdr>
        <w:spacing w:before="0" w:after="240"/>
        <w:rPr>
          <w:noProof/>
        </w:rPr>
      </w:pPr>
      <w:r>
        <w:rPr>
          <w:noProof/>
        </w:rPr>
        <w:t>Em conformidade com o disposto no artigo 218.º, n.º 4, do TFUE, a Comissão conduziu as negociações em consulta com um comité especial. O setor foi igualmente consultado durante as negociações. As observações formuladas no âmbito deste processo foram tomadas em consideração. Os Estados-Membros em causa verificaram a exatidão das remissões para os acordos bilaterais de serviços aéreos. O setor salientou a importância de uma base jurídica sólida para as suas operações comerciais.</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Recolha e utilização de conhecimentos especializados</w:t>
      </w:r>
    </w:p>
    <w:p>
      <w:pPr>
        <w:pBdr>
          <w:top w:val="nil"/>
          <w:left w:val="nil"/>
          <w:bottom w:val="nil"/>
          <w:right w:val="nil"/>
          <w:between w:val="nil"/>
          <w:bar w:val="nil"/>
        </w:pBdr>
        <w:spacing w:before="0" w:after="240"/>
        <w:rPr>
          <w:noProof/>
        </w:rPr>
      </w:pPr>
      <w:r>
        <w:rPr>
          <w:noProof/>
        </w:rPr>
        <w:t>Não aplicável.</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Avaliação de impacto</w:t>
      </w:r>
    </w:p>
    <w:p>
      <w:pPr>
        <w:pBdr>
          <w:top w:val="nil"/>
          <w:left w:val="nil"/>
          <w:bottom w:val="nil"/>
          <w:right w:val="nil"/>
          <w:between w:val="nil"/>
          <w:bar w:val="nil"/>
        </w:pBdr>
        <w:spacing w:before="0" w:after="240"/>
        <w:rPr>
          <w:noProof/>
        </w:rPr>
      </w:pPr>
      <w:r>
        <w:rPr>
          <w:noProof/>
        </w:rPr>
        <w:t>Não aplicável.</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Adequação e simplificação da legislação</w:t>
      </w:r>
    </w:p>
    <w:p>
      <w:pPr>
        <w:pBdr>
          <w:top w:val="nil"/>
          <w:left w:val="nil"/>
          <w:bottom w:val="nil"/>
          <w:right w:val="nil"/>
          <w:between w:val="nil"/>
          <w:bar w:val="nil"/>
        </w:pBdr>
        <w:spacing w:before="0" w:after="240"/>
        <w:rPr>
          <w:noProof/>
        </w:rPr>
      </w:pPr>
      <w:r>
        <w:rPr>
          <w:noProof/>
        </w:rPr>
        <w:t>A proposta prevê uma simplificação da legislação. As disposições pertinentes dos acordos bilaterais de serviços aéreos celebrados entre os Estados-Membros e a República da Coreia serão substituídas ou completadas pelas disposições de um único acordo.</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Direitos fundamentais</w:t>
      </w:r>
    </w:p>
    <w:p>
      <w:pPr>
        <w:pBdr>
          <w:top w:val="nil"/>
          <w:left w:val="nil"/>
          <w:bottom w:val="nil"/>
          <w:right w:val="nil"/>
          <w:between w:val="nil"/>
          <w:bar w:val="nil"/>
        </w:pBdr>
        <w:spacing w:before="0" w:after="240"/>
        <w:rPr>
          <w:noProof/>
        </w:rPr>
      </w:pPr>
      <w:r>
        <w:rPr>
          <w:noProof/>
        </w:rPr>
        <w:t>Não aplicável.</w:t>
      </w:r>
    </w:p>
    <w:p>
      <w:pPr>
        <w:pStyle w:val="ManualHeading1"/>
        <w:rPr>
          <w:noProof/>
        </w:rPr>
      </w:pPr>
      <w:r>
        <w:rPr>
          <w:noProof/>
        </w:rPr>
        <w:t>4.</w:t>
      </w:r>
      <w:r>
        <w:rPr>
          <w:noProof/>
        </w:rPr>
        <w:tab/>
        <w:t xml:space="preserve">INCIDÊNCIA ORÇAMENTAL </w:t>
      </w:r>
    </w:p>
    <w:p>
      <w:pPr>
        <w:pBdr>
          <w:top w:val="nil"/>
          <w:left w:val="nil"/>
          <w:bottom w:val="nil"/>
          <w:right w:val="nil"/>
          <w:between w:val="nil"/>
          <w:bar w:val="nil"/>
        </w:pBdr>
        <w:spacing w:before="0" w:after="240"/>
        <w:rPr>
          <w:noProof/>
        </w:rPr>
      </w:pPr>
      <w:r>
        <w:rPr>
          <w:noProof/>
        </w:rPr>
        <w:t>A presente proposta não tem incidência no orçamento da União.</w:t>
      </w:r>
    </w:p>
    <w:p>
      <w:pPr>
        <w:pStyle w:val="ManualHeading1"/>
        <w:rPr>
          <w:noProof/>
        </w:rPr>
      </w:pPr>
      <w:r>
        <w:rPr>
          <w:noProof/>
        </w:rPr>
        <w:t>5.</w:t>
      </w:r>
      <w:r>
        <w:rPr>
          <w:noProof/>
        </w:rPr>
        <w:tab/>
        <w:t>OUTROS ELEMENTOS</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Planos de execução e mecanismos de acompanhamento, de avaliação e de informação</w:t>
      </w:r>
    </w:p>
    <w:p>
      <w:pPr>
        <w:rPr>
          <w:noProof/>
        </w:rPr>
      </w:pPr>
      <w:r>
        <w:rPr>
          <w:noProof/>
        </w:rPr>
        <w:t>As partes no acordo devem notificar-se reciprocamente por escrito, por via diplomática, sobre a conclusão dos respetivos procedimentos internos necessários para a entrada em vigor do Acordo. O Acordo entra em vigor na data da última notificação.</w:t>
      </w:r>
    </w:p>
    <w:p>
      <w:pPr>
        <w:pStyle w:val="ManualHeading2"/>
        <w:rPr>
          <w:rFonts w:eastAsia="Arial Unicode MS"/>
          <w:noProof/>
          <w:color w:val="000000"/>
          <w:u w:color="000000"/>
          <w:bdr w:val="nil"/>
        </w:rPr>
      </w:pPr>
      <w:r>
        <w:rPr>
          <w:noProof/>
        </w:rPr>
        <w:tab/>
      </w:r>
      <w:r>
        <w:rPr>
          <w:noProof/>
          <w:color w:val="000000"/>
          <w:u w:color="000000"/>
          <w:bdr w:val="nil"/>
        </w:rPr>
        <w:t>Documentos explicativos (para as diretivas)</w:t>
      </w:r>
    </w:p>
    <w:p>
      <w:pPr>
        <w:pBdr>
          <w:top w:val="nil"/>
          <w:left w:val="nil"/>
          <w:bottom w:val="nil"/>
          <w:right w:val="nil"/>
          <w:between w:val="nil"/>
          <w:bar w:val="nil"/>
        </w:pBdr>
        <w:spacing w:before="0" w:after="240"/>
        <w:rPr>
          <w:noProof/>
        </w:rPr>
      </w:pPr>
      <w:r>
        <w:rPr>
          <w:noProof/>
        </w:rPr>
        <w:t>Não aplicável.</w:t>
      </w:r>
    </w:p>
    <w:p>
      <w:pPr>
        <w:pStyle w:val="ManualHeading2"/>
        <w:rPr>
          <w:rFonts w:eastAsia="Arial Unicode MS"/>
          <w:noProof/>
          <w:u w:color="000000"/>
          <w:bdr w:val="nil"/>
        </w:rPr>
      </w:pPr>
      <w:r>
        <w:rPr>
          <w:noProof/>
        </w:rPr>
        <w:tab/>
      </w:r>
      <w:r>
        <w:rPr>
          <w:noProof/>
          <w:color w:val="000000"/>
          <w:u w:color="000000"/>
          <w:bdr w:val="nil"/>
        </w:rPr>
        <w:t>Explicação pormenorizada das disposições específicas da proposta</w:t>
      </w:r>
    </w:p>
    <w:p>
      <w:pPr>
        <w:pBdr>
          <w:top w:val="nil"/>
          <w:left w:val="nil"/>
          <w:bottom w:val="nil"/>
          <w:right w:val="nil"/>
          <w:between w:val="nil"/>
          <w:bar w:val="nil"/>
        </w:pBdr>
        <w:spacing w:before="0" w:after="240"/>
        <w:rPr>
          <w:noProof/>
        </w:rPr>
      </w:pPr>
      <w:r>
        <w:rPr>
          <w:noProof/>
        </w:rPr>
        <w:t>As relações internacionais entre Estados-Membros e países terceiros no setor da aviação têm sido tradicionalmente reguladas por acordos bilaterais de serviços aéreos entre Estados</w:t>
      </w:r>
      <w:r>
        <w:rPr>
          <w:noProof/>
        </w:rPr>
        <w:noBreakHyphen/>
        <w:t>Membros e países terceiros, pelos respetivos anexos e por outros dispositivos bilaterais ou multilaterais conexos.</w:t>
      </w:r>
    </w:p>
    <w:p>
      <w:pPr>
        <w:pBdr>
          <w:top w:val="nil"/>
          <w:left w:val="nil"/>
          <w:bottom w:val="nil"/>
          <w:right w:val="nil"/>
          <w:between w:val="nil"/>
          <w:bar w:val="nil"/>
        </w:pBdr>
        <w:spacing w:before="0" w:after="240"/>
        <w:rPr>
          <w:noProof/>
        </w:rPr>
      </w:pPr>
      <w:r>
        <w:rPr>
          <w:noProof/>
        </w:rPr>
        <w:t>Contudo, as tradicionais cláusulas de designação incluídas nos acordos bilaterais de serviços aéreos celebrados por Estados-Membros violam o direito da União. Autorizam um país terceiro a recusar, retirar ou suspender as licenças ou autorizações concedidas a uma transportadora aérea designada por um Estado-Membro, mas que não seja propriedade, em parte substancial, nem efetivamente controlada por esse Estado-Membro ou por nacionais desse Estado-Membro. Considerou-se que estas cláusulas constituem uma discriminação contra as transportadoras aéreas da UE estabelecidas no território de um Estado-Membro, mas que sejam propriedade e controladas por nacionais de outros Estados-Membros. Tais cláusulas violam o disposto no artigo 49.º do Tratado sobre o Funcionamento da União Europeia, o qual garante aos nacionais dos Estados-Membros que exercem a sua liberdade de estabelecimento o mesmo tratamento no Estado-Membro de acolhimento que o dispensado aos nacionais desse Estado-Membro.</w:t>
      </w:r>
    </w:p>
    <w:p>
      <w:pPr>
        <w:pBdr>
          <w:top w:val="nil"/>
          <w:left w:val="nil"/>
          <w:bottom w:val="nil"/>
          <w:right w:val="nil"/>
          <w:between w:val="nil"/>
          <w:bar w:val="nil"/>
        </w:pBdr>
        <w:spacing w:before="0" w:after="240"/>
        <w:rPr>
          <w:noProof/>
          <w:color w:val="FF0000"/>
        </w:rPr>
      </w:pPr>
      <w:r>
        <w:rPr>
          <w:noProof/>
        </w:rPr>
        <w:t>Existem outras questões, como os acordos comerciais obrigatórios entre companhias aéreas, em que deve ser assegurada a conformidade com o direito da União, alterando ou complementando as disposições atuais dos acordos bilaterais de serviços aéreos entre os Estados-Membros e países terceiros</w:t>
      </w:r>
      <w:r>
        <w:rPr>
          <w:noProof/>
          <w:color w:val="FF0000"/>
        </w:rPr>
        <w:t>.</w:t>
      </w:r>
    </w:p>
    <w:p>
      <w:pPr>
        <w:pBdr>
          <w:top w:val="nil"/>
          <w:left w:val="nil"/>
          <w:bottom w:val="nil"/>
          <w:right w:val="nil"/>
          <w:between w:val="nil"/>
          <w:bar w:val="nil"/>
        </w:pBdr>
        <w:spacing w:before="0" w:after="240"/>
        <w:rPr>
          <w:noProof/>
        </w:rPr>
      </w:pPr>
      <w:r>
        <w:rPr>
          <w:noProof/>
        </w:rPr>
        <w:t>Em conformidade com os mecanismos e as diretrizes constantes do anexo à «autorização horizontal», a Comissão negociou um acordo com a República da Coreia que substitui certas disposições dos acordos bilaterais de serviços aéreos em vigor entre os Estados-Membros e a República da Coreia. O artigo 2.º do Acordo substitui as tradicionais cláusulas de designação por uma cláusula de designação UE, que permite a todas as transportadoras da UE beneficiarem do direito de estabelecimento. O artigo 4.º salvaguarda o direito dos Estados-Membros ao abrigo do direito da UE de impor, de forma não discriminatória, impostos, contribuições, direitos, taxas ou outras imposições ao combustível fornecido no seu território para ser utilizado numa aeronave de uma transportadora aérea designada da República da Coreia que opere entre um ponto do território desse Estado-Membro e outro ponto do território do mesmo ou de outro Estado-Membro. O artigo 5.º resolve eventuais conflitos com as regras da União relativas à concorrência.</w:t>
      </w:r>
    </w:p>
    <w:p>
      <w:pPr>
        <w:pBdr>
          <w:top w:val="nil"/>
          <w:left w:val="nil"/>
          <w:bottom w:val="nil"/>
          <w:right w:val="nil"/>
          <w:between w:val="nil"/>
          <w:bar w:val="nil"/>
        </w:pBdr>
        <w:spacing w:before="0" w:after="240"/>
        <w:rPr>
          <w:noProof/>
        </w:rPr>
      </w:pPr>
      <w:r>
        <w:rPr>
          <w:noProof/>
        </w:rPr>
        <w:t>Após a assinatura do Acordo, é conveniente proceder à sua celebração. Em anexo, é proposta uma decisão nesse sentido.</w:t>
      </w:r>
    </w:p>
    <w:p>
      <w:pPr>
        <w:pBdr>
          <w:top w:val="nil"/>
          <w:left w:val="nil"/>
          <w:bottom w:val="nil"/>
          <w:right w:val="nil"/>
          <w:between w:val="nil"/>
          <w:bar w:val="nil"/>
        </w:pBdr>
        <w:spacing w:before="0" w:after="240"/>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2019/0044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 xml:space="preserve">relativa à celebração, em nome da União Europeia, do Acordo entre a União Europeia e a República da Coreia sobre certos aspetos dos serviços aéreos </w:t>
      </w:r>
    </w:p>
    <w:p>
      <w:pPr>
        <w:keepNext/>
        <w:spacing w:before="600"/>
        <w:rPr>
          <w:noProof/>
        </w:rPr>
      </w:pPr>
      <w:r>
        <w:rPr>
          <w:noProof/>
        </w:rPr>
        <w:t>O CONSELHO DA UNIÃO EUROPEIA,</w:t>
      </w:r>
    </w:p>
    <w:p>
      <w:pPr>
        <w:rPr>
          <w:noProof/>
        </w:rPr>
      </w:pPr>
      <w:r>
        <w:rPr>
          <w:noProof/>
        </w:rPr>
        <w:t>Tendo em conta o Tratado sobre o Funcionamento da União Europeia, nomeadamente o artigo 100.º, n.º 2, em conjugação com o artigo 218.º, n.º 6, alínea a),</w:t>
      </w:r>
    </w:p>
    <w:p>
      <w:pPr>
        <w:rPr>
          <w:noProof/>
        </w:rPr>
      </w:pPr>
      <w:r>
        <w:rPr>
          <w:noProof/>
        </w:rPr>
        <w:t>Tendo em conta a proposta da Comissão Europeia,</w:t>
      </w:r>
    </w:p>
    <w:p>
      <w:pPr>
        <w:rPr>
          <w:noProof/>
        </w:rPr>
      </w:pPr>
      <w:r>
        <w:rPr>
          <w:noProof/>
        </w:rPr>
        <w:t>Tendo em conta a aprovação do Parlamento Europeu,</w:t>
      </w:r>
    </w:p>
    <w:p>
      <w:pPr>
        <w:rPr>
          <w:noProof/>
        </w:rPr>
      </w:pPr>
      <w:r>
        <w:rPr>
          <w:noProof/>
        </w:rPr>
        <w:t>Considerando o seguinte:</w:t>
      </w:r>
    </w:p>
    <w:p>
      <w:pPr>
        <w:pStyle w:val="ManualNumPar1"/>
        <w:rPr>
          <w:noProof/>
        </w:rPr>
      </w:pPr>
      <w:r>
        <w:rPr>
          <w:noProof/>
        </w:rPr>
        <w:t>1)</w:t>
      </w:r>
      <w:r>
        <w:rPr>
          <w:noProof/>
        </w:rPr>
        <w:tab/>
        <w:t xml:space="preserve">Em conformidade com a Decisão (UE)…/… </w:t>
      </w:r>
      <w:r>
        <w:rPr>
          <w:rStyle w:val="FootnoteReference"/>
          <w:noProof/>
        </w:rPr>
        <w:footnoteReference w:id="1"/>
      </w:r>
      <w:r>
        <w:rPr>
          <w:noProof/>
        </w:rPr>
        <w:t xml:space="preserve"> do Conselho, o Acordo entre a União Europeia e a República da Coreia sobre certos aspetos dos serviços aéreos (a seguir designado por «Acordo») foi assinado em […], sob reserva da sua celebração em data ulterior.</w:t>
      </w:r>
    </w:p>
    <w:p>
      <w:pPr>
        <w:pStyle w:val="ManualNumPar1"/>
        <w:rPr>
          <w:noProof/>
        </w:rPr>
      </w:pPr>
      <w:r>
        <w:rPr>
          <w:noProof/>
        </w:rPr>
        <w:t>2)</w:t>
      </w:r>
      <w:r>
        <w:rPr>
          <w:noProof/>
        </w:rPr>
        <w:tab/>
        <w:t>O Acordo tem por objetivo tornar os acordos bilaterais de serviços aéreos celebrados entre 22 Estados-Membros e a República da Coreia conformes com o direito da União.</w:t>
      </w:r>
    </w:p>
    <w:p>
      <w:pPr>
        <w:pStyle w:val="ManualNumPar1"/>
        <w:rPr>
          <w:noProof/>
        </w:rPr>
      </w:pPr>
      <w:r>
        <w:rPr>
          <w:noProof/>
        </w:rPr>
        <w:t>3)</w:t>
      </w:r>
      <w:r>
        <w:rPr>
          <w:noProof/>
        </w:rPr>
        <w:tab/>
        <w:t>O Acordo deve ser aprovado em nome da União,</w:t>
      </w:r>
    </w:p>
    <w:p>
      <w:pPr>
        <w:keepNext/>
        <w:rPr>
          <w:noProof/>
        </w:rPr>
      </w:pPr>
    </w:p>
    <w:p>
      <w:pPr>
        <w:keepNext/>
        <w:rPr>
          <w:noProof/>
        </w:rPr>
      </w:pPr>
      <w:r>
        <w:rPr>
          <w:noProof/>
        </w:rPr>
        <w:t xml:space="preserve">ADOTOU A PRESENTE DECISÃO: </w:t>
      </w:r>
    </w:p>
    <w:p>
      <w:pPr>
        <w:keepNext/>
        <w:spacing w:before="360"/>
        <w:jc w:val="center"/>
        <w:rPr>
          <w:i/>
          <w:noProof/>
        </w:rPr>
      </w:pPr>
      <w:r>
        <w:rPr>
          <w:i/>
          <w:noProof/>
        </w:rPr>
        <w:t>Artigo 1.º</w:t>
      </w:r>
    </w:p>
    <w:p>
      <w:pPr>
        <w:rPr>
          <w:noProof/>
        </w:rPr>
      </w:pPr>
      <w:r>
        <w:rPr>
          <w:noProof/>
        </w:rPr>
        <w:t>O Acordo entre a União Europeia e a República da Coreia sobre certos aspetos dos serviços aéreos (o «Acordo») é aprovado em nome da União.</w:t>
      </w:r>
    </w:p>
    <w:p>
      <w:pPr>
        <w:rPr>
          <w:noProof/>
        </w:rPr>
      </w:pPr>
      <w:r>
        <w:rPr>
          <w:noProof/>
        </w:rPr>
        <w:t>O texto do acordo acompanha a presente decisão.</w:t>
      </w:r>
    </w:p>
    <w:p>
      <w:pPr>
        <w:spacing w:before="360"/>
        <w:jc w:val="center"/>
        <w:rPr>
          <w:i/>
          <w:noProof/>
        </w:rPr>
      </w:pPr>
      <w:r>
        <w:rPr>
          <w:i/>
          <w:noProof/>
        </w:rPr>
        <w:t>Artigo 2.º</w:t>
      </w:r>
    </w:p>
    <w:p>
      <w:pPr>
        <w:rPr>
          <w:noProof/>
        </w:rPr>
      </w:pPr>
      <w:r>
        <w:rPr>
          <w:noProof/>
        </w:rPr>
        <w:t>O Presidente do Conselho designa a pessoa com poderes para proceder, em nome da União, à notificação prevista no artigo 8.°, n.º 1, do Acordo, a fim de expressar o consentimento da União em ficar vinculada pelo Acordo.</w:t>
      </w:r>
    </w:p>
    <w:p>
      <w:pPr>
        <w:keepNext/>
        <w:spacing w:before="360"/>
        <w:jc w:val="center"/>
        <w:rPr>
          <w:i/>
          <w:noProof/>
        </w:rPr>
      </w:pPr>
      <w:r>
        <w:rPr>
          <w:i/>
          <w:noProof/>
        </w:rPr>
        <w:t>Artigo 3.º</w:t>
      </w:r>
    </w:p>
    <w:p>
      <w:pPr>
        <w:keepNext/>
        <w:keepLines/>
        <w:rPr>
          <w:noProof/>
        </w:rPr>
      </w:pPr>
      <w:r>
        <w:rPr>
          <w:noProof/>
        </w:rPr>
        <w:t>A presente decisão entra em vigor no dia da sua adoção.</w:t>
      </w:r>
    </w:p>
    <w:p>
      <w:pPr>
        <w:keepNext/>
        <w:spacing w:after="0"/>
        <w:rPr>
          <w:noProof/>
        </w:rPr>
      </w:pPr>
      <w:r>
        <w:rPr>
          <w:noProof/>
        </w:rPr>
        <w:t>Feito em Bruxelas, em</w:t>
      </w:r>
    </w:p>
    <w:p>
      <w:pPr>
        <w:keepNext/>
        <w:tabs>
          <w:tab w:val="left" w:pos="4252"/>
        </w:tabs>
        <w:spacing w:before="720" w:after="0"/>
        <w:rPr>
          <w:i/>
          <w:noProof/>
        </w:rPr>
      </w:pPr>
      <w:r>
        <w:rPr>
          <w:noProof/>
        </w:rPr>
        <w:tab/>
      </w:r>
      <w:r>
        <w:rPr>
          <w:i/>
          <w:noProof/>
        </w:rPr>
        <w:t>Pelo Conselho</w:t>
      </w:r>
    </w:p>
    <w:p>
      <w:pPr>
        <w:tabs>
          <w:tab w:val="left" w:pos="4252"/>
        </w:tabs>
        <w:spacing w:before="0" w:after="0"/>
        <w:jc w:val="left"/>
        <w:rPr>
          <w:i/>
          <w:noProof/>
        </w:rPr>
      </w:pPr>
      <w:r>
        <w:rPr>
          <w:noProof/>
        </w:rPr>
        <w:tab/>
      </w:r>
      <w:r>
        <w:rPr>
          <w:i/>
          <w:noProof/>
        </w:rPr>
        <w:t>O Presidente</w:t>
      </w:r>
    </w:p>
    <w:p>
      <w:pPr>
        <w:widowControl w:val="0"/>
        <w:shd w:val="clear" w:color="auto" w:fill="FFFFFF"/>
        <w:autoSpaceDE w:val="0"/>
        <w:autoSpaceDN w:val="0"/>
        <w:adjustRightInd w:val="0"/>
        <w:spacing w:before="230" w:after="0" w:line="269" w:lineRule="exact"/>
        <w:ind w:right="86"/>
        <w:rPr>
          <w:noProof/>
        </w:rPr>
      </w:pPr>
      <w:r>
        <w:rPr>
          <w:noProof/>
        </w:rPr>
        <w:t xml:space="preserve"> </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Decisão (UE)…/… do Conselho relativa à assinatura, em nome da União Europeia, do Acordo entre a União Europeia e a República da Coreia sobre certos aspetos dos serviços aéreos (JO L [XXX], [XXX], p. [XX]).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72227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84C1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3002D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ECEA929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4726E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38A45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1C0C60"/>
    <w:lvl w:ilvl="0">
      <w:start w:val="1"/>
      <w:numFmt w:val="decimal"/>
      <w:pStyle w:val="ListNumber"/>
      <w:lvlText w:val="%1."/>
      <w:lvlJc w:val="left"/>
      <w:pPr>
        <w:tabs>
          <w:tab w:val="num" w:pos="360"/>
        </w:tabs>
        <w:ind w:left="360" w:hanging="360"/>
      </w:pPr>
    </w:lvl>
  </w:abstractNum>
  <w:abstractNum w:abstractNumId="7">
    <w:nsid w:val="FFFFFF89"/>
    <w:multiLevelType w:val="singleLevel"/>
    <w:tmpl w:val="52D051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7"/>
  </w:num>
  <w:num w:numId="3">
    <w:abstractNumId w:val="5"/>
  </w:num>
  <w:num w:numId="4">
    <w:abstractNumId w:val="4"/>
  </w:num>
  <w:num w:numId="5">
    <w:abstractNumId w:val="3"/>
  </w:num>
  <w:num w:numId="6">
    <w:abstractNumId w:val="6"/>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3 12:59:2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D145F63-8F38-43E8-9A51-F3274208F27E"/>
    <w:docVar w:name="LW_COVERPAGE_TYPE" w:val="1"/>
    <w:docVar w:name="LW_CROSSREFERENCE" w:val="&lt;UNUSED&gt;"/>
    <w:docVar w:name="LW_DocType" w:val="COM"/>
    <w:docVar w:name="LW_EMISSION" w:val="21.2.2019"/>
    <w:docVar w:name="LW_EMISSION_ISODATE" w:val="2019-02-21"/>
    <w:docVar w:name="LW_EMISSION_LOCATION" w:val="BRX"/>
    <w:docVar w:name="LW_EMISSION_PREFIX" w:val="Bruxela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044"/>
    <w:docVar w:name="LW_REF.II.NEW.CP_YEAR" w:val="2019"/>
    <w:docVar w:name="LW_REF.INST.NEW" w:val="COM"/>
    <w:docVar w:name="LW_REF.INST.NEW_ADOPTED" w:val="final"/>
    <w:docVar w:name="LW_REF.INST.NEW_TEXT" w:val="(2019) 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relativa à celebração, em nome da União Europeia, do Acordo entre a União Europeia e a República da Coreia sobre certos aspetos dos serviços aéreos "/>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pPr>
      <w:numPr>
        <w:numId w:val="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pPr>
      <w:numPr>
        <w:numId w:val="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6</Pages>
  <Words>1209</Words>
  <Characters>6811</Characters>
  <Application>Microsoft Office Word</Application>
  <DocSecurity>0</DocSecurity>
  <Lines>139</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16</cp:revision>
  <cp:lastPrinted>2018-07-30T09:57:00Z</cp:lastPrinted>
  <dcterms:created xsi:type="dcterms:W3CDTF">2018-12-05T07:39:00Z</dcterms:created>
  <dcterms:modified xsi:type="dcterms:W3CDTF">2019-02-13T11:59:00Z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