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29FE16D-1890-46EF-8C9E-45072E5A58AA" style="width:450.75pt;height:351.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Ehdotuksen perustelut ja tavoitteet</w:t>
      </w:r>
    </w:p>
    <w:p>
      <w:pPr>
        <w:pBdr>
          <w:top w:val="nil"/>
          <w:left w:val="nil"/>
          <w:bottom w:val="nil"/>
          <w:right w:val="nil"/>
          <w:between w:val="nil"/>
          <w:bar w:val="nil"/>
        </w:pBdr>
        <w:spacing w:before="0" w:after="240"/>
        <w:rPr>
          <w:noProof/>
        </w:rPr>
      </w:pPr>
      <w:r>
        <w:rPr>
          <w:noProof/>
        </w:rPr>
        <w:t>Neuvosto antoi unionin tuomioistuimen ns. open skies -asioissa antamien tuomioiden jälkeen 5. kesäkuuta 2003 komissiolle valtuudet aloittaa kolmansien maiden kanssa neuvottelut voimassa olevien kahdenvälisten lentoliikennesopimusten tiettyjen määräysten korvaamisesta unionitason sopimuksella (”horisontaalinen valtuutus”). Sopimusten tarkoituksena on antaa kaikille EU:n lentoliikenteen harjoittajille syrjimätön pääsy Euroopan unionin ja kolmansien maiden välisille lentoreiteille ja saattaa näin jäsenvaltioiden ja kolmansien maiden kahdenväliset lentoliikennesopimukset unionin oikeuden mukaisiksi.</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Yhdenmukaisuus muiden alaa koskevien politiikkojen säännösten kanssa</w:t>
      </w:r>
    </w:p>
    <w:p>
      <w:pPr>
        <w:pBdr>
          <w:top w:val="nil"/>
          <w:left w:val="nil"/>
          <w:bottom w:val="nil"/>
          <w:right w:val="nil"/>
          <w:between w:val="nil"/>
          <w:bar w:val="nil"/>
        </w:pBdr>
        <w:spacing w:before="0" w:after="240"/>
        <w:rPr>
          <w:noProof/>
        </w:rPr>
      </w:pPr>
      <w:r>
        <w:rPr>
          <w:noProof/>
        </w:rPr>
        <w:t>Sopimuksen määräykset korvaavat 22:een jäsenvaltioiden ja Korean tasavallan väliseen kahdenväliseen lentoliikennesopimukseen sisältyvät voimassa olevat määräykset tai täydentävät niitä.</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Yhdenmukaisuus unionin muiden politiikkojen kanssa</w:t>
      </w:r>
    </w:p>
    <w:p>
      <w:pPr>
        <w:pBdr>
          <w:top w:val="nil"/>
          <w:left w:val="nil"/>
          <w:bottom w:val="nil"/>
          <w:right w:val="nil"/>
          <w:between w:val="nil"/>
          <w:bar w:val="nil"/>
        </w:pBdr>
        <w:spacing w:before="0" w:after="240"/>
        <w:rPr>
          <w:noProof/>
        </w:rPr>
      </w:pPr>
      <w:r>
        <w:rPr>
          <w:noProof/>
        </w:rPr>
        <w:t>Sopimuksella edistetään unionin ulkoisen ilmailupolitiikan perustavoitetta saattamalla voimassa olevat kahdenväliset lentoliikennesopimukset unionin oikeuden mukaisiksi.</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Oikeusperusta</w:t>
      </w:r>
    </w:p>
    <w:p>
      <w:pPr>
        <w:pBdr>
          <w:top w:val="nil"/>
          <w:left w:val="nil"/>
          <w:bottom w:val="nil"/>
          <w:right w:val="nil"/>
          <w:between w:val="nil"/>
          <w:bar w:val="nil"/>
        </w:pBdr>
        <w:spacing w:before="0" w:after="240"/>
        <w:rPr>
          <w:noProof/>
        </w:rPr>
      </w:pPr>
      <w:r>
        <w:rPr>
          <w:noProof/>
        </w:rPr>
        <w:t>SEUT-sopimuksen 100 artiklan 2 kohta ja 218 artiklan 6 kohdan a alakohta</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 xml:space="preserve">Toissijaisuusperiaate (jaetun toimivallan osalta) </w:t>
      </w:r>
    </w:p>
    <w:p>
      <w:pPr>
        <w:pBdr>
          <w:top w:val="nil"/>
          <w:left w:val="nil"/>
          <w:bottom w:val="nil"/>
          <w:right w:val="nil"/>
          <w:between w:val="nil"/>
          <w:bar w:val="nil"/>
        </w:pBdr>
        <w:spacing w:before="0" w:after="240"/>
        <w:rPr>
          <w:noProof/>
        </w:rPr>
      </w:pPr>
      <w:r>
        <w:rPr>
          <w:noProof/>
        </w:rPr>
        <w:t>Ehdotus perustuu täysin neuvoston myöntämään ”horisontaaliseen valtuutukseen”, ja siinä otetaan huomioon unionin oikeuden ja kahdenvälisten lentoliikennesopimusten soveltamisalaan kuuluvat asiat.</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Suhteellisuusperiaate</w:t>
      </w:r>
    </w:p>
    <w:p>
      <w:pPr>
        <w:pBdr>
          <w:top w:val="nil"/>
          <w:left w:val="nil"/>
          <w:bottom w:val="nil"/>
          <w:right w:val="nil"/>
          <w:between w:val="nil"/>
          <w:bar w:val="nil"/>
        </w:pBdr>
        <w:spacing w:before="0" w:after="240"/>
        <w:rPr>
          <w:noProof/>
        </w:rPr>
      </w:pPr>
      <w:r>
        <w:rPr>
          <w:noProof/>
        </w:rPr>
        <w:t>Sopimuksella muutetaan tai täydennetään kahdenvälisten lentoliikennesopimusten määräyksiä ainoastaan siltä osin kuin on tarpeen unionin oikeuden noudattamiseksi.</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Toimintatavan valinta</w:t>
      </w:r>
    </w:p>
    <w:p>
      <w:pPr>
        <w:pBdr>
          <w:top w:val="nil"/>
          <w:left w:val="nil"/>
          <w:bottom w:val="nil"/>
          <w:right w:val="nil"/>
          <w:between w:val="nil"/>
          <w:bar w:val="nil"/>
        </w:pBdr>
        <w:spacing w:before="0" w:after="240"/>
        <w:rPr>
          <w:noProof/>
        </w:rPr>
      </w:pPr>
      <w:r>
        <w:rPr>
          <w:noProof/>
        </w:rPr>
        <w:t>Unionin ja Korean tasavallan välinen sopimus on tehokkain keino saattaa kaikki jäsenvaltioiden ja Korean tasavallan voimassa olevat kahdenväliset lentoliikennesopimukset unionin oikeuden mukaisiksi.</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Jälkiarvioinnit/toimivuustarkastukset</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Sidosryhmien kuuleminen</w:t>
      </w:r>
    </w:p>
    <w:p>
      <w:pPr>
        <w:pBdr>
          <w:top w:val="nil"/>
          <w:left w:val="nil"/>
          <w:bottom w:val="nil"/>
          <w:right w:val="nil"/>
          <w:between w:val="nil"/>
          <w:bar w:val="nil"/>
        </w:pBdr>
        <w:spacing w:before="0" w:after="240"/>
        <w:rPr>
          <w:noProof/>
        </w:rPr>
      </w:pPr>
      <w:r>
        <w:rPr>
          <w:noProof/>
        </w:rPr>
        <w:t>Komissio on SEUT-sopimuksen 218 artiklan 4 kohdan mukaisesti kuullut erityiskomiteaa neuvottelujen kuluessa. Neuvottelujen aikana on kuultu myös toimialan edustajia. Tämän prosessin aikana esitetyt huomautukset on otettu huomioon. Kyseessä olevat jäsenvaltiot ovat tarkistaneet kahdenvälisiin lentoliikennesopimuksiin tehtyjen viittausten oikeellisuuden. Toimialan edustajat korostivat vankan oikeusperustan tärkeyttä alan kaupallisen lentotoiminnan kannalta.</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Asiantuntijatiedon keruu ja käyttö</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Vaikutustenarviointi</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Sääntelyn toimivuus ja yksinkertaistaminen</w:t>
      </w:r>
    </w:p>
    <w:p>
      <w:pPr>
        <w:pBdr>
          <w:top w:val="nil"/>
          <w:left w:val="nil"/>
          <w:bottom w:val="nil"/>
          <w:right w:val="nil"/>
          <w:between w:val="nil"/>
          <w:bar w:val="nil"/>
        </w:pBdr>
        <w:spacing w:before="0" w:after="240"/>
        <w:rPr>
          <w:noProof/>
        </w:rPr>
      </w:pPr>
      <w:r>
        <w:rPr>
          <w:noProof/>
        </w:rPr>
        <w:t>Ehdotuksella yksinkertaistetaan lainsäädäntöä. Jäsenvaltioiden ja Korean tasavallan kahdenvälisten lentoliikennesopimusten asiaa koskevat määräykset korvataan tai niitä täydennetään yhden sopimuksen määräyksillä.</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Perusoikeudet</w:t>
      </w:r>
    </w:p>
    <w:p>
      <w:pPr>
        <w:pBdr>
          <w:top w:val="nil"/>
          <w:left w:val="nil"/>
          <w:bottom w:val="nil"/>
          <w:right w:val="nil"/>
          <w:between w:val="nil"/>
          <w:bar w:val="nil"/>
        </w:pBdr>
        <w:spacing w:before="0" w:after="240"/>
        <w:rPr>
          <w:noProof/>
        </w:rPr>
      </w:pPr>
      <w:r>
        <w:rPr>
          <w:noProof/>
        </w:rPr>
        <w:t>Ei sovelleta.</w:t>
      </w:r>
    </w:p>
    <w:p>
      <w:pPr>
        <w:pStyle w:val="ManualHeading1"/>
        <w:rPr>
          <w:noProof/>
        </w:rPr>
      </w:pPr>
      <w:r>
        <w:rPr>
          <w:noProof/>
        </w:rPr>
        <w:t>4.</w:t>
      </w:r>
      <w:r>
        <w:rPr>
          <w:noProof/>
        </w:rPr>
        <w:tab/>
        <w:t xml:space="preserve">TALOUSARVIOVAIKUTUKSET </w:t>
      </w:r>
    </w:p>
    <w:p>
      <w:pPr>
        <w:pBdr>
          <w:top w:val="nil"/>
          <w:left w:val="nil"/>
          <w:bottom w:val="nil"/>
          <w:right w:val="nil"/>
          <w:between w:val="nil"/>
          <w:bar w:val="nil"/>
        </w:pBdr>
        <w:spacing w:before="0" w:after="240"/>
        <w:rPr>
          <w:noProof/>
        </w:rPr>
      </w:pPr>
      <w:r>
        <w:rPr>
          <w:noProof/>
        </w:rPr>
        <w:t>Ehdotuksella ei ole vaikutuksia unionin talousarvioon.</w:t>
      </w:r>
    </w:p>
    <w:p>
      <w:pPr>
        <w:pStyle w:val="ManualHeading1"/>
        <w:rPr>
          <w:noProof/>
        </w:rPr>
      </w:pPr>
      <w:r>
        <w:rPr>
          <w:noProof/>
        </w:rPr>
        <w:t>5.</w:t>
      </w:r>
      <w:r>
        <w:rPr>
          <w:noProof/>
        </w:rPr>
        <w:tab/>
        <w:t>LISÄTIEDOT</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Toteuttamissuunnitelmat, seuranta, arviointi ja raportointijärjestelyt</w:t>
      </w:r>
    </w:p>
    <w:p>
      <w:pPr>
        <w:rPr>
          <w:noProof/>
        </w:rPr>
      </w:pPr>
      <w:r>
        <w:rPr>
          <w:noProof/>
        </w:rPr>
        <w:t>Osapuolet ilmoittavat toisilleen kirjallisesti diplomaattiteitse tämän sopimuksen voimaansaattamisen edellyttämien sisäisten menettelyjensä päätökseen saattamisesta. Sopimus tulee voimaan päivänä, jona jälkimmäinen näistä ilmoituksista annetaan.</w:t>
      </w:r>
    </w:p>
    <w:p>
      <w:pPr>
        <w:pStyle w:val="ManualHeading2"/>
        <w:rPr>
          <w:rFonts w:eastAsia="Arial Unicode MS"/>
          <w:noProof/>
          <w:color w:val="000000"/>
          <w:u w:color="000000"/>
          <w:bdr w:val="nil"/>
        </w:rPr>
      </w:pPr>
      <w:r>
        <w:rPr>
          <w:noProof/>
        </w:rPr>
        <w:tab/>
      </w:r>
      <w:r>
        <w:rPr>
          <w:noProof/>
          <w:color w:val="000000"/>
          <w:u w:color="000000"/>
          <w:bdr w:val="nil"/>
        </w:rPr>
        <w:t>Selittävät asiakirjat (direktiivien osalta)</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u w:color="000000"/>
          <w:bdr w:val="nil"/>
        </w:rPr>
      </w:pPr>
      <w:r>
        <w:rPr>
          <w:noProof/>
        </w:rPr>
        <w:tab/>
      </w:r>
      <w:r>
        <w:rPr>
          <w:noProof/>
          <w:color w:val="000000"/>
          <w:u w:color="000000"/>
          <w:bdr w:val="nil"/>
        </w:rPr>
        <w:t>Ehdotukseen sisältyvien säännösten yksityiskohtaiset selitykset</w:t>
      </w:r>
    </w:p>
    <w:p>
      <w:pPr>
        <w:pBdr>
          <w:top w:val="nil"/>
          <w:left w:val="nil"/>
          <w:bottom w:val="nil"/>
          <w:right w:val="nil"/>
          <w:between w:val="nil"/>
          <w:bar w:val="nil"/>
        </w:pBdr>
        <w:spacing w:before="0" w:after="240"/>
        <w:rPr>
          <w:noProof/>
        </w:rPr>
      </w:pPr>
      <w:r>
        <w:rPr>
          <w:noProof/>
        </w:rPr>
        <w:t>Jäsenvaltioiden ja kolmansien maiden välisiä kansainvälisiä ilmailusuhteita on yleensä säännelty jäsenvaltioiden ja kolmansien maiden kahdenvälisillä lentoliikennesopimuksilla, tällaisten sopimusten liitteillä ja muilla niihin liittyvillä kahdenvälisillä tai monenvälisillä järjestelyillä.</w:t>
      </w:r>
    </w:p>
    <w:p>
      <w:pPr>
        <w:pBdr>
          <w:top w:val="nil"/>
          <w:left w:val="nil"/>
          <w:bottom w:val="nil"/>
          <w:right w:val="nil"/>
          <w:between w:val="nil"/>
          <w:bar w:val="nil"/>
        </w:pBdr>
        <w:spacing w:before="0" w:after="240"/>
        <w:rPr>
          <w:noProof/>
        </w:rPr>
      </w:pPr>
      <w:r>
        <w:rPr>
          <w:noProof/>
        </w:rPr>
        <w:t>Jäsenvaltioiden tekemiin kahdenvälisiin lentoliikennesopimuksiin sisältyvät perinteiset nimeämislausekkeet ovat kuitenkin unionin oikeuden vastaisia. Ne antavat kolmannelle maalle mahdollisuuden evätä tai peruuttaa kokonaan tai tilapäisesti liikennöintiluvat tai muut luvat sellaiselta lentoliikenteen harjoittajalta, jonka jokin jäsenvaltio on nimennyt mutta joka ei ole kyseisen jäsenvaltion tai sen kansalaisten omistuksessa ja tosiasiallisessa määräysvallassa. Tämän on katsottu syrjivän sellaisia EU:n lentoliikenteen harjoittajia, jotka ovat sijoittautuneet jonkin jäsenvaltion alueelle mutta jotka ovat jonkin toisen jäsenvaltion kansalaisten omistuksessa tai määräysvallassa. Tämä on vastoin Euroopan unionin toiminnasta tehdyn sopimuksen 49 artiklaa, jossa sijoittautumisvapauttaan käyttäneille jäsenvaltioiden kansalaisille taataan sijoittautumisvaltiossa sama kohtelu kuin kyseisen jäsenvaltion kansalaisille.</w:t>
      </w:r>
    </w:p>
    <w:p>
      <w:pPr>
        <w:pBdr>
          <w:top w:val="nil"/>
          <w:left w:val="nil"/>
          <w:bottom w:val="nil"/>
          <w:right w:val="nil"/>
          <w:between w:val="nil"/>
          <w:bar w:val="nil"/>
        </w:pBdr>
        <w:spacing w:before="0" w:after="240"/>
        <w:rPr>
          <w:noProof/>
          <w:color w:val="FF0000"/>
        </w:rPr>
      </w:pPr>
      <w:r>
        <w:rPr>
          <w:noProof/>
        </w:rPr>
        <w:t>Myös esimerkiksi lentoyhtiöiden väliset pakolliset kaupalliset sopimukset ovat kysymyksiä, joissa unionin oikeuden noudattaminen olisi varmistettava tarkistamalla tai täydentämällä jäsenvaltioiden ja kolmansien maiden välisten lentoliikennesopimusten voimassa olevia määräyksiä.</w:t>
      </w:r>
    </w:p>
    <w:p>
      <w:pPr>
        <w:pBdr>
          <w:top w:val="nil"/>
          <w:left w:val="nil"/>
          <w:bottom w:val="nil"/>
          <w:right w:val="nil"/>
          <w:between w:val="nil"/>
          <w:bar w:val="nil"/>
        </w:pBdr>
        <w:spacing w:before="0" w:after="240"/>
        <w:rPr>
          <w:noProof/>
        </w:rPr>
      </w:pPr>
      <w:r>
        <w:rPr>
          <w:noProof/>
        </w:rPr>
        <w:t>”Horisontaalisista valtuuksista” tehdyn neuvoston päätöksen liitteessä esitetään neuvotteluissa noudatettavat menettelyt ja neuvotteluohjeet. Komissio on näiden menettelyjen ja ohjeiden mukaisesti neuvotellut Korean tasavallan kanssa sopimuksen, jolla korvataan jäsenvaltioiden ja Korean tasavallan voimassa olevien kahdenvälisten lentoliikennesopimusten tietyt määräykset. Sopimuksen 2 artiklalla korvataan perinteiset nimeämislausekkeet EU:n nimeämislausekkeella, minkä ansiosta kaikki EU:n lentoliikenteen harjoittajat voivat hyödyntää sijoittautumisoikeutta. Sopimuksen 4 artiklalla turvataan jäsenvaltioiden EU-lainsäädännön mukainen oikeus määrätä syrjimättömin perustein veroja, tulleja tai muita maksuja sen alueella toimitetulle polttoaineelle, jota käytetään Korean tasavallan nimeämän lentoliikenteen harjoittajan ilma-aluksessa, joka liikennöi kyseisen jäsenvaltion alueella sijaitsevan paikan ja toisen kyseisen jäsenvaltion alueella sijaitsevan paikan tai jonkin toisen jäsenvaltion alueella sijaitsevan paikan välillä. Sopimuksen 5 artikla tarjoaa ratkaisun mahdollisiin ristiriitoihin unionin kilpailusääntöjen kanssa.</w:t>
      </w:r>
    </w:p>
    <w:p>
      <w:pPr>
        <w:pBdr>
          <w:top w:val="nil"/>
          <w:left w:val="nil"/>
          <w:bottom w:val="nil"/>
          <w:right w:val="nil"/>
          <w:between w:val="nil"/>
          <w:bar w:val="nil"/>
        </w:pBdr>
        <w:spacing w:before="0" w:after="240"/>
        <w:rPr>
          <w:noProof/>
        </w:rPr>
      </w:pPr>
      <w:r>
        <w:rPr>
          <w:noProof/>
        </w:rPr>
        <w:t>Sopimus olisi tehtävä sen jälkeen, kun se on allekirjoitettu. Tätä koskevaa päätöstä ehdotetaan ohessa.</w:t>
      </w:r>
    </w:p>
    <w:p>
      <w:pPr>
        <w:pBdr>
          <w:top w:val="nil"/>
          <w:left w:val="nil"/>
          <w:bottom w:val="nil"/>
          <w:right w:val="nil"/>
          <w:between w:val="nil"/>
          <w:bar w:val="nil"/>
        </w:pBdr>
        <w:spacing w:before="0" w:after="24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2019/0044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 xml:space="preserve">Euroopan unionin ja Korean tasavallan välisen tiettyjä lentoliikenteen näkökohtia koskevan sopimuksen tekemisestä Euroopan unionin puolesta </w:t>
      </w:r>
    </w:p>
    <w:p>
      <w:pPr>
        <w:keepNext/>
        <w:spacing w:before="600"/>
        <w:rPr>
          <w:noProof/>
        </w:rPr>
      </w:pPr>
      <w:r>
        <w:rPr>
          <w:noProof/>
        </w:rPr>
        <w:t>EUROOPAN UNIONIN NEUVOSTO, joka</w:t>
      </w:r>
    </w:p>
    <w:p>
      <w:pPr>
        <w:rPr>
          <w:noProof/>
        </w:rPr>
      </w:pPr>
      <w:r>
        <w:rPr>
          <w:noProof/>
        </w:rPr>
        <w:t>ottaa huomioon Euroopan unionin toiminnasta tehdyn sopimuksen ja erityisesti sen 100 artiklan 2 kohdan yhdessä sen 218 artiklan 6 kohdan a alakohdan kanssa,</w:t>
      </w:r>
    </w:p>
    <w:p>
      <w:pPr>
        <w:rPr>
          <w:noProof/>
        </w:rPr>
      </w:pPr>
      <w:r>
        <w:rPr>
          <w:noProof/>
        </w:rPr>
        <w:t>ottaa huomioon Euroopan komission ehdotuksen,</w:t>
      </w:r>
    </w:p>
    <w:p>
      <w:pPr>
        <w:rPr>
          <w:noProof/>
        </w:rPr>
      </w:pPr>
      <w:r>
        <w:rPr>
          <w:noProof/>
        </w:rPr>
        <w:t>ottaa huomioon Euroopan parlamentin hyväksynnän,</w:t>
      </w:r>
    </w:p>
    <w:p>
      <w:pPr>
        <w:rPr>
          <w:noProof/>
        </w:rPr>
      </w:pPr>
      <w:r>
        <w:rPr>
          <w:noProof/>
        </w:rPr>
        <w:t>sekä katsoo seuraavaa:</w:t>
      </w:r>
    </w:p>
    <w:p>
      <w:pPr>
        <w:pStyle w:val="ManualNumPar1"/>
        <w:rPr>
          <w:noProof/>
        </w:rPr>
      </w:pPr>
      <w:r>
        <w:rPr>
          <w:noProof/>
        </w:rPr>
        <w:t>(1)</w:t>
      </w:r>
      <w:r>
        <w:rPr>
          <w:noProof/>
        </w:rPr>
        <w:tab/>
        <w:t>Euroopan unionin ja Korean tasavallan välinen tiettyjä lentoliikenteen näkökohtia koskeva sopimus, jäljempänä ’sopimus’, allekirjoitettiin […] neuvoston päätöksen …/…/EU</w:t>
      </w:r>
      <w:r>
        <w:rPr>
          <w:rStyle w:val="FootnoteReference"/>
          <w:noProof/>
        </w:rPr>
        <w:footnoteReference w:id="1"/>
      </w:r>
      <w:r>
        <w:rPr>
          <w:noProof/>
        </w:rPr>
        <w:t xml:space="preserve"> mukaisesti sillä varauksella, että sopimuksen tekeminen saatetaan päätökseen myöhemmin.</w:t>
      </w:r>
    </w:p>
    <w:p>
      <w:pPr>
        <w:pStyle w:val="ManualNumPar1"/>
        <w:rPr>
          <w:noProof/>
        </w:rPr>
      </w:pPr>
      <w:r>
        <w:rPr>
          <w:noProof/>
        </w:rPr>
        <w:t>(2)</w:t>
      </w:r>
      <w:r>
        <w:rPr>
          <w:noProof/>
        </w:rPr>
        <w:tab/>
        <w:t>Sopimuksen tarkoituksena on saattaa 22 jäsenvaltion ja Korean tasavallan väliset kahdenväliset lentoliikennesopimukset unionin oikeuden mukaisiksi.</w:t>
      </w:r>
    </w:p>
    <w:p>
      <w:pPr>
        <w:pStyle w:val="ManualNumPar1"/>
        <w:rPr>
          <w:noProof/>
        </w:rPr>
      </w:pPr>
      <w:r>
        <w:rPr>
          <w:noProof/>
        </w:rPr>
        <w:t>(3)</w:t>
      </w:r>
      <w:r>
        <w:rPr>
          <w:noProof/>
        </w:rPr>
        <w:tab/>
        <w:t>Sopimus olisi hyväksyttävä unionin puolesta,</w:t>
      </w:r>
    </w:p>
    <w:p>
      <w:pPr>
        <w:keepNext/>
        <w:rPr>
          <w:noProof/>
        </w:rPr>
      </w:pPr>
    </w:p>
    <w:p>
      <w:pPr>
        <w:keepNext/>
        <w:rPr>
          <w:noProof/>
        </w:rPr>
      </w:pPr>
      <w:r>
        <w:rPr>
          <w:noProof/>
        </w:rPr>
        <w:t xml:space="preserve">ON HYVÄKSYNYT TÄMÄN PÄÄTÖKSEN: </w:t>
      </w:r>
    </w:p>
    <w:p>
      <w:pPr>
        <w:keepNext/>
        <w:spacing w:before="360"/>
        <w:jc w:val="center"/>
        <w:rPr>
          <w:i/>
          <w:noProof/>
        </w:rPr>
      </w:pPr>
      <w:r>
        <w:rPr>
          <w:i/>
          <w:noProof/>
        </w:rPr>
        <w:t>1 artikla</w:t>
      </w:r>
    </w:p>
    <w:p>
      <w:pPr>
        <w:rPr>
          <w:noProof/>
        </w:rPr>
      </w:pPr>
      <w:r>
        <w:rPr>
          <w:noProof/>
        </w:rPr>
        <w:t>Hyväksytään unionin puolesta Euroopan unionin ja Korean tasavallan välinen sopimus, jäljempänä ’sopimus’, tietyistä lentoliikenteen näkökohdista.</w:t>
      </w:r>
    </w:p>
    <w:p>
      <w:pPr>
        <w:rPr>
          <w:noProof/>
        </w:rPr>
      </w:pPr>
      <w:r>
        <w:rPr>
          <w:noProof/>
        </w:rPr>
        <w:t>Sopimuksen teksti on liitetty tähän päätökseen.</w:t>
      </w:r>
    </w:p>
    <w:p>
      <w:pPr>
        <w:spacing w:before="360"/>
        <w:jc w:val="center"/>
        <w:rPr>
          <w:i/>
          <w:noProof/>
        </w:rPr>
      </w:pPr>
      <w:r>
        <w:rPr>
          <w:i/>
          <w:noProof/>
        </w:rPr>
        <w:t>2 artikla</w:t>
      </w:r>
    </w:p>
    <w:p>
      <w:pPr>
        <w:rPr>
          <w:noProof/>
        </w:rPr>
      </w:pPr>
      <w:r>
        <w:rPr>
          <w:noProof/>
        </w:rPr>
        <w:t>Neuvoston puheenjohtaja nimeää henkilön, jolla on valtuudet antaa unionin puolesta sopimuksen 8 artiklan 1 kohdassa tarkoitettu ilmoitus, jolla Euroopan unioni ilmaisee sitoutuvansa noudattamaan sopimusta.</w:t>
      </w:r>
    </w:p>
    <w:p>
      <w:pPr>
        <w:keepNext/>
        <w:spacing w:before="360"/>
        <w:jc w:val="center"/>
        <w:rPr>
          <w:i/>
          <w:noProof/>
        </w:rPr>
      </w:pPr>
      <w:r>
        <w:rPr>
          <w:i/>
          <w:noProof/>
        </w:rPr>
        <w:t>3 artikla</w:t>
      </w:r>
    </w:p>
    <w:p>
      <w:pPr>
        <w:keepNext/>
        <w:keepLines/>
        <w:rPr>
          <w:noProof/>
        </w:rPr>
      </w:pPr>
      <w:r>
        <w:rPr>
          <w:noProof/>
        </w:rPr>
        <w:t>Tämä päätös tulee voimaan päivänä, jona se hyväksytään.</w:t>
      </w:r>
    </w:p>
    <w:p>
      <w:pPr>
        <w:keepNext/>
        <w:spacing w:after="0"/>
        <w:rPr>
          <w:noProof/>
        </w:rPr>
      </w:pPr>
      <w:r>
        <w:rPr>
          <w:noProof/>
        </w:rPr>
        <w:t>Tehty Brysselissä</w:t>
      </w:r>
    </w:p>
    <w:p>
      <w:pPr>
        <w:keepNext/>
        <w:tabs>
          <w:tab w:val="left" w:pos="4252"/>
        </w:tabs>
        <w:spacing w:before="720" w:after="0"/>
        <w:rPr>
          <w:i/>
          <w:noProof/>
        </w:rPr>
      </w:pPr>
      <w:r>
        <w:rPr>
          <w:noProof/>
        </w:rPr>
        <w:tab/>
      </w:r>
      <w:r>
        <w:rPr>
          <w:i/>
          <w:noProof/>
        </w:rPr>
        <w:t>Neuvoston puolesta</w:t>
      </w:r>
    </w:p>
    <w:p>
      <w:pPr>
        <w:tabs>
          <w:tab w:val="left" w:pos="4252"/>
        </w:tabs>
        <w:spacing w:before="0" w:after="0"/>
        <w:jc w:val="left"/>
        <w:rPr>
          <w:i/>
          <w:noProof/>
        </w:rPr>
      </w:pPr>
      <w:r>
        <w:rPr>
          <w:noProof/>
        </w:rPr>
        <w:tab/>
      </w:r>
      <w:r>
        <w:rPr>
          <w:i/>
          <w:noProof/>
        </w:rPr>
        <w:t>Puheenjohtaja</w:t>
      </w:r>
    </w:p>
    <w:p>
      <w:pPr>
        <w:widowControl w:val="0"/>
        <w:shd w:val="clear" w:color="auto" w:fill="FFFFFF"/>
        <w:autoSpaceDE w:val="0"/>
        <w:autoSpaceDN w:val="0"/>
        <w:adjustRightInd w:val="0"/>
        <w:spacing w:before="230" w:after="0" w:line="269" w:lineRule="exact"/>
        <w:ind w:right="86"/>
        <w:rPr>
          <w:noProof/>
        </w:rPr>
      </w:pPr>
      <w:r>
        <w:rPr>
          <w:noProof/>
        </w:rPr>
        <w:t xml:space="preserve"> </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Neuvoston päätös (EU) …/… Euroopan unionin ja Korean tasavallan välisen tiettyjä lentoliikenteen näkökohtia koskevan sopimuksen allekirjoittamisesta Euroopan unionin puolesta (EUVL L [XXX], [XXX], s. [XX]).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72227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84C1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002D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ECEA92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4726E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38A45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C0C60"/>
    <w:lvl w:ilvl="0">
      <w:start w:val="1"/>
      <w:numFmt w:val="decimal"/>
      <w:pStyle w:val="ListNumber"/>
      <w:lvlText w:val="%1."/>
      <w:lvlJc w:val="left"/>
      <w:pPr>
        <w:tabs>
          <w:tab w:val="num" w:pos="360"/>
        </w:tabs>
        <w:ind w:left="360" w:hanging="360"/>
      </w:pPr>
    </w:lvl>
  </w:abstractNum>
  <w:abstractNum w:abstractNumId="7">
    <w:nsid w:val="FFFFFF89"/>
    <w:multiLevelType w:val="singleLevel"/>
    <w:tmpl w:val="52D051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7"/>
  </w:num>
  <w:num w:numId="3">
    <w:abstractNumId w:val="5"/>
  </w:num>
  <w:num w:numId="4">
    <w:abstractNumId w:val="4"/>
  </w:num>
  <w:num w:numId="5">
    <w:abstractNumId w:val="3"/>
  </w:num>
  <w:num w:numId="6">
    <w:abstractNumId w:val="6"/>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3:00: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29FE16D-1890-46EF-8C9E-45072E5A58AA"/>
    <w:docVar w:name="LW_COVERPAGE_TYPE" w:val="1"/>
    <w:docVar w:name="LW_CROSSREFERENCE" w:val="&lt;UNUSED&gt;"/>
    <w:docVar w:name="LW_DocType" w:val="COM"/>
    <w:docVar w:name="LW_EMISSION" w:val="21.2.2019"/>
    <w:docVar w:name="LW_EMISSION_ISODATE" w:val="2019-02-21"/>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44"/>
    <w:docVar w:name="LW_REF.II.NEW.CP_YEAR" w:val="2019"/>
    <w:docVar w:name="LW_REF.INST.NEW" w:val="COM"/>
    <w:docVar w:name="LW_REF.INST.NEW_ADOPTED" w:val="final"/>
    <w:docVar w:name="LW_REF.INST.NEW_TEXT" w:val="(2019) 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Euroopan unionin ja Korean tasavallan välisen tiettyjä lentoliikenteen näkökohtia koskevan sopimuksen tekemisestä Euroopan unionin puolesta "/>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6</Pages>
  <Words>794</Words>
  <Characters>6967</Characters>
  <Application>Microsoft Office Word</Application>
  <DocSecurity>0</DocSecurity>
  <Lines>136</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2018-07-30T09:57:00Z</cp:lastPrinted>
  <dcterms:created xsi:type="dcterms:W3CDTF">2018-12-14T09:40:00Z</dcterms:created>
  <dcterms:modified xsi:type="dcterms:W3CDTF">2019-02-13T12:00:00Z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