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4F4E6AFF-E204-4B61-9493-537DB500EA68" style="width:450.75pt;height:379.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endnotePr>
            <w:numFmt w:val="decimal"/>
          </w:endnotePr>
          <w:pgSz w:w="11907" w:h="16840" w:code="9"/>
          <w:pgMar w:top="1134" w:right="1417" w:bottom="1134" w:left="1417" w:header="709" w:footer="709" w:gutter="0"/>
          <w:pgNumType w:start="1"/>
          <w:cols w:space="720"/>
          <w:docGrid w:linePitch="326"/>
        </w:sectPr>
      </w:pPr>
    </w:p>
    <w:p>
      <w:pPr>
        <w:jc w:val="center"/>
        <w:rPr>
          <w:noProof/>
        </w:rPr>
      </w:pPr>
      <w:bookmarkStart w:id="1" w:name="_GoBack"/>
      <w:bookmarkEnd w:id="1"/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outlineLvl w:val="0"/>
        <w:rPr>
          <w:rFonts w:eastAsia="Malgun Gothic"/>
          <w:noProof/>
        </w:rPr>
      </w:pPr>
      <w:r>
        <w:rPr>
          <w:noProof/>
        </w:rPr>
        <w:t>FTEHIM</w:t>
      </w:r>
    </w:p>
    <w:p>
      <w:pPr>
        <w:jc w:val="center"/>
        <w:outlineLvl w:val="0"/>
        <w:rPr>
          <w:rFonts w:eastAsia="Malgun Gothic"/>
          <w:noProof/>
        </w:rPr>
      </w:pPr>
      <w:r>
        <w:rPr>
          <w:noProof/>
        </w:rPr>
        <w:t>BEJN L-UNJONI EWROPEA</w:t>
      </w:r>
      <w:r>
        <w:rPr>
          <w:noProof/>
        </w:rPr>
        <w:br/>
        <w:t>U R-REPUBBLIKA TAL-KOREA</w:t>
      </w:r>
    </w:p>
    <w:p>
      <w:pPr>
        <w:jc w:val="center"/>
        <w:outlineLvl w:val="0"/>
        <w:rPr>
          <w:rFonts w:eastAsia="Malgun Gothic"/>
          <w:noProof/>
        </w:rPr>
      </w:pPr>
      <w:r>
        <w:rPr>
          <w:noProof/>
        </w:rPr>
        <w:t>DWAR ĊERTI ASPETTI TAS-SERVIZZI TAL-AJRU</w:t>
      </w:r>
    </w:p>
    <w:p>
      <w:pPr>
        <w:jc w:val="center"/>
        <w:outlineLvl w:val="0"/>
        <w:rPr>
          <w:rFonts w:eastAsia="Malgun Gothic"/>
          <w:noProof/>
        </w:rPr>
      </w:pPr>
    </w:p>
    <w:p>
      <w:pPr>
        <w:outlineLvl w:val="0"/>
        <w:rPr>
          <w:rFonts w:eastAsia="Malgun Gothic"/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L-UNJONI EWROPEA,</w:t>
      </w:r>
    </w:p>
    <w:p>
      <w:pPr>
        <w:rPr>
          <w:rFonts w:eastAsia="Malgun Gothic"/>
          <w:noProof/>
        </w:rPr>
      </w:pPr>
    </w:p>
    <w:p>
      <w:pPr>
        <w:tabs>
          <w:tab w:val="left" w:pos="4800"/>
        </w:tabs>
        <w:rPr>
          <w:rFonts w:eastAsia="Malgun Gothic"/>
          <w:noProof/>
        </w:rPr>
      </w:pPr>
      <w:r>
        <w:rPr>
          <w:noProof/>
        </w:rPr>
        <w:tab/>
        <w:t>minn naħa waħda, u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IR-REPUBBLIKA TAL-KOREA,</w:t>
      </w:r>
    </w:p>
    <w:p>
      <w:pPr>
        <w:rPr>
          <w:rFonts w:eastAsia="Malgun Gothic"/>
          <w:noProof/>
        </w:rPr>
      </w:pPr>
    </w:p>
    <w:p>
      <w:pPr>
        <w:tabs>
          <w:tab w:val="left" w:pos="4800"/>
        </w:tabs>
        <w:rPr>
          <w:rFonts w:eastAsia="Malgun Gothic"/>
          <w:noProof/>
        </w:rPr>
      </w:pPr>
      <w:r>
        <w:rPr>
          <w:noProof/>
        </w:rPr>
        <w:tab/>
        <w:t>min-naħa l-oħra,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minn hawn 'il quddiem "il-Partijiet Kontraenti",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FILWAQT LI JINNUTAW li l-Qorti tal-Ġustizzja tal-Unjoni Ewropea sabet li ċerti dispożizzjonijiet tal-ftehimiet bilaterali dwar is-servizzi tal-ajru bejn diversi Stati Membri tal-Unjoni Ewropea u pajjiżi terzi mhumiex kompatibbli mal-liġi tal-Unjoni Ewropea,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FILWAQT LI JINNUTAW li ġew konklużi għadd ta’ ftehimiet bilaterali dwar is-servizzi tal-ajru bejn diversi Stati Membri tal-Unjoni Ewropea u r-Repubblika tal-Korea li kien fihom dispożizzjonijiet simili u li hemm obbligu fuq l-Istati Membri li jieħdu l-passi kollha xierqa biex jeliminaw in-nuqqas ta’ kompatibilità bejn it-tali ftehimiet u t-Trattati tal-UE,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FILWAQT LI JINNUTAW li l-Unjoni Ewropea għandha l-kompetenza esklużiva fir-rigward ta’ diversi aspetti li jistgħu jiġu inklużi fi ftehimiet bilaterali dwar is-servizzi tal-ajru bejn l-Istati Membri tal-Unjoni Ewropea u pajjiżi terzi,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 xml:space="preserve">FILWAQT LI JINNUTAW li, skont il-liġi tal-Unjoni Ewropea, it-trasportaturi tal-ajru tal-Unjoni Ewropea stabbiliti f’xi wieħed mill-Istati Membri tal-Unjoni Ewropea għandhom id-dritt għal aċċess nondiskriminatorju għal rotot tal-ajru bejn l-Istati Membri tal-Unjoni Ewropea u pajjiżi terzi, 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FILWAQT LI JIKKUNSIDRAW il-ftehimiet bejn l-Unjoni Ewropea u ċerti pajjiżi terzi li jipprovdu l-possibbiltà għaċ-ċittadini ta’ dawn il-pajjiżi terzi li jiksbu dritt ta’ sjieda fi trasportaturi tal-ajru mogħtija liċenzja skont il-liġi tal-Unjoni Ewropea,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 xml:space="preserve">FILWAQT LI JAGĦRFU li l-konsistenza bejn il-liġi tal-Unjoni Ewropea u d-dispożizzjonijiet tal-ftehimiet bilaterali dwar is-servizzi tal-ajru bejn l-Istati Membri tal-Unjoni Ewropea u r-Repubblika </w:t>
      </w:r>
      <w:r>
        <w:rPr>
          <w:noProof/>
        </w:rPr>
        <w:lastRenderedPageBreak/>
        <w:t>tal-Korea tipprevedi bażi legali tajba għas-servizzi tal-ajru bejn l-Unjoni Ewropea u r-Repubblika tal-Korea u tippreżerva l-kontinwità ta’ servizzi tal-ajru bħal dawn,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FILWAQT LI JINNUTAW li d-dispożizzjonijiet tal-ftehimiet bilaterali dwar is-servizzi tal-ajru bejn l-Istati Membri tal-Unjoni Ewropea u r-Repubblika tal-Korea li huma konsistenti mal-liġi tal-Unjoni Ewropea ma għandhomx għalfejn jiġu emendati jew sostitwiti,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FILWAQT LI JINNUTAW li dawn l-emendi jikkonfermaw ir-relazzjoni eċċellenti ta' bejn l-Unjoni Ewropea u r-Repubblika tal-Korea fil-qasam tat-trasport bl-ajru,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FILWAQT LI JINNUTAW li mhuwiex għan tal-Unjoni Ewropea f’dan il-Ftehim, li jiżdied il-volum totali ta’ traffiku tal-ajru bejn l-Unjoni Ewropea u r-Repubblika tal-Korea, li jiġi affettwat il-bilanċ bejn trasportaturi tal-ajru tal-Unjoni Ewropea u trasportaturi tal-ajru tar-Repubblika tal-Korea, jew li jipprevali fuq l-interpretazzjoni tad-dispożizzjonijiet ta’ ftehimiet bilaterali eżistenti dwar is-servizzi tal-ajru li għandhom x’jaqsmu mad-drittijiet tat-traffiku,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FTIEHMU KIF ĠEJ:</w:t>
      </w:r>
    </w:p>
    <w:p>
      <w:pPr>
        <w:jc w:val="center"/>
        <w:rPr>
          <w:rFonts w:eastAsia="Malgun Gothic"/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>ARTIKOLU 1</w:t>
      </w: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Dispożizzjonijiet Ġenerali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1.</w:t>
      </w:r>
      <w:r>
        <w:rPr>
          <w:noProof/>
        </w:rPr>
        <w:tab/>
        <w:t>Għall-finijiet ta’ dan il-Ftehim, “Stati Membri” tfisser l-Istati Membri tal-Unjoni Ewropea; “Trattati tal-UE” tfisser it-Trattat dwar l-Unjoni Ewropea u t-Trattat dwar il-Funzjonament tal-Unjoni Ewropea; “Parti Kontraenti” tfisser parti kontraenti f’dan il-Ftehim; “parti” tfisser il-parti kontraenti fil-ftehim bilaterali rilevanti dwar is-servizzi tal-ajru; “trasportatur tal-ajru” tfisser ukoll linja tal-ajru.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2.</w:t>
      </w:r>
      <w:r>
        <w:rPr>
          <w:noProof/>
        </w:rPr>
        <w:tab/>
        <w:t>Ir-referenzi f’kull ftehim imniżżel fl-Anness I għaċ-ċittadini tal-Istat Membru li huwa parti fil-ftehim għandhom jinftehmu bħala referenzi għaċ-ċittadini tal-Istati Membri tal-Unjoni Ewropea.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3.</w:t>
      </w:r>
      <w:r>
        <w:rPr>
          <w:noProof/>
        </w:rPr>
        <w:tab/>
        <w:t>Referenzi f'kull ftehim imniżżel fl-Anness I għat-trasportaturi tal-ajru jew għal-linji tal-ajru tal-Istat Membru li huwa parti f’dak il-ftehim għandhom jinftehmu bħala referenzi għat-trasportaturi tal-ajru jew għal-linji tal-ajru maħturin minn dak l-Istat Membru.</w:t>
      </w:r>
    </w:p>
    <w:p>
      <w:pPr>
        <w:jc w:val="center"/>
        <w:rPr>
          <w:rFonts w:eastAsia="Malgun Gothic"/>
          <w:noProof/>
        </w:rPr>
      </w:pPr>
      <w:r>
        <w:rPr>
          <w:noProof/>
        </w:rPr>
        <w:br w:type="page"/>
        <w:t>ARTIKOLU 2</w:t>
      </w: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Ħatra, awtorizzazzjoni u revoka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1.</w:t>
      </w:r>
      <w:r>
        <w:rPr>
          <w:noProof/>
        </w:rPr>
        <w:tab/>
        <w:t>Id-dispożizzjonijiet fil-paragrafi 3 u 4 ta' dan l-Artikolu għandhom jipprevalu fuq id-dispożizzjonijiet korrispondenti għalihom fl-Artikoli elenkati fl-Anness II(a) u (b) rispettivament, f’dak li għandu x’jaqsam mal-ħatra tat-trasportaturi tal-ajru mill-Istat Membru kkonċernat, l-awtorizzazzjonijiet u l-permessi tiegħu mogħtija mir-Repubblika tal-Korea, u r-rifjut, ir-revoka, is-sospensjoni jew il-limitazzjoni tal-awtorizzazzjonijiet jew tal-permessi tat-trasportatur tal-ajru, rispettivament.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2.</w:t>
      </w:r>
      <w:r>
        <w:rPr>
          <w:noProof/>
        </w:rPr>
        <w:tab/>
        <w:t>Id-dispożizzjonijiet fil-paragrafi 3 u 4 ta' dan l-Artikolu għandhom jipprevalu fuq id-dispożizzjonijiet korrispondenti għalihom fl-Artikoli elenkati fl-Anness II(a) u (b) rispettivament, f’dak li għandu x’jaqsam mal-ħatra tat-trasportaturi tal-ajru mir-Repubblika tal-Korea, l-awtorizzazzjonijiet u l-permessi maħruġa mill-Istat Membru kkonċernat, u r-rifjut, ir-revoka, is-sospensjoni jew il-limitazzjoni tal-awtorizzazzjonijiet jew il-permessi tat-trasportatur tal-ajru, rispettivament.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3.</w:t>
      </w:r>
      <w:r>
        <w:rPr>
          <w:noProof/>
        </w:rPr>
        <w:tab/>
        <w:t>Malli tirċievi tali ħatra, u applikazzjonijiet mingħand it-trasportatur(i) tal-ajru maħtur(a), fil-forma u fil-mod preskitti għall-awtorizzazzjonijiet operattivi u għall-permessi tekniċi, kull parti għandha, soġġett għall-paragrafi 4 u 5 ta’ dan l-Artikolu, tagħti l-awtorizzazzjonijiet u l-permessi xierqa bl-inqas dewmien proċedurali, sakemm: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(a)</w:t>
      </w:r>
      <w:r>
        <w:rPr>
          <w:noProof/>
        </w:rPr>
        <w:tab/>
        <w:t>fil-każ ta' trasportatur tal-ajru maħtur minn Stat Membru:</w:t>
      </w:r>
    </w:p>
    <w:p>
      <w:pPr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(i)</w:t>
      </w:r>
      <w:r>
        <w:rPr>
          <w:noProof/>
        </w:rPr>
        <w:tab/>
        <w:t xml:space="preserve">it-trasportatur tal-ajru jkun stabbilit, skont it-Trattati tal-UE, fit-territorju tal-Istat Membru li jkun qed jaħtru u jkollu liċenzja operattiva minn Stat Membru skont il-liġi tal-Unjoni Ewropea; u </w:t>
      </w:r>
    </w:p>
    <w:p>
      <w:pPr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(ii)</w:t>
      </w:r>
      <w:r>
        <w:rPr>
          <w:noProof/>
        </w:rPr>
        <w:tab/>
        <w:t>il-kontroll regolatorju effettiv tat-trasportatur tal-ajru huwa eżerċitat u miżmum mill-Istat Membru responsabbli għall-ħruġ taċ-ċertifikat tal-operatur tal-ajru tiegħu u l-awtorità aeronawtika rilevanti hija identifikata b'mod ċar fil-ħatra; u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(iii)</w:t>
      </w:r>
      <w:r>
        <w:rPr>
          <w:noProof/>
        </w:rPr>
        <w:tab/>
        <w:t>it-trasportatur tal-ajru għandu l-post prinċipali tan-negozju tiegħu fit-territorju tal-Istat Membru li mingħandu jkun irċieva l-liċenzja operattiva valida; u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(iv)</w:t>
      </w:r>
      <w:r>
        <w:rPr>
          <w:noProof/>
        </w:rPr>
        <w:tab/>
        <w:t>it-trasportatur tal-ajru jkun, direttament jew b’maġġoranza ta’ ishma, proprjetà tal-Istati Membri, u jkun ikkontrollat b’mod effettiv minnhom u/jew miċ-ċittadini tagħhom u/jew mill-Istati l-oħra mniżżlin fl-Anness III u/jew miċ-ċittadini ta’ dawn l-Istati l-oħra;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(b)</w:t>
      </w:r>
      <w:r>
        <w:rPr>
          <w:noProof/>
        </w:rPr>
        <w:tab/>
        <w:t>fil-każ ta' trasportatur tal-ajru maħtur mir-Repubblika tal-Korea: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(i)</w:t>
      </w:r>
      <w:r>
        <w:rPr>
          <w:noProof/>
        </w:rPr>
        <w:tab/>
        <w:t>ir-Repubblika tal-Korea għandha u żżomm kontroll regolatorju effettiv tat-trasportatur tal-ajru; u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(ii)</w:t>
      </w:r>
      <w:r>
        <w:rPr>
          <w:noProof/>
        </w:rPr>
        <w:tab/>
        <w:t>parti sostanzjali tal-proprjetà u l-kontroll effettiv ta' dak it-trasportatur tal-ajru huma tar-Repubblika tal-Korea, ta' ċittadini tar-Repubblika tal-Korea, jew tat-tnejn, u t-trasportatur tal-ajru għandu liċenzja operattiva valida maħruġa mir-Repubblika tal-Korea;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 xml:space="preserve"> il-linja tal-ajru maħtura tissodisfa l-kundizzjonijiet preskritti taħt il-liġijiet u r-regolamenti li normalment japplikaw għall-operat ta' servizzi tal-ajru internazzjonali mill-parti li tikkunsidra l-applikazzjoni jew l-applikazzjonijiet. 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4.</w:t>
      </w:r>
      <w:r>
        <w:rPr>
          <w:noProof/>
        </w:rPr>
        <w:tab/>
        <w:t>Kull waħda mill-partijiet tista' tirrifjuta, tirrevoka, tissospendi jew tillimita l-awtorizzazzjoni tal-operat jew il-permessi tekniċi ta' trasportatur tal-ajru maħtur mill-parti l-oħra fejn: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(a)</w:t>
      </w:r>
      <w:r>
        <w:rPr>
          <w:noProof/>
        </w:rPr>
        <w:tab/>
        <w:t xml:space="preserve">fil-każ ta' trasportatur tal-ajru maħtur minn Stat Membru: 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(i)</w:t>
      </w:r>
      <w:r>
        <w:rPr>
          <w:noProof/>
        </w:rPr>
        <w:tab/>
        <w:t>it-trasportatur tal-ajru ma jkunx stabbilit, skont it-Trattati tal-UE, fit-territorju tal-Istat Membru li jkun qed jaħtru jew ma jkollux liċenzja operattiva minn Stat Membru skont il-liġi tal-Unjoni Ewropea; jew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(ii)</w:t>
      </w:r>
      <w:r>
        <w:rPr>
          <w:noProof/>
        </w:rPr>
        <w:tab/>
        <w:t>l-Istat Membru responsabbli għall-ħruġ taċ-ċertifikat tal-operatur tal-ajru tat-trasportatur tal-ajru ma jkunx jeżerċita jew iżomm kontroll regolatorju effettiv fuqu, jew l-awtorità ajrunawtika rilevanti ma tkunx identifikata b'mod ċar fil-ħatra; jew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(iii)</w:t>
      </w:r>
      <w:r>
        <w:rPr>
          <w:noProof/>
        </w:rPr>
        <w:tab/>
        <w:t>it-trasportatur tal-ajru ma jkollux il-post prinċipali tan-negozju tiegħu fit-territorju tal-Istat Membru li mingħandu jkun irċieva l-liċenzja operattiva tiegħu; jew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(iv)</w:t>
      </w:r>
      <w:r>
        <w:rPr>
          <w:noProof/>
        </w:rPr>
        <w:tab/>
        <w:t>it-trasportatur tal-ajru ma jkunx, direttament jew b’maġġoranza ta’ ishma, proprjetà tal-Istati Membri, u kkontrollat b’mod effettiv minnhom u/jew miċ-ċittadini tal-Istati Membri u/jew mill-Istati l-oħra mniżżlin fl-Anness III u/jew minn ċittadini ta' dawn l-Istati l-oħra; jew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(v)</w:t>
      </w:r>
      <w:r>
        <w:rPr>
          <w:noProof/>
        </w:rPr>
        <w:tab/>
        <w:t>it-trasportatur tal-ajru jkun diġà awtorizzat li jopera skont ftehim bilaterali bejn ir-Repubblika tal-Korea u xi Stat Membru ieħor u r-Repubblika tal-Korea tista' turi li, billi jeżerċita d-drittijiet tat-traffiku skont dan il-Ftehim fuq rotta li tinkludi punt f’dak l-Istat Membru l-ieħor, ikun qed jevita r-restrizzjonijiet fuq id-drittijiet tat-traffiku imposti minn dak il-ftehim l-ieħor; jew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(vi)</w:t>
      </w:r>
      <w:r>
        <w:rPr>
          <w:noProof/>
        </w:rPr>
        <w:tab/>
        <w:t>it-trasportatur tal-ajru jkollu ċertifikat tal-operatur tal-ajru maħruġ minn Stat Membru u ma jkun hemm l-ebda ftehim bilaterali dwar is-servizzi tal-ajru bejn ir-Repubblika tal-Korea u dak l-Istat Membru, u dak l-Istat Membru jkun ċaħħad id-drittijiet tat-traffiku lit-trasportatur tal-ajru maħtur mir-Repubblika tal-Korea;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(b)</w:t>
      </w:r>
      <w:r>
        <w:rPr>
          <w:noProof/>
        </w:rPr>
        <w:tab/>
        <w:t>fil-każ ta' trasportatur tal-ajru maħtur mir-Repubblika tal-Korea: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(i)</w:t>
      </w:r>
      <w:r>
        <w:rPr>
          <w:noProof/>
        </w:rPr>
        <w:tab/>
        <w:t>ir-Repubblika tal-Korea ma għandhiex il-kontroll regolatorju effettiv tat-trasportatur tal-ajru; jew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(ii)</w:t>
      </w:r>
      <w:r>
        <w:rPr>
          <w:noProof/>
        </w:rPr>
        <w:tab/>
        <w:t>parti sostanzjali tal-proprjetà u l-kontroll effettiv ta' dak it-trasportatur tal-ajru mhumiex tar-Repubblika tal-Korea, ta' ċittadini tar-Repubblika tal-Korea, jew tat-tnejn, u t-trasportatur tal-ajru m’għandux liċenzja operattiva valida maħruġa mir-Repubblika tal-Korea;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(c)  il-linja tal-ajru maħtura ma tissodisfax il-kundizzjonijiet preskritti taħt il-liġijiet u r-regolamenti li normalment japplikaw għall-operat ta' servizzi tal-ajru internazzjonali mill-parti li tagħti dawk id-drittijiet.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5.</w:t>
      </w:r>
      <w:r>
        <w:rPr>
          <w:noProof/>
        </w:rPr>
        <w:tab/>
        <w:t>Fl-eżerċizzju tad-dritt tagħha skont il-paragrafu 4, u mingħajr preġudizzju għad-drittijiet tagħha skont il-paragrafu 4(a)(v) u (vi) ta' dan l-Artikolu, ir-Repubblika tal-Korea ma għandhiex tiddiskrimina bejn trasportaturi tal-ajru tal-Istati Membri abbażi tan-nazzjonalità.</w:t>
      </w:r>
    </w:p>
    <w:p>
      <w:pPr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br w:type="page"/>
        <w:t>ARTIKOLU 3</w:t>
      </w: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Drittijiet fir-rigward tal-kontroll regolatorju</w:t>
      </w:r>
    </w:p>
    <w:p>
      <w:pPr>
        <w:jc w:val="center"/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1.</w:t>
      </w:r>
      <w:r>
        <w:rPr>
          <w:noProof/>
        </w:rPr>
        <w:tab/>
        <w:t>Id-dispożizzjonijiet fil-paragrafu 2 ta' dan l-Artikolu għandhom jikkomplementaw id-dispożizzjonijiet korrispondenti fl-Artikoli elenkati fl-Anness II(c).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2.</w:t>
      </w:r>
      <w:r>
        <w:rPr>
          <w:noProof/>
        </w:rPr>
        <w:tab/>
        <w:t>Fejn Stat Membru (“l-ewwel Stat Membru”) ikun ħatar trasportatur tal-ajru li l-kontroll regolatorju tiegħu hu eżerċitat u miżmum minn Stat Membru ieħor, id-drittijiet tar-Repubblika tal-Korea skont id-dispożizzjonijiet tas-sikurezza tal-ftehim bejn l-ewwel Stat Membru li jkun ħatar lit-trasportatur tal-ajru u r-Repubblika tal-Korea għandhom japplikaw indaqs fir-rigward tal-adozzjoni, l-eżerċizzju jew iż-żamma tal-istandards ta' sikurezza mit-tieni Stat Membru u fir-rigward tal-awtorizzazzjoni tal-operat ta' dak it-trasportatur tal-ajru.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ARTIKOLU 4</w:t>
      </w: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Tassazzjoni fuq il-fjuwil tal-avjazzjoni</w:t>
      </w:r>
    </w:p>
    <w:p>
      <w:pPr>
        <w:jc w:val="center"/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1.</w:t>
      </w:r>
      <w:r>
        <w:rPr>
          <w:noProof/>
        </w:rPr>
        <w:tab/>
        <w:t xml:space="preserve">Id-dispożizzjonijiet fil-paragrafu 2 ta’ dan l-Artikolu għandhom jikkomplementaw id-dispożizzjonijiet korrispondenti tagħhom fl-Artikoli elenkati fl-Anness II(d). 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b/>
          <w:i/>
          <w:noProof/>
        </w:rPr>
      </w:pPr>
      <w:r>
        <w:rPr>
          <w:noProof/>
        </w:rPr>
        <w:t>2.</w:t>
      </w:r>
      <w:r>
        <w:rPr>
          <w:noProof/>
        </w:rPr>
        <w:tab/>
        <w:t>Minkejja kull dispożizzjoni oħra għall-kuntrarju, ma għandu jkun hemm xejn fid-dispożizzjonijiet elenkati fl-Anness II(d) li jżomm Stat Membru milli jimponi, fuq bażi nondiskriminatorja, taxxi, imposti, dazji, miżati jew ħlasijiet fuq fjuwil fornut fit-territorju tiegħu għall-użu f'inġenju tal-ajru ta' trasportatur tal-ajru maħtur mir-Repubblika tal-Korea li jopera bejn punt fit-territorju ta' dak l-Istat Membru u punt ieħor fit-territorju ta' dak l-istess Stat Membru jew fit-territorju ta' Stat Membru ieħor.</w:t>
      </w:r>
    </w:p>
    <w:p>
      <w:pPr>
        <w:rPr>
          <w:rFonts w:eastAsia="Malgun Gothic"/>
          <w:noProof/>
          <w:u w:val="single"/>
        </w:rPr>
      </w:pPr>
    </w:p>
    <w:p>
      <w:pPr>
        <w:rPr>
          <w:rFonts w:eastAsia="Malgun Gothic"/>
          <w:noProof/>
          <w:u w:val="single"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ARTIKOLU 5</w:t>
      </w: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Il-kompatibbiltà mar-regoli tal-kompetizzjoni</w:t>
      </w:r>
    </w:p>
    <w:p>
      <w:pPr>
        <w:jc w:val="center"/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1.</w:t>
      </w:r>
      <w:r>
        <w:rPr>
          <w:noProof/>
        </w:rPr>
        <w:tab/>
        <w:t>Minkejja kull dispożizzjoni oħra għall-kuntarju, xejn f’kull wieħed mill-ftehimiet elenkati fl-Anness I ma għandu:</w:t>
      </w:r>
    </w:p>
    <w:p>
      <w:pPr>
        <w:rPr>
          <w:rFonts w:eastAsia="Malgun Gothic"/>
          <w:noProof/>
        </w:rPr>
      </w:pPr>
    </w:p>
    <w:p>
      <w:pPr>
        <w:ind w:left="567" w:hanging="567"/>
        <w:rPr>
          <w:rFonts w:eastAsia="Malgun Gothic"/>
          <w:noProof/>
        </w:rPr>
      </w:pPr>
      <w:r>
        <w:rPr>
          <w:noProof/>
        </w:rPr>
        <w:t>(a)</w:t>
      </w:r>
      <w:r>
        <w:rPr>
          <w:noProof/>
        </w:rPr>
        <w:tab/>
        <w:t>jiffavorixxi l-adozzjoni ta’ ftehimiet bejn impriżi, deċiżjonijiet minn assoċjazzjonijiet ta’ impriżi jew prattiki miftiehma li jipprevjenu, jgħawġu jew jirrestrinġu l-kompetizzjoni;</w:t>
      </w:r>
    </w:p>
    <w:p>
      <w:pPr>
        <w:ind w:left="567" w:hanging="567"/>
        <w:rPr>
          <w:rFonts w:eastAsia="Malgun Gothic"/>
          <w:noProof/>
        </w:rPr>
      </w:pPr>
    </w:p>
    <w:p>
      <w:pPr>
        <w:ind w:left="567" w:hanging="567"/>
        <w:rPr>
          <w:rFonts w:eastAsia="Malgun Gothic"/>
          <w:noProof/>
        </w:rPr>
      </w:pPr>
      <w:r>
        <w:rPr>
          <w:noProof/>
        </w:rPr>
        <w:t>(b)</w:t>
      </w:r>
      <w:r>
        <w:rPr>
          <w:noProof/>
        </w:rPr>
        <w:tab/>
        <w:t>isaħħaħ l-effetti ta’ kwalunkwe ftehim, deċiżjoni jew prattika miftiehma ta’ dan it-tip; jew</w:t>
      </w:r>
    </w:p>
    <w:p>
      <w:pPr>
        <w:ind w:left="567" w:hanging="567"/>
        <w:rPr>
          <w:rFonts w:eastAsia="Malgun Gothic"/>
          <w:noProof/>
        </w:rPr>
      </w:pPr>
    </w:p>
    <w:p>
      <w:pPr>
        <w:ind w:left="567" w:hanging="567"/>
        <w:rPr>
          <w:rFonts w:eastAsia="Malgun Gothic"/>
          <w:noProof/>
        </w:rPr>
      </w:pPr>
      <w:r>
        <w:rPr>
          <w:noProof/>
        </w:rPr>
        <w:t>(c)</w:t>
      </w:r>
      <w:r>
        <w:rPr>
          <w:noProof/>
        </w:rPr>
        <w:tab/>
        <w:t>jiddelega lil operaturi ekonomiċi privati r-responsabbiltà għat-teħid ta’ miżuri li jipprevjenu, jgħawġu jew jirrestrinġu l-kompetizzjoni.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2.</w:t>
      </w:r>
      <w:r>
        <w:rPr>
          <w:noProof/>
        </w:rPr>
        <w:tab/>
        <w:t>Id-dispożizzjonijiet fil-ftehimiet elenkati fl-Anness I li huma inkompatibbli mal-paragrafu 1 ta' dan l-Artikolu m'għandhomx jiġu applikati.</w:t>
      </w:r>
    </w:p>
    <w:p>
      <w:pPr>
        <w:rPr>
          <w:rFonts w:eastAsia="Malgun Gothic"/>
          <w:noProof/>
          <w:u w:val="single"/>
        </w:rPr>
      </w:pPr>
    </w:p>
    <w:p>
      <w:pPr>
        <w:rPr>
          <w:rFonts w:eastAsia="Malgun Gothic"/>
          <w:noProof/>
          <w:u w:val="single"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ARTIKOLU 6</w:t>
      </w: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L-Annessi għal dan il-Ftehim</w:t>
      </w:r>
    </w:p>
    <w:p>
      <w:pPr>
        <w:jc w:val="center"/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L-Annessi għal dan il-Ftehim għandhom jifformaw parti integrali minnu.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ARTIKOLU 7</w:t>
      </w: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Reviżjoni jew emenda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Il-Partijiet Kontraenti jistgħu, f'kull ħin, jirrevedu jew jemendaw dan il-Ftehim b’kunsens bil-miktub reċiproku.</w:t>
      </w:r>
    </w:p>
    <w:p>
      <w:pPr>
        <w:rPr>
          <w:rFonts w:eastAsia="Malgun Gothic"/>
          <w:noProof/>
          <w:u w:val="single"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ARTIKOLU 8</w:t>
      </w: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Dħul fis-seħħ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1.</w:t>
      </w:r>
      <w:r>
        <w:rPr>
          <w:noProof/>
        </w:rPr>
        <w:tab/>
        <w:t>Dan il-Ftehim għandu jidħol fis-seħħ meta l-Partijiet Kontraenti jkunu nnotifikaw lil xulxin bil-miktub li l-proċeduri interni rispettivi tagħhom meħtieġa għad-dħul fis-seħħ tal-Ftehim tlestew.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2.</w:t>
      </w:r>
      <w:r>
        <w:rPr>
          <w:noProof/>
        </w:rPr>
        <w:tab/>
        <w:t>Ftehimiet u arranġamenti oħra bejn l-Istati Membri u r-Repubblika tal-Korea, li fid-data tal-iffirmar ta' dan il-Ftehim, ikunu għadhom ma daħlux fis-seħħ u li ma jkunux qed jiġu applikati provviżorjament, huma elenkati fl-Anness I(b). Dan il-Ftehim għandu japplika għal dawk il-Ftehimiet u l-arranġamenti kollha mad-dħul fis-seħħ tagħhom.</w:t>
      </w: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ARTIKOLU 9</w:t>
      </w: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Terminazzjoni</w:t>
      </w:r>
    </w:p>
    <w:p>
      <w:pPr>
        <w:jc w:val="center"/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1.</w:t>
      </w:r>
      <w:r>
        <w:rPr>
          <w:noProof/>
        </w:rPr>
        <w:tab/>
        <w:t>Fil-każ li Ftehim elenkat fl-Anness I jiġi mitmum, id-dispożizzjonijiet kollha ta' dan il-Ftehim li għandhom x'jaqsmu mal-Ftehim ikkonċernat għandhom jintemmu fl-istess ħin.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2.</w:t>
      </w:r>
      <w:r>
        <w:rPr>
          <w:noProof/>
        </w:rPr>
        <w:tab/>
        <w:t>Fil-każ li l-Ftehimiet kollha elenkati fl-Anness I jintemmu, dan il-Ftehim għandu jintemm fid-data tat-terminazzjoni tal-aħħar wieħed minn dan it-tip ta’ Ftehim.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B’XHIEDA TA’ DAN, il-firmatarji ta’ hawn taħt, awtorizzati kif xieraq, iffirmaw dan il-Ftehim.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Magħmul fi [….] f’żewġ kopji, f'dan il-[…] jum ta’ […, …] bil-lingwa Bulgara, Ċeka, Daniża, Estonjana, Finlandiża, Franċiża, Ġermaniża, Griega, Ingliża, Kroata, Latvjana, Litwana, Maltija, Olandiża, Pollakka, Portugiża, Rumena, Slovakka, Slovena, Spanjola, Taljana, Ungeriża, Żvediża u Koreana, fejn it-testi kollha huma ugwalment awtentiċi.</w:t>
      </w:r>
    </w:p>
    <w:p>
      <w:pPr>
        <w:rPr>
          <w:rFonts w:eastAsia="Malgun Gothic"/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90"/>
      </w:tblGrid>
      <w:tr>
        <w:tc>
          <w:tcPr>
            <w:tcW w:w="4889" w:type="dxa"/>
            <w:shd w:val="clear" w:color="auto" w:fill="auto"/>
          </w:tcPr>
          <w:p>
            <w:pPr>
              <w:spacing w:before="120" w:after="120"/>
              <w:jc w:val="both"/>
              <w:rPr>
                <w:rFonts w:eastAsia="Malgun Gothic"/>
                <w:noProof/>
              </w:rPr>
            </w:pPr>
            <w:r>
              <w:rPr>
                <w:noProof/>
              </w:rPr>
              <w:t>GĦALL-UNJONI EWROPEA</w:t>
            </w:r>
          </w:p>
          <w:p>
            <w:pPr>
              <w:spacing w:before="120" w:after="120"/>
              <w:jc w:val="both"/>
              <w:rPr>
                <w:rFonts w:eastAsia="Malgun Gothic"/>
                <w:noProof/>
              </w:rPr>
            </w:pPr>
          </w:p>
        </w:tc>
        <w:tc>
          <w:tcPr>
            <w:tcW w:w="4890" w:type="dxa"/>
            <w:shd w:val="clear" w:color="auto" w:fill="auto"/>
          </w:tcPr>
          <w:p>
            <w:pPr>
              <w:spacing w:before="120" w:after="120"/>
              <w:jc w:val="both"/>
              <w:rPr>
                <w:rFonts w:eastAsia="Malgun Gothic"/>
                <w:noProof/>
              </w:rPr>
            </w:pPr>
            <w:r>
              <w:rPr>
                <w:noProof/>
              </w:rPr>
              <w:t>GĦAR-REPUBBLIKA TAL-KOREA</w:t>
            </w:r>
          </w:p>
          <w:p>
            <w:pPr>
              <w:spacing w:before="120" w:after="120"/>
              <w:jc w:val="both"/>
              <w:rPr>
                <w:rFonts w:eastAsia="Malgun Gothic"/>
                <w:noProof/>
              </w:rPr>
            </w:pPr>
          </w:p>
        </w:tc>
      </w:tr>
    </w:tbl>
    <w:p>
      <w:pPr>
        <w:jc w:val="right"/>
        <w:outlineLvl w:val="0"/>
        <w:rPr>
          <w:rFonts w:eastAsia="Malgun Gothic"/>
          <w:b/>
          <w:noProof/>
          <w:u w:val="single"/>
        </w:rPr>
      </w:pPr>
      <w:r>
        <w:rPr>
          <w:b/>
          <w:noProof/>
          <w:u w:val="single"/>
        </w:rPr>
        <w:t>ANNESS I</w:t>
      </w:r>
    </w:p>
    <w:p>
      <w:pPr>
        <w:jc w:val="center"/>
        <w:outlineLvl w:val="0"/>
        <w:rPr>
          <w:rFonts w:eastAsia="Malgun Gothic"/>
          <w:noProof/>
          <w:u w:val="single"/>
        </w:rPr>
      </w:pPr>
    </w:p>
    <w:p>
      <w:pPr>
        <w:jc w:val="center"/>
        <w:outlineLvl w:val="0"/>
        <w:rPr>
          <w:rFonts w:eastAsia="Malgun Gothic"/>
          <w:noProof/>
          <w:u w:val="single"/>
        </w:rPr>
      </w:pPr>
    </w:p>
    <w:p>
      <w:pPr>
        <w:jc w:val="center"/>
        <w:outlineLvl w:val="0"/>
        <w:rPr>
          <w:rFonts w:eastAsia="Malgun Gothic"/>
          <w:noProof/>
        </w:rPr>
      </w:pPr>
      <w:r>
        <w:rPr>
          <w:noProof/>
        </w:rPr>
        <w:t>Il-lista tal-ftehimiet imsemmijin fl-Artikolu 1 ta’ dan il-Ftehim</w:t>
      </w:r>
    </w:p>
    <w:p>
      <w:pPr>
        <w:widowControl/>
        <w:ind w:left="851" w:hanging="851"/>
        <w:jc w:val="both"/>
        <w:rPr>
          <w:rFonts w:eastAsia="Malgun Gothic"/>
          <w:noProof/>
          <w:szCs w:val="24"/>
        </w:rPr>
      </w:pPr>
    </w:p>
    <w:p>
      <w:pPr>
        <w:widowControl/>
        <w:spacing w:before="120" w:after="120"/>
        <w:ind w:left="850" w:hanging="850"/>
        <w:jc w:val="both"/>
        <w:rPr>
          <w:rFonts w:eastAsia="Malgun Gothic"/>
          <w:noProof/>
          <w:szCs w:val="24"/>
        </w:rPr>
      </w:pPr>
    </w:p>
    <w:p>
      <w:pPr>
        <w:ind w:left="567" w:hanging="567"/>
        <w:rPr>
          <w:rFonts w:eastAsia="Malgun Gothic"/>
          <w:noProof/>
        </w:rPr>
      </w:pPr>
      <w:r>
        <w:rPr>
          <w:noProof/>
        </w:rPr>
        <w:t>(a)</w:t>
      </w:r>
      <w:r>
        <w:rPr>
          <w:noProof/>
        </w:rPr>
        <w:tab/>
        <w:t>Il-ftehimiet dwar is-servizzi tal-ajru bejn ir-Repubblika tal-Korea u l-Istati Membri tal-Unjoni Ewropea kif setgħu ġew emendati, immodifikati jew issuplimentati li, fid-data tal-iffirmar ta' dan il-Ftehim, ġew konklużi, iffirmati u/jew qed jiġu applikati provviżorjament, huma dawn:</w:t>
      </w:r>
    </w:p>
    <w:p>
      <w:pPr>
        <w:ind w:left="567" w:hanging="567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bejn il-Gvern Federali tal-Awstrija u l-Gvern tar-Repubblika tal-Korea dwar is-Servizzi tal-Ajru bejn u li jikkonċernaw it-Territorji Rispettivi tagħhom magħmul fi Vjenna fil-15 ta' Mejju 1979, minn hawn ’il quddiem imsejjaħ “il-Ftehim bejn ir-Repubblika tal-Korea u l-Awstrija” fl-Anness II;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bejn il-Gvern tar-Renju tal-Belġju u l-Gvern tar-Repubblika tal-Korea dwar is-Servizzi tal-Ajru magħmul fi Brussell fl-20 ta’ Ottubru 1975, minn hawn ’il quddiem imsejjaħ “il-Ftehim bejn ir-Repubblika tal-Korea u l-Belġju” fl-Anness II,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bejn il-Gvern tar-Repubblika tal-Bulgarija u l-Gvern tar-Repubblika tal-Korea dwar is-Servizzi tal-Ajru bejn u lil hinn mit-Territorji Rispettivi tagħhom magħmul f’Sofija fid-19 ta’ Awwissu 1994, minn hawn ’il quddiem imsejjaħ “il-Ftehim bejn ir-Repubblika tal-Korea u l-Bulgarija” fl-Anness II,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bejn il-Gvern tar-Repubblika tal-Kroazja u l-Gvern tar-Repubblika tal-Korea dwar is-Servizzi tal-Ajru magħmul f’Zagreb fit-30 ta’ Diċembru 2015, minn hawn ’il quddiem imsejjaħ “il-Ftehim bejn ir-Repubblika tal-Korea u l-Kroazja” fl-Anness II,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bejn il-Gvern tar-Repubblika Federali Ċeka u Slovakka u l-Gvern tar-Repubblika tal-Korea dwar is-Servizzi tal-Ajru, iffirmat f'Seoul fis-26 ta' Ottubru 1990, emendat bi Ftehim bejn il-Gvern tar-Repubblika Ċeka u l-Gvern tar-Repubblika tal-Korea li jemenda l-Ftehim bejn il-Gvern tar-Repubblika Federali Ċeka u Slovakka u l-Gvern tar-Repubblika tal-Korea dwar is-Servizzi tal-Ajru, iffirmat f'Seoul fis-26 ta' Ottubru 1990, konkluż permezz ta' skambju ta' noti diplomatiċi bejn it-3 ta' Diċembru 2004 u l-14 ta' Frar 2005, minn hawn ’il quddiem imsejjaħ “il-Ftehim bejn ir-Repubblika tal-Korea u r-Repubblika Ċeka” fl-Anness II;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bejn il-Gvern tar-Repubblika tal-Korea u l-Gvern tar-Renju tad-Danimarka dwar is-Servizzi tal-Ajru Skedati bejn u lil hinn mit-territorji rispettivi tagħhom inizjalat f’Seoul fis-6 ta’ Settembru 1995, minn hawn ’il quddiem imsejjaħ “il-Ftehim bejn ir-Repubblika tal-Korea u d-Danimarka” fl-Anness II,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dwar is-Servizzi tal-Ajru bejn il-Gvern tar-Repubblika tal-Finlandja u l-Gvern tar-Repubblika tal-Korea magħmul f’Seoul fit-12 ta’ Novembru 1996, minn hawn ’il quddiem imsejjaħ “il-Ftehim bejn ir-Repubblika tal-Korea u l-Finlandja” fl-Anness II,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bejn il-Gvern tar-Repubblika Franċiża u l-Gvern tar-Repubblika tal-Korea dwar is-Servizzi tal-Ajru magħmul f’Seoul fis-7 ta’ Ġunju 1974, minn hawn ’il quddiem imsejjaħ “il-Ftehim bejn ir-Repubblika tal-Korea u Franza” fl-Anness II,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dwar it-Trasport bl-Ajru bejn ir-Repubblika Federali tal-Ġermanja u r-Repubblika tal-Korea magħmul f’Bonn fis-7 ta’ Marzu 1995, minn hawn ’il quddiem imsejjaħ “il-Ftehim bejn ir-Repubblika tal-Korea u l-Ġermanja” fl-Anness II,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bejn il-Gvern tar-Repubblika Ellenika u l-Gvern tar-Repubblika tal-Korea dwar is-Servizzi tal-Ajru bejn u lil hinn mit-Territorji Rispettivi tagħhom magħmul f’Ateni fil-25 ta’ Jannar 1995, minn hawn ’il quddiem imsejjaħ “il-Ftehim bejn ir-Repubblika tal-Korea u l-Greċja” fl-Anness II,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dwar is-Servizzi tal-Ajru bejn il-Gvern tal-Ungerija u l-Gvern tar-Repubblika tal-Korea ffirmat f’Seoul fit-28 ta’ Novembru 2014, minn hawn ’il quddiem imsejjaħ “il-Ftehim bejn ir-Repubblika tal-Korea u l-Ungerija” fl-Anness II,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bejn il-Gvern tal-Gran Dukat tal-Lussemburgu u l-Gvern tar-Repubblika tal-Korea dwar is-Servizzi tal-Ajru bejn u lil hinn mit-Territorji Rispettivi tagħhom magħmul fil-Lussemburgu fis-27 ta’ Settembru 2000, minn hawn ’il quddiem imsejjaħ “il-Ftehim bejn ir-Repubblika tal-Korea u l-Lussemburgu” fl-Anness II,</w:t>
      </w:r>
    </w:p>
    <w:p>
      <w:pPr>
        <w:tabs>
          <w:tab w:val="left" w:pos="600"/>
        </w:tabs>
        <w:ind w:left="1134" w:hanging="1134"/>
        <w:rPr>
          <w:rFonts w:eastAsia="Malgun Gothic"/>
          <w:i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bejn il-Gvern tar-Repubblika tal-Korea u l-Gvern ta’ Malta dwar is-Servizzi tal-Ajru bejn u lil hinn mit-Territorji Rispettivi tagħhom magħmul fil-Belt Valletta fil-25 ta’ Marzu 1997, minn hawn ’il quddiem imsejjaħ “il-Ftehim bejn ir-Repubblika tal-Korea u Malta” fl-Anness II,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dwar it-Trasport bl-Ajru bejn il-Gvern tar-Renju tan-Netherlands u l-Gvern tar-Repubblika tal-Korea, magħmul fl-Aja fl-24 ta’ Ġunju 1970, minn hawn ’il quddiem imsejjaħ “il-Ftehim bejn ir-Repubblika tal-Korea u n-Netherlands” fl-Anness II,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bejn il-Gvern tar-Repubblika tal-Polonja u l-Gvern tar-Repubblika tal-Korea dwar is-Servizzi tal-Ajru magħmul f’Seoul fl-14 ta’ Ottubru 1991, minn hawn ’il quddiem imsejjaħ “il-Ftehim bejn ir-Repubblika tal-Korea u l-Polonja” fl-Anness II,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bejn il-Gvern tar-Rumanija u l-Gvern tar-Repubblika tal-Korea relatat mat-Trasport tal-Ajru Ċivili bejn u lil hinn mit-Territorji Rispettivi tagħhom magħmul f’Seoul fl-10 ta’ Marzu 1994, minn hawn ’il quddiem imsejjaħ “il-Ftehim bejn ir-Repubblika tal-Korea u r-Rumanija” fl-Anness II,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dwar it-Trasport bl-Ajru bejn ir-Renju ta’ Spanja u r-Repubblika tal-Korea magħmul f’Seoul fil-21 ta’ Ġunju 1989, minn hawn ’il quddiem imsejjaħ “il-Ftehim bejn ir-Repubblika tal-Korea u Spanja” fl-Anness II,</w:t>
      </w:r>
    </w:p>
    <w:p>
      <w:pPr>
        <w:tabs>
          <w:tab w:val="left" w:pos="600"/>
        </w:tabs>
        <w:ind w:left="1134" w:hanging="1134"/>
        <w:rPr>
          <w:rFonts w:eastAsia="Batang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bejn il-Gvern tar-Repubblika tal-Korea u l-Gvern tar-Renju tal-Iżvezja dwar is-Servizzi tal-Ajru Skedati bejn u lil hinn mit-Territorji Rispettivi tagħhom inizjalat f’Seoul fis-6 ta’ Settembru 1995, minn hawn ’il quddiem imsejjaħ “il-Ftehim bejn ir-Repubblika tal-Korea u l-Iżvezja” fl-Anness II,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bejn il-Gvern tar-Renju Unit tal-Gran Brittanja u l-Irlanda ta’ Fuq u l-Gvern tar-Repubblika tal-Korea dwar is-Servizzi tal-Ajru bejn u lil hinn mit-Territorji Rispettivi tagħhom magħmul f’Seoul fil-5 ta’ Marzu 1984, minn hawn ’il quddiem imsejjaħ “il-Ftehim bejn ir-Repubblika tal-Korea u r-Renju Unit” fl-Anness II;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ind w:left="567" w:hanging="567"/>
        <w:rPr>
          <w:rFonts w:eastAsia="Malgun Gothic"/>
          <w:bCs/>
          <w:noProof/>
        </w:rPr>
      </w:pPr>
      <w:r>
        <w:rPr>
          <w:noProof/>
        </w:rPr>
        <w:t>(b)</w:t>
      </w:r>
      <w:r>
        <w:rPr>
          <w:noProof/>
        </w:rPr>
        <w:tab/>
        <w:t>Il-ftehimiet dwar is-servizzi tal-ajru u arranġamenti oħra inizjalati jew iffirmati bejn ir-Repubblika tal-Korea u l-Istati Membri tal-Unjoni Ewropea kif setgħu ġew emendati, immodifikati jew issuplimentati li, fid-data tal-iffirmar ta' dan il-Ftehim, għadhom ma daħlux fis-seħħ u mhux qed jiġu applikati provviżorjament: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  <w:r>
        <w:rPr>
          <w:noProof/>
        </w:rPr>
        <w:tab/>
      </w:r>
    </w:p>
    <w:p>
      <w:pPr>
        <w:tabs>
          <w:tab w:val="left" w:pos="600"/>
        </w:tabs>
        <w:ind w:left="1134" w:hanging="1134"/>
        <w:rPr>
          <w:rFonts w:eastAsia="Malgun Gothic"/>
          <w:i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Il-Ftehim dwar is-Servizzi tal-Ajru bejn il-Gvern tar-Repubblika Taljana u l-Gvern tar-Repubblika tal-Korea inizjalat f’Ruma fl-24 ta’ Marzu 2016, minn hawn ’il quddiem imsejjaħ “il-Ftehim bejn ir-Repubblika tal-Korea u l-Italja” fl-Anness II,</w:t>
      </w:r>
    </w:p>
    <w:p>
      <w:pPr>
        <w:rPr>
          <w:rFonts w:eastAsia="Malgun Gothic"/>
          <w:noProof/>
        </w:rPr>
      </w:pPr>
    </w:p>
    <w:p>
      <w:pPr>
        <w:ind w:left="1134" w:hanging="567"/>
        <w:rPr>
          <w:rFonts w:eastAsia="Malgun Gothic"/>
          <w:noProof/>
        </w:rPr>
      </w:pPr>
      <w:r>
        <w:rPr>
          <w:noProof/>
        </w:rPr>
        <w:t>–</w:t>
      </w:r>
      <w:r>
        <w:rPr>
          <w:noProof/>
        </w:rPr>
        <w:tab/>
        <w:t>Il-Ftehim dwar is-Servizzi tal-Ajru bejn il-Gvern tar-Repubblika tal-Latvja u l-Gvern tar-Repubblika tal-Korea inizjalat f’Riga fis-6 ta’ April 2018, minn hawn ’il quddiem imsejjaħ “il-Ftehim bejn ir-Repubblika tal-Korea u l-Latvja” fl-Anness II,</w:t>
      </w:r>
    </w:p>
    <w:p>
      <w:pPr>
        <w:rPr>
          <w:rFonts w:eastAsia="Malgun Gothic"/>
          <w:noProof/>
        </w:rPr>
      </w:pPr>
    </w:p>
    <w:p>
      <w:pPr>
        <w:ind w:left="1134" w:hanging="567"/>
        <w:rPr>
          <w:rFonts w:eastAsia="Malgun Gothic"/>
          <w:noProof/>
        </w:rPr>
      </w:pPr>
      <w:r>
        <w:rPr>
          <w:noProof/>
        </w:rPr>
        <w:t>–</w:t>
      </w:r>
      <w:r>
        <w:rPr>
          <w:noProof/>
        </w:rPr>
        <w:tab/>
        <w:t>Il-Ftehim dwar is-Servizzi tal-Ajru bejn ir-Repubblika Portugiża u r-Repubblika tal-Korea, iffirmat f’Seoul fil-25 ta’ Mejju 2018, minn hawn ’il quddiem imsejjaħ “il-Ftehim bejn ir-Repubblika tal-Korea u l-Portugall” fl-Anness II.</w:t>
      </w: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rPr>
          <w:rFonts w:eastAsia="Malgun Gothic"/>
          <w:noProof/>
        </w:rPr>
      </w:pPr>
    </w:p>
    <w:p>
      <w:pPr>
        <w:tabs>
          <w:tab w:val="left" w:pos="600"/>
        </w:tabs>
        <w:ind w:left="1134" w:hanging="1134"/>
        <w:jc w:val="center"/>
        <w:rPr>
          <w:rFonts w:eastAsia="Malgun Gothic"/>
          <w:noProof/>
          <w:u w:val="single"/>
        </w:rPr>
      </w:pPr>
      <w:r>
        <w:rPr>
          <w:noProof/>
          <w:u w:val="single"/>
        </w:rPr>
        <w:t>_________________</w:t>
      </w:r>
    </w:p>
    <w:p>
      <w:pPr>
        <w:rPr>
          <w:rFonts w:eastAsia="Malgun Gothic"/>
          <w:i/>
          <w:noProof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endnotePr>
            <w:numFmt w:val="decimal"/>
          </w:endnotePr>
          <w:pgSz w:w="11907" w:h="16840" w:code="9"/>
          <w:pgMar w:top="1134" w:right="1134" w:bottom="1134" w:left="1134" w:header="1134" w:footer="1134" w:gutter="0"/>
          <w:pgNumType w:start="1"/>
          <w:cols w:space="720"/>
          <w:docGrid w:linePitch="326"/>
        </w:sectPr>
      </w:pPr>
    </w:p>
    <w:p>
      <w:pPr>
        <w:jc w:val="right"/>
        <w:rPr>
          <w:rFonts w:eastAsia="Malgun Gothic"/>
          <w:b/>
          <w:noProof/>
          <w:u w:val="single"/>
        </w:rPr>
      </w:pPr>
      <w:r>
        <w:rPr>
          <w:b/>
          <w:noProof/>
          <w:u w:val="single"/>
        </w:rPr>
        <w:t>ANNESS II</w:t>
      </w: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Lista ta’ Artikoli fil-Ftehimiet elenkati fl-Anness I</w:t>
      </w:r>
      <w:r>
        <w:rPr>
          <w:noProof/>
        </w:rPr>
        <w:br/>
        <w:t>u msemmija fl-Artikoli 2 u 4 ta’ dan il-Ftehim</w:t>
      </w:r>
    </w:p>
    <w:p>
      <w:pPr>
        <w:widowControl/>
        <w:spacing w:line="240" w:lineRule="auto"/>
        <w:ind w:left="851" w:hanging="851"/>
        <w:jc w:val="both"/>
        <w:rPr>
          <w:rFonts w:eastAsia="Malgun Gothic"/>
          <w:bCs/>
          <w:noProof/>
          <w:szCs w:val="24"/>
        </w:rPr>
      </w:pPr>
    </w:p>
    <w:p>
      <w:pPr>
        <w:widowControl/>
        <w:spacing w:before="120" w:after="120" w:line="240" w:lineRule="auto"/>
        <w:ind w:left="850" w:hanging="850"/>
        <w:jc w:val="both"/>
        <w:rPr>
          <w:rFonts w:eastAsia="Malgun Gothic"/>
          <w:bCs/>
          <w:noProof/>
          <w:szCs w:val="24"/>
        </w:rPr>
      </w:pPr>
    </w:p>
    <w:p>
      <w:pPr>
        <w:rPr>
          <w:rFonts w:eastAsia="Malgun Gothic"/>
          <w:noProof/>
        </w:rPr>
      </w:pPr>
      <w:r>
        <w:rPr>
          <w:noProof/>
        </w:rPr>
        <w:t>(a)</w:t>
      </w:r>
      <w:r>
        <w:rPr>
          <w:noProof/>
        </w:rPr>
        <w:tab/>
        <w:t>Ħatra: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3(1), (2) u (3) tal-Ftehim bejn ir-Repubblika tal-Korea u l-Awstrija,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3(1), (2) u (3) tal-Ftehim bejn ir-Repubblika tal-Korea u l-Belġju,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 tal-Ftehim bejn ir-Repubblika tal-Korea u l-Bulgarija,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 tal-Ftehim bejn ir-Repubblika tal-Korea u l-Kroazja,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 tal-Ftehim bejn ir-Repubblika tal-Korea u r-Repubblika Ċeka,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 tal-Ftehim bejn ir-Repubblika tal-Korea u d-Danimarka,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 tal-Ftehim bejn ir-Repubblika tal-Korea u l-Finlandja,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 tal-Ftehim bejn ir-Repubblika tal-Korea u Franza,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3(2) u (3) tal-Ftehim bejn ir-Repubblika tal-Korea u l-Ġermanja,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 tal-Ftehim bejn ir-Repubblika tal-Korea u l-Greċja,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 tal-Ftehim bejn ir-Repubblika tal-Korea u l-Ungerija,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7 tal-Ftehim bejn ir-Repubblika tal-Korea u l-Italja,</w:t>
      </w:r>
    </w:p>
    <w:p>
      <w:pPr>
        <w:rPr>
          <w:rFonts w:eastAsia="Malgun Gothic"/>
          <w:noProof/>
        </w:rPr>
      </w:pPr>
    </w:p>
    <w:p>
      <w:pPr>
        <w:ind w:firstLine="567"/>
        <w:rPr>
          <w:rFonts w:eastAsia="Malgun Gothic"/>
          <w:noProof/>
        </w:rPr>
      </w:pPr>
      <w:r>
        <w:rPr>
          <w:noProof/>
        </w:rPr>
        <w:t>–</w:t>
      </w:r>
      <w:r>
        <w:rPr>
          <w:noProof/>
        </w:rPr>
        <w:tab/>
        <w:t>l-Artikolu 4 tal-Ftehim bejn ir-Repubblika tal-Korea u l-Latvja,</w:t>
      </w:r>
    </w:p>
    <w:p>
      <w:pPr>
        <w:ind w:firstLine="567"/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 tal-Ftehim bejn ir-Repubblika tal-Korea u l-Lussemburgu,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 tal-Ftehim bejn ir-Repubblika tal-Korea u Malta,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3(1), (2) u (3) tal-Ftehim bejn ir-Repubblika tal-Korea u n-Netherlands,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 tal-Ftehim bejn ir-Repubblika tal-Korea u l-Polonja,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 tal-Ftehim bejn ir-Repubblika tal-Korea u l-Portugall,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 tal-Ftehim bejn ir-Repubblika tal-Korea u r-Rumanija,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 tal-Ftehim bejn ir-Repubblika tal-Korea u Spanja,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 tal-Ftehim bejn ir-Repubblika tal-Korea u l-Iżvezja,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r-Renju Unit;</w:t>
      </w:r>
    </w:p>
    <w:p>
      <w:pPr>
        <w:rPr>
          <w:rFonts w:eastAsia="Malgun Gothic"/>
          <w:noProof/>
        </w:rPr>
      </w:pPr>
      <w:r>
        <w:rPr>
          <w:noProof/>
        </w:rPr>
        <w:br w:type="page"/>
        <w:t>(b)</w:t>
      </w:r>
      <w:r>
        <w:rPr>
          <w:noProof/>
        </w:rPr>
        <w:tab/>
        <w:t>Ir-rifjut, ir-revoka, is-sospensjoni jew il-limitazzjoni tal-awtorizzazzjonijiet jew tal-permessi: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3(4) u (5) tal-Ftehim bejn ir-Repubblika tal-Korea u l-Awstrija,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3(4) u (5) tal-Ftehim bejn ir-Repubblika tal-Korea u l-Belġju,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l-Bulgarija,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l-Kroazja,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r-Repubblika Ċeka,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d-Danimarka,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l-Finlandja,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3a tal-Ftehim bejn ir-Repubblika tal-Korea u Franza,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3(4) u (5) tal-Ftehim bejn ir-Repubblika tal-Korea u l-Ġermanja,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l-Greċja,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l-Ungerija,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8 tal-Ftehim bejn ir-Repubblika tal-Korea u l-Italja,</w:t>
      </w:r>
    </w:p>
    <w:p>
      <w:pPr>
        <w:rPr>
          <w:rFonts w:eastAsia="Malgun Gothic"/>
          <w:noProof/>
        </w:rPr>
      </w:pPr>
    </w:p>
    <w:p>
      <w:pPr>
        <w:ind w:firstLine="567"/>
        <w:rPr>
          <w:rFonts w:eastAsia="Malgun Gothic"/>
          <w:noProof/>
        </w:rPr>
      </w:pPr>
      <w:r>
        <w:rPr>
          <w:noProof/>
        </w:rPr>
        <w:t>–</w:t>
      </w:r>
      <w:r>
        <w:rPr>
          <w:noProof/>
        </w:rPr>
        <w:tab/>
        <w:t>l-Artikolu 5 tal-Ftehim bejn ir-Repubblika tal-Korea u l-Latvja,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l-Lussemburgu,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Malta,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3(4-5) tal-Ftehim bejn ir-Repubblika tal-Korea u n-Netherlands,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l-Polonja,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l-Portugall,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r-Rumanija,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Spanja,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l-Iżvezja,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5 tal-Ftehim bejn ir-Repubblika tal-Korea u r-Renju Unit;</w:t>
      </w:r>
    </w:p>
    <w:p>
      <w:pPr>
        <w:rPr>
          <w:rFonts w:eastAsia="Malgun Gothic"/>
          <w:noProof/>
        </w:rPr>
      </w:pPr>
      <w:r>
        <w:rPr>
          <w:noProof/>
        </w:rPr>
        <w:br w:type="page"/>
        <w:t>(c)</w:t>
      </w:r>
      <w:r>
        <w:rPr>
          <w:noProof/>
        </w:rPr>
        <w:tab/>
        <w:t>Kontroll regolatorju: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7 tal-Ftehim bejn ir-Repubblika tal-Korea u l-Awstrija,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7 tal-Ftehim bejn ir-Repubblika tal-Korea u l-Belġju,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 xml:space="preserve">l-Artikolu 10 tal-Ftehim bejn ir-Repubblika tal-Korea u l-Bulgarija, 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7 tal-Ftehim bejn ir-Repubblika tal-Korea u l-Kroazja,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8 tal-Ftehim bejn ir-Repubblika tal-Korea u r-Repubblika Ċeka,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17A tal-ftehim bejn ir-Repubblika tal-Korea u d-Danimarka,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9 tal-Ftehim bejn ir-Repubblika tal-Korea u l-Finlandja,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il-klawżola tas-sikurezza miftiehma bejn il-Korea u Franza fit-23 ta' Mejju 2002,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8 tal-Ftehim bejn ir-Repubblika tal-Korea u l-Greċja,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9 tal-Ftehim bejn ir-Repubblika tal-Korea u l-Ungerija,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10 tal-Ftehim bejn ir-Repubblika tal-Korea u l-Italja,</w:t>
      </w:r>
    </w:p>
    <w:p>
      <w:pPr>
        <w:rPr>
          <w:rFonts w:eastAsia="Malgun Gothic"/>
          <w:noProof/>
        </w:rPr>
      </w:pPr>
    </w:p>
    <w:p>
      <w:pPr>
        <w:ind w:firstLine="567"/>
        <w:rPr>
          <w:rFonts w:eastAsia="Malgun Gothic"/>
          <w:noProof/>
        </w:rPr>
      </w:pPr>
      <w:r>
        <w:rPr>
          <w:noProof/>
        </w:rPr>
        <w:t>–</w:t>
      </w:r>
      <w:r>
        <w:rPr>
          <w:noProof/>
        </w:rPr>
        <w:tab/>
        <w:t>l-Artikolu 15 tal-Ftehim bejn ir-Repubblika tal-Korea u l-Latvja,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6 tal-Ftehim bejn ir-Repubblika tal-Korea u l-Lussemburgu,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7 tal-Ftehim bejn ir-Repubblika tal-Korea u Malta,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 xml:space="preserve">l-Artikolu tas-sikurezza miftiehem bejn il-Korea u n-Netherlands fit-13 ta' Settembru 2002, 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14 tal-Ftehim bejn ir-Repubblika tal-Korea u l-Portugall,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8 tal-Ftehim bejn ir-Repubblika tal-Korea u r-Rumanija,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tas-sikurezza miftiehem bejn il-Korea u Spanja fil-15 ta' Diċembru 2005,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17A tal-ftehim bejn ir-Repubblika tal-Korea u l-Iżvezja,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tas-sikurezza miftiehem bejn il-Korea u r-Renju Unit fid-29 ta' Ġunju 2001;</w:t>
      </w:r>
    </w:p>
    <w:p>
      <w:pPr>
        <w:rPr>
          <w:rFonts w:eastAsia="Malgun Gothic"/>
          <w:noProof/>
          <w:u w:val="single"/>
        </w:rPr>
      </w:pPr>
    </w:p>
    <w:p>
      <w:pPr>
        <w:rPr>
          <w:rFonts w:eastAsia="Malgun Gothic"/>
          <w:noProof/>
        </w:rPr>
      </w:pPr>
      <w:r>
        <w:rPr>
          <w:noProof/>
        </w:rPr>
        <w:br w:type="page"/>
        <w:t>(d)</w:t>
      </w:r>
      <w:r>
        <w:rPr>
          <w:noProof/>
        </w:rPr>
        <w:tab/>
        <w:t>Tassazzjoni fuq il-fjuwil tal-avjazzjoni: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l-Awstrija,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l-Belġju,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5 tal-Ftehim bejn ir-Repubblika tal-Korea u l-Bulgarija,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10 tal-Ftehim bejn ir-Repubblika tal-Korea u l-Kroazja,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5 tal-Ftehim bejn ir-Repubblika tal-Korea u r-Repubblika Ċeka,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5 tal-Ftehim bejn ir-Repubblika tal-Korea u d-Danimarka,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5 tal-Ftehim bejn ir-Repubblika tal-Korea u l-Finlandja,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Franza,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5 tal-Ftehim bejn ir-Repubblika tal-Korea u l-Ġermanja,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5 tal-Ftehim bejn ir-Repubblika tal-Korea u l-Greċja,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6 tal-Ftehim bejn ir-Repubblika tal-Korea u l-Ungerija,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12 tal-Ftehim bejn ir-Repubblika tal-Korea u l-Italja,</w:t>
      </w:r>
    </w:p>
    <w:p>
      <w:pPr>
        <w:rPr>
          <w:rFonts w:eastAsia="Malgun Gothic"/>
          <w:noProof/>
        </w:rPr>
      </w:pPr>
    </w:p>
    <w:p>
      <w:pPr>
        <w:ind w:firstLine="567"/>
        <w:rPr>
          <w:rFonts w:eastAsia="Malgun Gothic"/>
          <w:noProof/>
        </w:rPr>
      </w:pPr>
      <w:r>
        <w:rPr>
          <w:noProof/>
        </w:rPr>
        <w:t>–</w:t>
      </w:r>
      <w:r>
        <w:rPr>
          <w:noProof/>
        </w:rPr>
        <w:tab/>
        <w:t>l-Artikolu 7 tal-Ftehim bejn ir-Repubblika tal-Korea u l-Latvja,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8 tal-Ftehim bejn ir-Repubblika tal-Korea u l-Lussemburgu,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5 tal-Ftehim bejn ir-Repubblika tal-Korea u Malta,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4 tal-Ftehim bejn ir-Repubblika tal-Korea u n-Netherlands,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5 tal-Ftehim bejn ir-Repubblika tal-Korea u l-Polonja,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6 tal-Ftehim bejn ir-Repubblika tal-Korea u l-Portugall,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5 tal-Ftehim bejn ir-Repubblika tal-Korea u r-Rumanija,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5 tal-Ftehim bejn ir-Repubblika tal-Korea u Spanja,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5 tal-Ftehim bejn ir-Repubblika tal-Korea u l-Iżvezja,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ab/>
        <w:t>–</w:t>
      </w:r>
      <w:r>
        <w:rPr>
          <w:noProof/>
        </w:rPr>
        <w:tab/>
        <w:t>l-Artikolu 6 tal-Ftehim bejn ir-Repubblika tal-Korea u r-Renju Unit.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  <w:u w:val="single"/>
        </w:rPr>
      </w:pPr>
      <w:r>
        <w:rPr>
          <w:noProof/>
          <w:u w:val="single"/>
        </w:rPr>
        <w:t>_________________</w:t>
      </w:r>
    </w:p>
    <w:p>
      <w:pPr>
        <w:rPr>
          <w:rFonts w:eastAsia="Malgun Gothic"/>
          <w:noProof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Page"/>
          </w:footnotePr>
          <w:endnotePr>
            <w:numFmt w:val="decimal"/>
          </w:endnotePr>
          <w:pgSz w:w="11907" w:h="16840" w:code="9"/>
          <w:pgMar w:top="1134" w:right="1134" w:bottom="1134" w:left="1134" w:header="1134" w:footer="1134" w:gutter="0"/>
          <w:pgNumType w:start="1"/>
          <w:cols w:space="720"/>
          <w:docGrid w:linePitch="326"/>
        </w:sectPr>
      </w:pPr>
    </w:p>
    <w:p>
      <w:pPr>
        <w:jc w:val="right"/>
        <w:rPr>
          <w:rFonts w:eastAsia="Malgun Gothic"/>
          <w:b/>
          <w:noProof/>
          <w:u w:val="single"/>
        </w:rPr>
      </w:pPr>
      <w:r>
        <w:rPr>
          <w:b/>
          <w:noProof/>
          <w:u w:val="single"/>
        </w:rPr>
        <w:t>ANNESS III</w:t>
      </w:r>
    </w:p>
    <w:p>
      <w:pPr>
        <w:jc w:val="center"/>
        <w:rPr>
          <w:rFonts w:eastAsia="Malgun Gothic"/>
          <w:b/>
          <w:noProof/>
          <w:u w:val="single"/>
        </w:rPr>
      </w:pPr>
    </w:p>
    <w:p>
      <w:pPr>
        <w:jc w:val="center"/>
        <w:rPr>
          <w:rFonts w:eastAsia="Malgun Gothic"/>
          <w:b/>
          <w:noProof/>
          <w:u w:val="single"/>
        </w:rPr>
      </w:pPr>
    </w:p>
    <w:p>
      <w:pPr>
        <w:jc w:val="center"/>
        <w:rPr>
          <w:rFonts w:eastAsia="Malgun Gothic"/>
          <w:noProof/>
        </w:rPr>
      </w:pPr>
      <w:r>
        <w:rPr>
          <w:noProof/>
        </w:rPr>
        <w:t>Lista ta’ Stati oħrajn imsemmija fl-Artikolu 2 ta’ dan il-Ftehim</w:t>
      </w:r>
    </w:p>
    <w:p>
      <w:pPr>
        <w:widowControl/>
        <w:spacing w:line="240" w:lineRule="auto"/>
        <w:ind w:left="851" w:hanging="851"/>
        <w:jc w:val="both"/>
        <w:rPr>
          <w:rFonts w:eastAsia="Malgun Gothic"/>
          <w:b/>
          <w:noProof/>
          <w:szCs w:val="24"/>
        </w:rPr>
      </w:pPr>
    </w:p>
    <w:p>
      <w:pPr>
        <w:widowControl/>
        <w:spacing w:before="120" w:after="120" w:line="240" w:lineRule="auto"/>
        <w:ind w:left="850" w:hanging="850"/>
        <w:jc w:val="both"/>
        <w:rPr>
          <w:rFonts w:eastAsia="Malgun Gothic"/>
          <w:b/>
          <w:noProof/>
          <w:szCs w:val="24"/>
        </w:rPr>
      </w:pPr>
    </w:p>
    <w:p>
      <w:pPr>
        <w:rPr>
          <w:rFonts w:eastAsia="Malgun Gothic"/>
          <w:noProof/>
        </w:rPr>
      </w:pPr>
      <w:r>
        <w:rPr>
          <w:noProof/>
        </w:rPr>
        <w:t>(a)</w:t>
      </w:r>
      <w:r>
        <w:rPr>
          <w:noProof/>
        </w:rPr>
        <w:tab/>
        <w:t>L-Iżlanda (skont il-Ftehim dwar iż-Żona Ekonomika Ewropea);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(b)</w:t>
      </w:r>
      <w:r>
        <w:rPr>
          <w:noProof/>
        </w:rPr>
        <w:tab/>
        <w:t>Il-Prinċipat tal-Liechtenstein (skont il-Ftehim dwar iż-Żona Ekonomika Ewropea);</w:t>
      </w:r>
    </w:p>
    <w:p>
      <w:pPr>
        <w:rPr>
          <w:rFonts w:eastAsia="Malgun Gothic"/>
          <w:noProof/>
        </w:rPr>
      </w:pPr>
    </w:p>
    <w:p>
      <w:pPr>
        <w:rPr>
          <w:rFonts w:eastAsia="Malgun Gothic"/>
          <w:noProof/>
        </w:rPr>
      </w:pPr>
      <w:r>
        <w:rPr>
          <w:noProof/>
        </w:rPr>
        <w:t>(c)</w:t>
      </w:r>
      <w:r>
        <w:rPr>
          <w:noProof/>
        </w:rPr>
        <w:tab/>
        <w:t>Ir-Renju tan-Norveġja (skont il-Ftehim dwar iż-Żona Ekonomika Ewropea);</w:t>
      </w:r>
    </w:p>
    <w:p>
      <w:pPr>
        <w:rPr>
          <w:rFonts w:eastAsia="Malgun Gothic"/>
          <w:noProof/>
        </w:rPr>
      </w:pPr>
    </w:p>
    <w:p>
      <w:pPr>
        <w:ind w:left="567" w:hanging="567"/>
        <w:rPr>
          <w:rFonts w:eastAsia="Malgun Gothic"/>
          <w:smallCaps/>
          <w:noProof/>
          <w:u w:val="single"/>
        </w:rPr>
      </w:pPr>
      <w:r>
        <w:rPr>
          <w:noProof/>
        </w:rPr>
        <w:t>(d)</w:t>
      </w:r>
      <w:r>
        <w:rPr>
          <w:noProof/>
        </w:rPr>
        <w:tab/>
        <w:t>Il-Konfederazzjoni Svizzera (skont il-Ftehim bejn il-Komunità Ewropea u l-Konfederazzjoni Svizzera dwar it-Trasport bl-Ajru).</w:t>
      </w: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</w:rPr>
      </w:pPr>
    </w:p>
    <w:p>
      <w:pPr>
        <w:jc w:val="center"/>
        <w:rPr>
          <w:rFonts w:eastAsia="Malgun Gothic"/>
          <w:noProof/>
          <w:u w:val="single"/>
        </w:rPr>
      </w:pPr>
      <w:r>
        <w:rPr>
          <w:noProof/>
          <w:u w:val="single"/>
        </w:rPr>
        <w:t>__________________</w:t>
      </w: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</w:p>
    <w:p>
      <w:pPr>
        <w:jc w:val="center"/>
        <w:rPr>
          <w:noProof/>
        </w:rPr>
      </w:pP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footnotePr>
        <w:numRestart w:val="eachPage"/>
      </w:footnotePr>
      <w:endnotePr>
        <w:numFmt w:val="decimal"/>
      </w:endnotePr>
      <w:pgSz w:w="11907" w:h="16840" w:code="9"/>
      <w:pgMar w:top="1134" w:right="1134" w:bottom="1134" w:left="1134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>
    <w:pPr>
      <w:pStyle w:val="Footer"/>
      <w:jc w:val="center"/>
    </w:pPr>
    <w:r>
      <w:t xml:space="preserve">UE/KR/Anness III/mt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>
    <w:pPr>
      <w:pStyle w:val="Footer"/>
      <w:jc w:val="center"/>
    </w:pPr>
    <w:r>
      <w:t xml:space="preserve">UE/KR/Anness I/mt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>
    <w:pPr>
      <w:pStyle w:val="Footer"/>
      <w:jc w:val="center"/>
    </w:pPr>
    <w:r>
      <w:t xml:space="preserve">UE/KR/Anness II/mt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pStyle w:val="FootnoteText"/>
      </w:pPr>
      <w:r>
        <w:separator/>
      </w:r>
    </w:p>
  </w:footnote>
  <w:footnote w:type="continuationSeparator" w:id="0">
    <w:p>
      <w:pPr>
        <w:pStyle w:val="FootnoteText"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5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6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7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8">
    <w:nsid w:val="40315490"/>
    <w:multiLevelType w:val="singleLevel"/>
    <w:tmpl w:val="1F86C700"/>
    <w:name w:val="Tiret 2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9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62A8042C"/>
    <w:multiLevelType w:val="singleLevel"/>
    <w:tmpl w:val="CCF20C06"/>
    <w:name w:val="Considérant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1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8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al-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4F4E6AFF-E204-4B61-9493-537DB500EA68"/>
    <w:docVar w:name="LW_COVERPAGE_TYPE" w:val="1"/>
    <w:docVar w:name="LW_CROSSREFERENCE" w:val="&lt;UNUSED&gt;"/>
    <w:docVar w:name="LW_DocType" w:val="_GENEN"/>
    <w:docVar w:name="LW_EMISSION" w:val="21.2.2019"/>
    <w:docVar w:name="LW_EMISSION_ISODATE" w:val="2019-02-21"/>
    <w:docVar w:name="LW_EMISSION_LOCATION" w:val="BRX"/>
    <w:docVar w:name="LW_EMISSION_PREFIX" w:val="Brussell, "/>
    <w:docVar w:name="LW_EMISSION_SUFFIX" w:val=" "/>
    <w:docVar w:name="LW_ID_DOCTYPE_NONLW" w:val="CP-036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OBJETACTEPRINCIPAL.CP" w:val="dwar l-iffirmar, f'isem l-Unjoni, tal-Ftehim bejn l-Unjoni Ewropea u r-Repubblika tal-Korea dwar \u267?erti aspetti tas-servizzi tal-ajru"/>
    <w:docVar w:name="LW_PART_NBR" w:val="1"/>
    <w:docVar w:name="LW_PART_NBR_TOTAL" w:val="1"/>
    <w:docVar w:name="LW_REF.INST.NEW" w:val="COM"/>
    <w:docVar w:name="LW_REF.INST.NEW_ADOPTED" w:val="final"/>
    <w:docVar w:name="LW_REF.INST.NEW_TEXT" w:val="(2019) 9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NESS_x000b_"/>
    <w:docVar w:name="LW_TYPEACTEPRINCIPAL.CP" w:val="Proposta g\u295?al De\u267?i\u380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2"/>
      </w:numPr>
      <w:spacing w:before="120" w:after="120"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3"/>
      </w:numPr>
      <w:spacing w:before="120" w:after="120" w:line="240" w:lineRule="auto"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14"/>
      </w:numPr>
      <w:spacing w:before="120" w:after="120" w:line="240" w:lineRule="auto"/>
      <w:jc w:val="both"/>
      <w:outlineLvl w:val="3"/>
    </w:pPr>
  </w:style>
  <w:style w:type="paragraph" w:styleId="Heading5">
    <w:name w:val="heading 5"/>
    <w:basedOn w:val="Normal"/>
    <w:next w:val="Normal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20"/>
        <w:tab w:val="center" w:pos="7371"/>
        <w:tab w:val="right" w:pos="9639"/>
      </w:tabs>
      <w:spacing w:line="240" w:lineRule="auto"/>
    </w:p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</w:pPr>
    <w:rPr>
      <w:b/>
    </w:rPr>
  </w:style>
  <w:style w:type="paragraph" w:customStyle="1" w:styleId="Par-number10">
    <w:name w:val="Par-number 1)"/>
    <w:basedOn w:val="Normal"/>
    <w:next w:val="Normal"/>
    <w:pPr>
      <w:numPr>
        <w:numId w:val="7"/>
      </w:numPr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rPr>
      <w:b/>
      <w:vertAlign w:val="superscript"/>
    </w:rPr>
  </w:style>
  <w:style w:type="paragraph" w:styleId="FootnoteText">
    <w:name w:val="footnote text"/>
    <w:basedOn w:val="Normal"/>
    <w:pPr>
      <w:tabs>
        <w:tab w:val="left" w:pos="567"/>
      </w:tabs>
      <w:spacing w:line="240" w:lineRule="auto"/>
      <w:ind w:left="567" w:hanging="567"/>
    </w:pPr>
  </w:style>
  <w:style w:type="paragraph" w:styleId="Header">
    <w:name w:val="header"/>
    <w:basedOn w:val="Normal"/>
    <w:pPr>
      <w:tabs>
        <w:tab w:val="center" w:pos="4820"/>
        <w:tab w:val="right" w:pos="7371"/>
        <w:tab w:val="right" w:pos="9639"/>
      </w:tabs>
      <w:spacing w:line="240" w:lineRule="auto"/>
    </w:pPr>
  </w:style>
  <w:style w:type="paragraph" w:customStyle="1" w:styleId="Par-bullet">
    <w:name w:val="Par-bullet"/>
    <w:basedOn w:val="Normal"/>
    <w:next w:val="Normal"/>
    <w:pPr>
      <w:numPr>
        <w:numId w:val="3"/>
      </w:numPr>
    </w:pPr>
  </w:style>
  <w:style w:type="paragraph" w:customStyle="1" w:styleId="Par-equal">
    <w:name w:val="Par-equal"/>
    <w:basedOn w:val="Normal"/>
    <w:next w:val="Normal"/>
    <w:pPr>
      <w:numPr>
        <w:numId w:val="5"/>
      </w:numPr>
    </w:pPr>
  </w:style>
  <w:style w:type="paragraph" w:styleId="TOC1">
    <w:name w:val="toc 1"/>
    <w:basedOn w:val="Normal"/>
    <w:next w:val="Normal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6"/>
      </w:numPr>
    </w:pPr>
  </w:style>
  <w:style w:type="paragraph" w:customStyle="1" w:styleId="Par-number11">
    <w:name w:val="Par-number 1."/>
    <w:basedOn w:val="Normal"/>
    <w:next w:val="Normal"/>
    <w:pPr>
      <w:numPr>
        <w:numId w:val="8"/>
      </w:numPr>
    </w:pPr>
  </w:style>
  <w:style w:type="paragraph" w:customStyle="1" w:styleId="Par-numberI">
    <w:name w:val="Par-number I."/>
    <w:basedOn w:val="Normal"/>
    <w:next w:val="Normal"/>
    <w:pPr>
      <w:numPr>
        <w:numId w:val="10"/>
      </w:numPr>
    </w:pPr>
  </w:style>
  <w:style w:type="paragraph" w:customStyle="1" w:styleId="Par-dash">
    <w:name w:val="Par-dash"/>
    <w:basedOn w:val="Normal"/>
    <w:next w:val="Normal"/>
    <w:pPr>
      <w:numPr>
        <w:numId w:val="4"/>
      </w:numPr>
    </w:pPr>
  </w:style>
  <w:style w:type="paragraph" w:customStyle="1" w:styleId="EntLogo">
    <w:name w:val="EntLogo"/>
    <w:basedOn w:val="Normal"/>
    <w:next w:val="EntInstit"/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2"/>
      </w:numPr>
    </w:pPr>
  </w:style>
  <w:style w:type="character" w:customStyle="1" w:styleId="DontTranslate">
    <w:name w:val="DontTranslate"/>
    <w:rPr>
      <w:color w:val="FF0000"/>
    </w:rPr>
  </w:style>
  <w:style w:type="paragraph" w:customStyle="1" w:styleId="AddReference">
    <w:name w:val="Add Referenc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ManualNumPar1">
    <w:name w:val="Manual NumPar 1"/>
    <w:basedOn w:val="Normal"/>
    <w:next w:val="Normal"/>
    <w:pPr>
      <w:widowControl/>
      <w:spacing w:before="120" w:after="120" w:line="240" w:lineRule="auto"/>
      <w:ind w:left="850" w:hanging="850"/>
      <w:jc w:val="both"/>
    </w:pPr>
    <w:rPr>
      <w:szCs w:val="24"/>
    </w:rPr>
  </w:style>
  <w:style w:type="paragraph" w:customStyle="1" w:styleId="Datedadoption">
    <w:name w:val="Date d'adoption"/>
    <w:basedOn w:val="Normal"/>
    <w:next w:val="Titreobjet"/>
    <w:pPr>
      <w:widowControl/>
      <w:spacing w:before="360" w:line="240" w:lineRule="auto"/>
      <w:jc w:val="center"/>
    </w:pPr>
    <w:rPr>
      <w:b/>
      <w:szCs w:val="24"/>
    </w:rPr>
  </w:style>
  <w:style w:type="paragraph" w:customStyle="1" w:styleId="Fait">
    <w:name w:val="Fait à"/>
    <w:basedOn w:val="Normal"/>
    <w:next w:val="Institutionquisigne"/>
    <w:pPr>
      <w:keepNext/>
      <w:widowControl/>
      <w:spacing w:before="120" w:line="240" w:lineRule="auto"/>
      <w:jc w:val="both"/>
    </w:pPr>
    <w:rPr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widowControl/>
      <w:spacing w:before="120" w:after="120" w:line="240" w:lineRule="auto"/>
      <w:jc w:val="both"/>
    </w:pPr>
    <w:rPr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widowControl/>
      <w:spacing w:before="600" w:after="120" w:line="240" w:lineRule="auto"/>
      <w:jc w:val="both"/>
    </w:pPr>
    <w:rPr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widowControl/>
      <w:tabs>
        <w:tab w:val="left" w:pos="4252"/>
      </w:tabs>
      <w:spacing w:before="720" w:line="240" w:lineRule="auto"/>
      <w:jc w:val="both"/>
    </w:pPr>
    <w:rPr>
      <w:i/>
      <w:szCs w:val="24"/>
    </w:rPr>
  </w:style>
  <w:style w:type="paragraph" w:customStyle="1" w:styleId="ManualConsidrant">
    <w:name w:val="Manual Considérant"/>
    <w:basedOn w:val="Normal"/>
    <w:pPr>
      <w:widowControl/>
      <w:spacing w:before="120" w:after="120" w:line="240" w:lineRule="auto"/>
      <w:ind w:left="709" w:hanging="709"/>
      <w:jc w:val="both"/>
    </w:pPr>
    <w:rPr>
      <w:szCs w:val="24"/>
    </w:rPr>
  </w:style>
  <w:style w:type="paragraph" w:customStyle="1" w:styleId="Personnequisigne">
    <w:name w:val="Personne qui signe"/>
    <w:basedOn w:val="Normal"/>
    <w:next w:val="Institutionquisigne"/>
    <w:pPr>
      <w:widowControl/>
      <w:tabs>
        <w:tab w:val="left" w:pos="4252"/>
      </w:tabs>
      <w:spacing w:line="240" w:lineRule="auto"/>
    </w:pPr>
    <w:rPr>
      <w:i/>
      <w:szCs w:val="24"/>
    </w:rPr>
  </w:style>
  <w:style w:type="paragraph" w:customStyle="1" w:styleId="Titrearticle">
    <w:name w:val="Titre article"/>
    <w:basedOn w:val="Normal"/>
    <w:next w:val="Normal"/>
    <w:pPr>
      <w:keepNext/>
      <w:widowControl/>
      <w:spacing w:before="360" w:after="120" w:line="240" w:lineRule="auto"/>
      <w:jc w:val="center"/>
    </w:pPr>
    <w:rPr>
      <w:i/>
      <w:szCs w:val="24"/>
    </w:rPr>
  </w:style>
  <w:style w:type="paragraph" w:customStyle="1" w:styleId="Titreobjet">
    <w:name w:val="Titre objet"/>
    <w:basedOn w:val="Normal"/>
    <w:next w:val="Normal"/>
    <w:pPr>
      <w:widowControl/>
      <w:spacing w:before="360" w:after="360" w:line="240" w:lineRule="auto"/>
      <w:jc w:val="center"/>
    </w:pPr>
    <w:rPr>
      <w:b/>
      <w:szCs w:val="24"/>
    </w:rPr>
  </w:style>
  <w:style w:type="paragraph" w:customStyle="1" w:styleId="Typedudocument">
    <w:name w:val="Type du document"/>
    <w:basedOn w:val="Normal"/>
    <w:next w:val="Datedadoption"/>
    <w:pPr>
      <w:widowControl/>
      <w:spacing w:before="360" w:line="240" w:lineRule="auto"/>
      <w:jc w:val="center"/>
    </w:pPr>
    <w:rPr>
      <w:b/>
      <w:szCs w:val="24"/>
    </w:rPr>
  </w:style>
  <w:style w:type="paragraph" w:customStyle="1" w:styleId="NormalCentered">
    <w:name w:val="Normal Centered"/>
    <w:basedOn w:val="Normal"/>
    <w:pPr>
      <w:widowControl/>
      <w:spacing w:before="120" w:after="120" w:line="240" w:lineRule="auto"/>
      <w:jc w:val="center"/>
    </w:pPr>
    <w:rPr>
      <w:szCs w:val="24"/>
    </w:rPr>
  </w:style>
  <w:style w:type="paragraph" w:customStyle="1" w:styleId="Point0">
    <w:name w:val="Point 0"/>
    <w:basedOn w:val="Normal"/>
    <w:pPr>
      <w:widowControl/>
      <w:spacing w:before="120" w:after="120" w:line="240" w:lineRule="auto"/>
      <w:ind w:left="850" w:hanging="850"/>
      <w:jc w:val="both"/>
    </w:pPr>
    <w:rPr>
      <w:szCs w:val="24"/>
    </w:rPr>
  </w:style>
  <w:style w:type="paragraph" w:customStyle="1" w:styleId="Point1">
    <w:name w:val="Point 1"/>
    <w:basedOn w:val="Normal"/>
    <w:pPr>
      <w:widowControl/>
      <w:spacing w:before="120" w:after="120" w:line="240" w:lineRule="auto"/>
      <w:ind w:left="1417" w:hanging="567"/>
      <w:jc w:val="both"/>
    </w:pPr>
    <w:rPr>
      <w:szCs w:val="24"/>
    </w:rPr>
  </w:style>
  <w:style w:type="paragraph" w:customStyle="1" w:styleId="ListDash">
    <w:name w:val="List Dash"/>
    <w:basedOn w:val="Normal"/>
    <w:pPr>
      <w:widowControl/>
      <w:numPr>
        <w:numId w:val="15"/>
      </w:numPr>
      <w:spacing w:before="120" w:after="120" w:line="240" w:lineRule="auto"/>
      <w:jc w:val="both"/>
    </w:pPr>
    <w:rPr>
      <w:szCs w:val="24"/>
    </w:rPr>
  </w:style>
  <w:style w:type="paragraph" w:customStyle="1" w:styleId="ListDash1">
    <w:name w:val="List Dash 1"/>
    <w:basedOn w:val="Normal"/>
    <w:pPr>
      <w:widowControl/>
      <w:numPr>
        <w:numId w:val="16"/>
      </w:numPr>
      <w:spacing w:before="120" w:after="120" w:line="240" w:lineRule="auto"/>
      <w:jc w:val="both"/>
    </w:pPr>
    <w:rPr>
      <w:szCs w:val="24"/>
    </w:rPr>
  </w:style>
  <w:style w:type="table" w:styleId="TableGrid">
    <w:name w:val="Table Grid"/>
    <w:basedOn w:val="TableNormal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"/>
    <w:pPr>
      <w:widowControl/>
      <w:spacing w:line="240" w:lineRule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mt-MT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widowControl/>
      <w:spacing w:line="240" w:lineRule="auto"/>
      <w:jc w:val="both"/>
    </w:pPr>
    <w:rPr>
      <w:rFonts w:eastAsia="Calibr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line="240" w:lineRule="auto"/>
      <w:ind w:left="-850" w:right="-850"/>
    </w:pPr>
  </w:style>
  <w:style w:type="character" w:customStyle="1" w:styleId="FooterCoverPageChar">
    <w:name w:val="Footer Cover Page Char"/>
    <w:link w:val="FooterCoverPage"/>
    <w:rPr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line="240" w:lineRule="auto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link w:val="FooterSensitivity"/>
    <w:rPr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</w:style>
  <w:style w:type="character" w:customStyle="1" w:styleId="HeaderCoverPageChar">
    <w:name w:val="Header Cover Page Char"/>
    <w:link w:val="HeaderCoverPage"/>
    <w:rPr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link w:val="HeaderSensitivity"/>
    <w:rPr>
      <w:b/>
      <w:sz w:val="32"/>
    </w:rPr>
  </w:style>
  <w:style w:type="numbering" w:customStyle="1" w:styleId="NoList1">
    <w:name w:val="No List1"/>
    <w:next w:val="NoList"/>
  </w:style>
  <w:style w:type="table" w:customStyle="1" w:styleId="TableGrid1">
    <w:name w:val="Table Grid1"/>
    <w:basedOn w:val="TableNormal"/>
    <w:next w:val="TableGrid"/>
    <w:pPr>
      <w:spacing w:before="120" w:after="120"/>
      <w:jc w:val="both"/>
    </w:pPr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eastAsia="Malgun Gothic"/>
    </w:rPr>
  </w:style>
  <w:style w:type="character" w:customStyle="1" w:styleId="CommentTextChar">
    <w:name w:val="Comment Text Char"/>
    <w:link w:val="CommentText"/>
    <w:uiPriority w:val="99"/>
    <w:semiHidden/>
    <w:rPr>
      <w:rFonts w:eastAsia="Malgun Gothic"/>
      <w:sz w:val="24"/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algun Gothic"/>
      <w:b/>
      <w:bCs/>
      <w:sz w:val="24"/>
      <w:lang w:eastAsia="mt-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t-MT" w:eastAsia="mt-MT" w:bidi="mt-M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2"/>
      </w:numPr>
      <w:spacing w:before="120" w:after="120"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3"/>
      </w:numPr>
      <w:spacing w:before="120" w:after="120" w:line="240" w:lineRule="auto"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14"/>
      </w:numPr>
      <w:spacing w:before="120" w:after="120" w:line="240" w:lineRule="auto"/>
      <w:jc w:val="both"/>
      <w:outlineLvl w:val="3"/>
    </w:pPr>
  </w:style>
  <w:style w:type="paragraph" w:styleId="Heading5">
    <w:name w:val="heading 5"/>
    <w:basedOn w:val="Normal"/>
    <w:next w:val="Normal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20"/>
        <w:tab w:val="center" w:pos="7371"/>
        <w:tab w:val="right" w:pos="9639"/>
      </w:tabs>
      <w:spacing w:line="240" w:lineRule="auto"/>
    </w:p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</w:pPr>
    <w:rPr>
      <w:b/>
    </w:rPr>
  </w:style>
  <w:style w:type="paragraph" w:customStyle="1" w:styleId="Par-number10">
    <w:name w:val="Par-number 1)"/>
    <w:basedOn w:val="Normal"/>
    <w:next w:val="Normal"/>
    <w:pPr>
      <w:numPr>
        <w:numId w:val="7"/>
      </w:numPr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rPr>
      <w:b/>
      <w:vertAlign w:val="superscript"/>
    </w:rPr>
  </w:style>
  <w:style w:type="paragraph" w:styleId="FootnoteText">
    <w:name w:val="footnote text"/>
    <w:basedOn w:val="Normal"/>
    <w:pPr>
      <w:tabs>
        <w:tab w:val="left" w:pos="567"/>
      </w:tabs>
      <w:spacing w:line="240" w:lineRule="auto"/>
      <w:ind w:left="567" w:hanging="567"/>
    </w:pPr>
  </w:style>
  <w:style w:type="paragraph" w:styleId="Header">
    <w:name w:val="header"/>
    <w:basedOn w:val="Normal"/>
    <w:pPr>
      <w:tabs>
        <w:tab w:val="center" w:pos="4820"/>
        <w:tab w:val="right" w:pos="7371"/>
        <w:tab w:val="right" w:pos="9639"/>
      </w:tabs>
      <w:spacing w:line="240" w:lineRule="auto"/>
    </w:pPr>
  </w:style>
  <w:style w:type="paragraph" w:customStyle="1" w:styleId="Par-bullet">
    <w:name w:val="Par-bullet"/>
    <w:basedOn w:val="Normal"/>
    <w:next w:val="Normal"/>
    <w:pPr>
      <w:numPr>
        <w:numId w:val="3"/>
      </w:numPr>
    </w:pPr>
  </w:style>
  <w:style w:type="paragraph" w:customStyle="1" w:styleId="Par-equal">
    <w:name w:val="Par-equal"/>
    <w:basedOn w:val="Normal"/>
    <w:next w:val="Normal"/>
    <w:pPr>
      <w:numPr>
        <w:numId w:val="5"/>
      </w:numPr>
    </w:pPr>
  </w:style>
  <w:style w:type="paragraph" w:styleId="TOC1">
    <w:name w:val="toc 1"/>
    <w:basedOn w:val="Normal"/>
    <w:next w:val="Normal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6"/>
      </w:numPr>
    </w:pPr>
  </w:style>
  <w:style w:type="paragraph" w:customStyle="1" w:styleId="Par-number11">
    <w:name w:val="Par-number 1."/>
    <w:basedOn w:val="Normal"/>
    <w:next w:val="Normal"/>
    <w:pPr>
      <w:numPr>
        <w:numId w:val="8"/>
      </w:numPr>
    </w:pPr>
  </w:style>
  <w:style w:type="paragraph" w:customStyle="1" w:styleId="Par-numberI">
    <w:name w:val="Par-number I."/>
    <w:basedOn w:val="Normal"/>
    <w:next w:val="Normal"/>
    <w:pPr>
      <w:numPr>
        <w:numId w:val="10"/>
      </w:numPr>
    </w:pPr>
  </w:style>
  <w:style w:type="paragraph" w:customStyle="1" w:styleId="Par-dash">
    <w:name w:val="Par-dash"/>
    <w:basedOn w:val="Normal"/>
    <w:next w:val="Normal"/>
    <w:pPr>
      <w:numPr>
        <w:numId w:val="4"/>
      </w:numPr>
    </w:pPr>
  </w:style>
  <w:style w:type="paragraph" w:customStyle="1" w:styleId="EntLogo">
    <w:name w:val="EntLogo"/>
    <w:basedOn w:val="Normal"/>
    <w:next w:val="EntInstit"/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2"/>
      </w:numPr>
    </w:pPr>
  </w:style>
  <w:style w:type="character" w:customStyle="1" w:styleId="DontTranslate">
    <w:name w:val="DontTranslate"/>
    <w:rPr>
      <w:color w:val="FF0000"/>
    </w:rPr>
  </w:style>
  <w:style w:type="paragraph" w:customStyle="1" w:styleId="AddReference">
    <w:name w:val="Add Referenc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ManualNumPar1">
    <w:name w:val="Manual NumPar 1"/>
    <w:basedOn w:val="Normal"/>
    <w:next w:val="Normal"/>
    <w:pPr>
      <w:widowControl/>
      <w:spacing w:before="120" w:after="120" w:line="240" w:lineRule="auto"/>
      <w:ind w:left="850" w:hanging="850"/>
      <w:jc w:val="both"/>
    </w:pPr>
    <w:rPr>
      <w:szCs w:val="24"/>
    </w:rPr>
  </w:style>
  <w:style w:type="paragraph" w:customStyle="1" w:styleId="Datedadoption">
    <w:name w:val="Date d'adoption"/>
    <w:basedOn w:val="Normal"/>
    <w:next w:val="Titreobjet"/>
    <w:pPr>
      <w:widowControl/>
      <w:spacing w:before="360" w:line="240" w:lineRule="auto"/>
      <w:jc w:val="center"/>
    </w:pPr>
    <w:rPr>
      <w:b/>
      <w:szCs w:val="24"/>
    </w:rPr>
  </w:style>
  <w:style w:type="paragraph" w:customStyle="1" w:styleId="Fait">
    <w:name w:val="Fait à"/>
    <w:basedOn w:val="Normal"/>
    <w:next w:val="Institutionquisigne"/>
    <w:pPr>
      <w:keepNext/>
      <w:widowControl/>
      <w:spacing w:before="120" w:line="240" w:lineRule="auto"/>
      <w:jc w:val="both"/>
    </w:pPr>
    <w:rPr>
      <w:szCs w:val="24"/>
    </w:rPr>
  </w:style>
  <w:style w:type="paragraph" w:customStyle="1" w:styleId="Formuledadoption">
    <w:name w:val="Formule d'adoption"/>
    <w:basedOn w:val="Normal"/>
    <w:next w:val="Titrearticle"/>
    <w:pPr>
      <w:keepNext/>
      <w:widowControl/>
      <w:spacing w:before="120" w:after="120" w:line="240" w:lineRule="auto"/>
      <w:jc w:val="both"/>
    </w:pPr>
    <w:rPr>
      <w:szCs w:val="24"/>
    </w:rPr>
  </w:style>
  <w:style w:type="paragraph" w:customStyle="1" w:styleId="Institutionquiagit">
    <w:name w:val="Institution qui agit"/>
    <w:basedOn w:val="Normal"/>
    <w:next w:val="Normal"/>
    <w:pPr>
      <w:keepNext/>
      <w:widowControl/>
      <w:spacing w:before="600" w:after="120" w:line="240" w:lineRule="auto"/>
      <w:jc w:val="both"/>
    </w:pPr>
    <w:rPr>
      <w:szCs w:val="24"/>
    </w:rPr>
  </w:style>
  <w:style w:type="paragraph" w:customStyle="1" w:styleId="Institutionquisigne">
    <w:name w:val="Institution qui signe"/>
    <w:basedOn w:val="Normal"/>
    <w:next w:val="Personnequisigne"/>
    <w:pPr>
      <w:keepNext/>
      <w:widowControl/>
      <w:tabs>
        <w:tab w:val="left" w:pos="4252"/>
      </w:tabs>
      <w:spacing w:before="720" w:line="240" w:lineRule="auto"/>
      <w:jc w:val="both"/>
    </w:pPr>
    <w:rPr>
      <w:i/>
      <w:szCs w:val="24"/>
    </w:rPr>
  </w:style>
  <w:style w:type="paragraph" w:customStyle="1" w:styleId="ManualConsidrant">
    <w:name w:val="Manual Considérant"/>
    <w:basedOn w:val="Normal"/>
    <w:pPr>
      <w:widowControl/>
      <w:spacing w:before="120" w:after="120" w:line="240" w:lineRule="auto"/>
      <w:ind w:left="709" w:hanging="709"/>
      <w:jc w:val="both"/>
    </w:pPr>
    <w:rPr>
      <w:szCs w:val="24"/>
    </w:rPr>
  </w:style>
  <w:style w:type="paragraph" w:customStyle="1" w:styleId="Personnequisigne">
    <w:name w:val="Personne qui signe"/>
    <w:basedOn w:val="Normal"/>
    <w:next w:val="Institutionquisigne"/>
    <w:pPr>
      <w:widowControl/>
      <w:tabs>
        <w:tab w:val="left" w:pos="4252"/>
      </w:tabs>
      <w:spacing w:line="240" w:lineRule="auto"/>
    </w:pPr>
    <w:rPr>
      <w:i/>
      <w:szCs w:val="24"/>
    </w:rPr>
  </w:style>
  <w:style w:type="paragraph" w:customStyle="1" w:styleId="Titrearticle">
    <w:name w:val="Titre article"/>
    <w:basedOn w:val="Normal"/>
    <w:next w:val="Normal"/>
    <w:pPr>
      <w:keepNext/>
      <w:widowControl/>
      <w:spacing w:before="360" w:after="120" w:line="240" w:lineRule="auto"/>
      <w:jc w:val="center"/>
    </w:pPr>
    <w:rPr>
      <w:i/>
      <w:szCs w:val="24"/>
    </w:rPr>
  </w:style>
  <w:style w:type="paragraph" w:customStyle="1" w:styleId="Titreobjet">
    <w:name w:val="Titre objet"/>
    <w:basedOn w:val="Normal"/>
    <w:next w:val="Normal"/>
    <w:pPr>
      <w:widowControl/>
      <w:spacing w:before="360" w:after="360" w:line="240" w:lineRule="auto"/>
      <w:jc w:val="center"/>
    </w:pPr>
    <w:rPr>
      <w:b/>
      <w:szCs w:val="24"/>
    </w:rPr>
  </w:style>
  <w:style w:type="paragraph" w:customStyle="1" w:styleId="Typedudocument">
    <w:name w:val="Type du document"/>
    <w:basedOn w:val="Normal"/>
    <w:next w:val="Datedadoption"/>
    <w:pPr>
      <w:widowControl/>
      <w:spacing w:before="360" w:line="240" w:lineRule="auto"/>
      <w:jc w:val="center"/>
    </w:pPr>
    <w:rPr>
      <w:b/>
      <w:szCs w:val="24"/>
    </w:rPr>
  </w:style>
  <w:style w:type="paragraph" w:customStyle="1" w:styleId="NormalCentered">
    <w:name w:val="Normal Centered"/>
    <w:basedOn w:val="Normal"/>
    <w:pPr>
      <w:widowControl/>
      <w:spacing w:before="120" w:after="120" w:line="240" w:lineRule="auto"/>
      <w:jc w:val="center"/>
    </w:pPr>
    <w:rPr>
      <w:szCs w:val="24"/>
    </w:rPr>
  </w:style>
  <w:style w:type="paragraph" w:customStyle="1" w:styleId="Point0">
    <w:name w:val="Point 0"/>
    <w:basedOn w:val="Normal"/>
    <w:pPr>
      <w:widowControl/>
      <w:spacing w:before="120" w:after="120" w:line="240" w:lineRule="auto"/>
      <w:ind w:left="850" w:hanging="850"/>
      <w:jc w:val="both"/>
    </w:pPr>
    <w:rPr>
      <w:szCs w:val="24"/>
    </w:rPr>
  </w:style>
  <w:style w:type="paragraph" w:customStyle="1" w:styleId="Point1">
    <w:name w:val="Point 1"/>
    <w:basedOn w:val="Normal"/>
    <w:pPr>
      <w:widowControl/>
      <w:spacing w:before="120" w:after="120" w:line="240" w:lineRule="auto"/>
      <w:ind w:left="1417" w:hanging="567"/>
      <w:jc w:val="both"/>
    </w:pPr>
    <w:rPr>
      <w:szCs w:val="24"/>
    </w:rPr>
  </w:style>
  <w:style w:type="paragraph" w:customStyle="1" w:styleId="ListDash">
    <w:name w:val="List Dash"/>
    <w:basedOn w:val="Normal"/>
    <w:pPr>
      <w:widowControl/>
      <w:numPr>
        <w:numId w:val="15"/>
      </w:numPr>
      <w:spacing w:before="120" w:after="120" w:line="240" w:lineRule="auto"/>
      <w:jc w:val="both"/>
    </w:pPr>
    <w:rPr>
      <w:szCs w:val="24"/>
    </w:rPr>
  </w:style>
  <w:style w:type="paragraph" w:customStyle="1" w:styleId="ListDash1">
    <w:name w:val="List Dash 1"/>
    <w:basedOn w:val="Normal"/>
    <w:pPr>
      <w:widowControl/>
      <w:numPr>
        <w:numId w:val="16"/>
      </w:numPr>
      <w:spacing w:before="120" w:after="120" w:line="240" w:lineRule="auto"/>
      <w:jc w:val="both"/>
    </w:pPr>
    <w:rPr>
      <w:szCs w:val="24"/>
    </w:rPr>
  </w:style>
  <w:style w:type="table" w:styleId="TableGrid">
    <w:name w:val="Table Grid"/>
    <w:basedOn w:val="TableNormal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"/>
    <w:pPr>
      <w:widowControl/>
      <w:spacing w:line="240" w:lineRule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mt-MT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widowControl/>
      <w:spacing w:line="240" w:lineRule="auto"/>
      <w:jc w:val="both"/>
    </w:pPr>
    <w:rPr>
      <w:rFonts w:eastAsia="Calibri"/>
      <w:szCs w:val="22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line="240" w:lineRule="auto"/>
      <w:ind w:left="-850" w:right="-850"/>
    </w:pPr>
  </w:style>
  <w:style w:type="character" w:customStyle="1" w:styleId="FooterCoverPageChar">
    <w:name w:val="Footer Cover Page Char"/>
    <w:link w:val="FooterCoverPage"/>
    <w:rPr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line="240" w:lineRule="auto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link w:val="FooterSensitivity"/>
    <w:rPr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</w:style>
  <w:style w:type="character" w:customStyle="1" w:styleId="HeaderCoverPageChar">
    <w:name w:val="Header Cover Page Char"/>
    <w:link w:val="HeaderCoverPage"/>
    <w:rPr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link w:val="HeaderSensitivity"/>
    <w:rPr>
      <w:b/>
      <w:sz w:val="32"/>
    </w:rPr>
  </w:style>
  <w:style w:type="numbering" w:customStyle="1" w:styleId="NoList1">
    <w:name w:val="No List1"/>
    <w:next w:val="NoList"/>
  </w:style>
  <w:style w:type="table" w:customStyle="1" w:styleId="TableGrid1">
    <w:name w:val="Table Grid1"/>
    <w:basedOn w:val="TableNormal"/>
    <w:next w:val="TableGrid"/>
    <w:pPr>
      <w:spacing w:before="120" w:after="120"/>
      <w:jc w:val="both"/>
    </w:pPr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eastAsia="Malgun Gothic"/>
    </w:rPr>
  </w:style>
  <w:style w:type="character" w:customStyle="1" w:styleId="CommentTextChar">
    <w:name w:val="Comment Text Char"/>
    <w:link w:val="CommentText"/>
    <w:uiPriority w:val="99"/>
    <w:semiHidden/>
    <w:rPr>
      <w:rFonts w:eastAsia="Malgun Gothic"/>
      <w:sz w:val="24"/>
      <w:lang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algun Gothic"/>
      <w:b/>
      <w:bCs/>
      <w:sz w:val="24"/>
      <w:lang w:eastAsia="mt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3404</Words>
  <Characters>24515</Characters>
  <Application>Microsoft Office Word</Application>
  <DocSecurity>0</DocSecurity>
  <Lines>645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</vt:lpstr>
    </vt:vector>
  </TitlesOfParts>
  <Company>DTI</Company>
  <LinksUpToDate>false</LinksUpToDate>
  <CharactersWithSpaces>27677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RILEYKA</dc:creator>
  <cp:lastModifiedBy>WES PDFC Administrator</cp:lastModifiedBy>
  <cp:revision>7</cp:revision>
  <cp:lastPrinted>2018-10-12T08:11:00Z</cp:lastPrinted>
  <dcterms:created xsi:type="dcterms:W3CDTF">2018-12-12T15:42:00Z</dcterms:created>
  <dcterms:modified xsi:type="dcterms:W3CDTF">2019-02-13T11:36:00Z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