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5102F13-6A65-4919-9C0F-F863262E11FF" style="width:450pt;height:36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numPr>
          <w:ilvl w:val="0"/>
          <w:numId w:val="1"/>
        </w:numPr>
        <w:spacing w:before="0" w:after="240"/>
        <w:ind w:left="567" w:hanging="567"/>
        <w:rPr>
          <w:noProof/>
          <w:szCs w:val="24"/>
        </w:rPr>
      </w:pPr>
      <w:bookmarkStart w:id="1" w:name="_GoBack"/>
      <w:bookmarkEnd w:id="1"/>
      <w:r>
        <w:rPr>
          <w:noProof/>
        </w:rPr>
        <w:lastRenderedPageBreak/>
        <w:t>Εισαγωγή</w:t>
      </w:r>
    </w:p>
    <w:p>
      <w:pPr>
        <w:pStyle w:val="Text1"/>
        <w:spacing w:before="0" w:after="240" w:line="276" w:lineRule="auto"/>
        <w:ind w:left="0"/>
        <w:rPr>
          <w:noProof/>
        </w:rPr>
      </w:pPr>
      <w:r>
        <w:rPr>
          <w:noProof/>
        </w:rPr>
        <w:t>Ο κανονισμός (ΕΚ) αριθ. 450/2003 του Ευρωπαϊκού Κοινοβουλίου και του Συμβουλίου, της 27ης Φεβρουαρίου 2003, σχετικά με τον δείκτη κόστους εργασίας (ΔΚΕ)</w:t>
      </w:r>
      <w:r>
        <w:rPr>
          <w:rStyle w:val="FootnoteReference"/>
          <w:noProof/>
        </w:rPr>
        <w:footnoteReference w:id="1"/>
      </w:r>
      <w:r>
        <w:rPr>
          <w:noProof/>
        </w:rPr>
        <w:t xml:space="preserve"> θεσπίζει ένα κοινό πλαίσιο για τα κράτη μέλη, ώστε να παράγουν συγκρίσιμους ΔΚΕ και να τους διαβιβάζουν στην Επιτροπή.</w:t>
      </w:r>
    </w:p>
    <w:p>
      <w:pPr>
        <w:pStyle w:val="Text1"/>
        <w:spacing w:before="0" w:after="240" w:line="276" w:lineRule="auto"/>
        <w:ind w:left="0"/>
        <w:rPr>
          <w:noProof/>
        </w:rPr>
      </w:pPr>
      <w:r>
        <w:rPr>
          <w:noProof/>
        </w:rPr>
        <w:t>Ο ΔΚΕ μετρά τις τριμηνιαίες μεταβολές του συνολικού ωριαίου κόστους εργασίας που επιβαρύνει τους εργοδότες, καθιστώντας δυνατή την παρακολούθηση των εξελίξεων στην πίεση κόστους που προκύπτει από τον συντελεστή παραγωγής «εργασία». Ανήκει στην οικογένεια των ευρωδεικτών που παρέχουν πληροφορίες για τις οικονομικές εξελίξεις στην ευρωζώνη. Η Επιτροπή (Eurostat) δημοσιεύει στον ιστότοπό της τριμηνιαίο δελτίο Τύπου σχετικά με τον δείκτη ωριαίου κόστους εργασίας</w:t>
      </w:r>
      <w:r>
        <w:rPr>
          <w:rStyle w:val="FootnoteReference"/>
          <w:noProof/>
        </w:rPr>
        <w:footnoteReference w:id="2"/>
      </w:r>
      <w:r>
        <w:rPr>
          <w:noProof/>
        </w:rPr>
        <w:t>, το οποίο περιλαμβάνει πλήρες σύνολο στοιχείων κατανεμημένων κατά οικονομική δραστηριότητα και κατά τις συνιστώσες του κόστους εργασίας (μισθολογικό και μη μισθολογικό κόστος). Ο ιστότοπος περιλαμβάνει επίσης τα ποσοστά αύξησης ανά τρίμηνο και ανά έτος.</w:t>
      </w:r>
    </w:p>
    <w:p>
      <w:pPr>
        <w:pStyle w:val="Text1"/>
        <w:spacing w:before="0" w:after="240" w:line="276" w:lineRule="auto"/>
        <w:ind w:left="0"/>
        <w:rPr>
          <w:noProof/>
          <w:szCs w:val="24"/>
        </w:rPr>
      </w:pPr>
      <w:r>
        <w:rPr>
          <w:noProof/>
        </w:rPr>
        <w:t>Το άρθρο 13 του κανονισμού (ΕΚ) αριθ. 450/2003 προβλέπει ότι η Επιτροπή υποβάλλει ανά διετία έκθεση στο Κοινοβούλιο και στο Συμβούλιο. Δεδομένου ότι οι αναδρομικές σειρές αναλύθηκαν σε προηγούμενες εκθέσεις, η παρούσα έκθεση επικεντρώνεται στην ποιότητα των στοιχείων του ΔΚΕ που ελήφθησαν στη συνέχεια. Εξετάζει τα στοιχεία του ΔΚΕ που υποβλήθηκαν στην Επιτροπή για τα τρίμηνα αναφοράς από το τρίτο τρίμηνο του 2016 (2016Q3) έως το πρώτο τρίμηνο του 2018 (2018Q1).</w:t>
      </w:r>
    </w:p>
    <w:p>
      <w:pPr>
        <w:pStyle w:val="Text1"/>
        <w:spacing w:before="0" w:after="240" w:line="276" w:lineRule="auto"/>
        <w:ind w:left="0"/>
        <w:rPr>
          <w:noProof/>
        </w:rPr>
      </w:pPr>
      <w:r>
        <w:rPr>
          <w:noProof/>
        </w:rPr>
        <w:t>Τον Ιούλιο του 2003 η Επιτροπή εξέδωσε τον κανονισμό (ΕΚ) αριθ. 1216/2003</w:t>
      </w:r>
      <w:r>
        <w:rPr>
          <w:rStyle w:val="FootnoteReference"/>
          <w:noProof/>
        </w:rPr>
        <w:footnoteReference w:id="3"/>
      </w:r>
      <w:r>
        <w:rPr>
          <w:noProof/>
        </w:rPr>
        <w:t xml:space="preserve">, ο οποίος ορίζει λεπτομερέστερα τις διαδικασίες που πρέπει να εφαρμόζουν τα κράτη μέλη όταν αποστέλλουν στην Επιτροπή τους ΔΚΕ, τις ημερολογιακές και εποχικές διορθώσεις που πρέπει να επιφέρονται στους δείκτες και το περιεχόμενο των εθνικών εκθέσεων ποιότητας. </w:t>
      </w:r>
    </w:p>
    <w:p>
      <w:pPr>
        <w:pStyle w:val="Text1"/>
        <w:spacing w:before="0" w:after="240" w:line="276" w:lineRule="auto"/>
        <w:ind w:left="0"/>
        <w:rPr>
          <w:noProof/>
        </w:rPr>
      </w:pPr>
      <w:r>
        <w:rPr>
          <w:noProof/>
        </w:rPr>
        <w:t>Τον Μάρτιο του 2007 η Επιτροπή εξέδωσε τον κανονισμό (ΕΚ) αριθ.  224/2007</w:t>
      </w:r>
      <w:r>
        <w:rPr>
          <w:rStyle w:val="FootnoteReference"/>
          <w:noProof/>
        </w:rPr>
        <w:footnoteReference w:id="4"/>
      </w:r>
      <w:r>
        <w:rPr>
          <w:noProof/>
        </w:rPr>
        <w:t xml:space="preserve">, ο οποίος τροποποίησε τον κανονισμό (ΕΚ) αριθ. 1216/2003 και επεξέτεινε το πεδίο εφαρμογής του ΔΚΕ στις οικονομικές δραστηριότητες στους τομείς Λ, Μ, Ν και Ξ της NACE αναθ. 1. Τα τμήματα αυτά περιλαμβάνουν κυρίως μη εμπορεύσιμες υπηρεσίες, η δυναμική των οποίων μπορεί να διαφέρει από τις εμπορεύσιμες υπηρεσίες. </w:t>
      </w:r>
    </w:p>
    <w:p>
      <w:pPr>
        <w:pStyle w:val="Text1"/>
        <w:spacing w:before="0" w:after="240" w:line="276" w:lineRule="auto"/>
        <w:ind w:left="0"/>
        <w:rPr>
          <w:noProof/>
          <w:szCs w:val="24"/>
        </w:rPr>
      </w:pPr>
      <w:r>
        <w:rPr>
          <w:noProof/>
        </w:rPr>
        <w:t>Τον Αύγουστο του 2007 η Επιτροπή εξέδωσε τον κανονισμό (ΕΚ) αριθ. 973/2007</w:t>
      </w:r>
      <w:r>
        <w:rPr>
          <w:rStyle w:val="FootnoteReference"/>
          <w:noProof/>
        </w:rPr>
        <w:footnoteReference w:id="5"/>
      </w:r>
      <w:r>
        <w:rPr>
          <w:noProof/>
        </w:rPr>
        <w:t>, ο οποίος τροποποίησε μια σειρά κανονισμών σχετικά με ειδικούς στατιστικούς τομείς, συμπεριλαμβανομένου του ΔΚΕ, με σκοπό την εφαρμογή της στατιστικής ταξινόμησης των οικονομικών δραστηριοτήτων στη NACE αναθ. 2.</w:t>
      </w:r>
    </w:p>
    <w:p>
      <w:pPr>
        <w:pStyle w:val="F"/>
        <w:spacing w:before="0" w:after="240" w:line="276" w:lineRule="auto"/>
      </w:pPr>
      <w:r>
        <w:t>Το παράρτημα I του κανονισμού (ΕΚ) αριθ. 1216/2003 προσδιορίζει τα ακόλουθα κριτήρια για την αξιολόγηση της ποιότητας του ΔΚΕ: καταλληλότητα, ακρίβεια, έγκαιρη υποβολή των στοιχείων, εύκολη πρόσβαση και σαφήνεια, συγκρισιμότητα, συνοχή και πληρότητα. Η προσβασιμότητα και η σαφήνεια θεωρήθηκαν ικανοποιητικές, όπως συνέβαινε ήδη στην προηγούμενη έκθεση</w:t>
      </w:r>
      <w:r>
        <w:rPr>
          <w:rStyle w:val="FootnoteReference"/>
        </w:rPr>
        <w:footnoteReference w:id="6"/>
      </w:r>
      <w:r>
        <w:t>. Ως εκ τούτου, το παρόν έγγραφο επικεντρώνεται στην καταλληλότητα, την πληρότητα, την έγκαιρη υποβολή, την ακρίβεια, τη συγκρισιμότητα και τη συνοχή.</w:t>
      </w:r>
    </w:p>
    <w:p>
      <w:pPr>
        <w:pStyle w:val="ManualHeading1"/>
        <w:tabs>
          <w:tab w:val="clear" w:pos="850"/>
        </w:tabs>
        <w:spacing w:before="0" w:after="240"/>
        <w:ind w:left="567" w:hanging="567"/>
        <w:rPr>
          <w:noProof/>
          <w:szCs w:val="24"/>
        </w:rPr>
      </w:pPr>
      <w:r>
        <w:rPr>
          <w:noProof/>
        </w:rPr>
        <w:t>2.</w:t>
      </w:r>
      <w:r>
        <w:rPr>
          <w:noProof/>
        </w:rPr>
        <w:tab/>
        <w:t>Γενική πρόοδος μετά την τελευταία έκθεση</w:t>
      </w:r>
    </w:p>
    <w:p>
      <w:pPr>
        <w:pStyle w:val="Text1"/>
        <w:spacing w:before="0" w:after="240" w:line="276" w:lineRule="auto"/>
        <w:ind w:left="0"/>
        <w:rPr>
          <w:noProof/>
          <w:szCs w:val="24"/>
        </w:rPr>
      </w:pPr>
      <w:r>
        <w:rPr>
          <w:noProof/>
        </w:rPr>
        <w:t>Δεν έχουν γίνει νομοθετικές αλλαγές μετά τη δημοσίευση της τελευταίας έκθεσης.</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Βελτιωμένα πρότυπα συλλογής στοιχείων</w:t>
      </w:r>
    </w:p>
    <w:p>
      <w:pPr>
        <w:pStyle w:val="Text1"/>
        <w:spacing w:before="0" w:after="240" w:line="276" w:lineRule="auto"/>
        <w:ind w:left="0"/>
        <w:rPr>
          <w:noProof/>
        </w:rPr>
      </w:pPr>
      <w:r>
        <w:rPr>
          <w:noProof/>
        </w:rPr>
        <w:t>Μια νέα έκδοση ανταλλαγής στατιστικών στοιχείων και μεταδεδομένων [Statistical Data and Metadata eXchange (SDMX)]</w:t>
      </w:r>
      <w:r>
        <w:rPr>
          <w:rStyle w:val="FootnoteReference"/>
          <w:noProof/>
        </w:rPr>
        <w:footnoteReference w:id="7"/>
      </w:r>
      <w:r>
        <w:rPr>
          <w:noProof/>
        </w:rPr>
        <w:t xml:space="preserve"> έχει δοκιμαστεί με τα κράτη μέλη και έχει εφαρμοστεί στην παραγωγή. Χρησιμοποιεί διεθνώς συμφωνημένους καταλόγους κωδικών που είναι προσβάσιμοι στο διαδίκτυο μέσω ειδικού μητρώου</w:t>
      </w:r>
      <w:r>
        <w:rPr>
          <w:rStyle w:val="FootnoteReference"/>
          <w:noProof/>
        </w:rPr>
        <w:footnoteReference w:id="8"/>
      </w:r>
      <w:r>
        <w:rPr>
          <w:noProof/>
        </w:rPr>
        <w:t>. Καθιστά επίσης δυνατή τη συλλογή νέων προαιρετικών μεταβλητών, όπως το τριμηνιαίο κόστος εργασίας και ο μηνιαίος αριθμός ωρών εργασίας. Οι ίδιες δομές στοιχείων SDMX έχουν εφαρμοστεί για τη διαβίβαση των ΔΚΕ στην Ευρωπαϊκή Κεντρική Τράπεζα (ΕΚΤ).</w:t>
      </w:r>
    </w:p>
    <w:p>
      <w:pPr>
        <w:pStyle w:val="Text1"/>
        <w:spacing w:before="0" w:after="240" w:line="276" w:lineRule="auto"/>
        <w:ind w:left="0"/>
        <w:rPr>
          <w:noProof/>
        </w:rPr>
      </w:pPr>
      <w:r>
        <w:rPr>
          <w:noProof/>
        </w:rPr>
        <w:t>Χάρη στην τυποποίηση του SDMX έχει τεθεί σε εφαρμογή ένα νέο εργαλείο αυτόματης επικύρωσης (STRUVAL), το οποίο ενημερώνει τα κράτη μέλη σχετικά με οποιοδήποτε ζήτημα ΤΠ που εντοπίζεται στις διαβιβάσεις των ΔΚΕ.</w:t>
      </w:r>
    </w:p>
    <w:p>
      <w:pPr>
        <w:pStyle w:val="Text1"/>
        <w:spacing w:before="0" w:after="240" w:line="276" w:lineRule="auto"/>
        <w:ind w:left="0"/>
        <w:rPr>
          <w:noProof/>
          <w:szCs w:val="24"/>
        </w:rPr>
      </w:pPr>
      <w:r>
        <w:rPr>
          <w:noProof/>
        </w:rPr>
        <w:t>Οι πρωτοβουλίες αυτές συνέβαλαν στην απλούστευση της διαδικασίας παραγωγής και στη μείωση του κινδύνου σφαλμάτων λόγω εσφαλμένης κωδικοποίησης.</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2.2 </w:t>
      </w:r>
      <w:r>
        <w:rPr>
          <w:noProof/>
        </w:rPr>
        <w:tab/>
      </w:r>
      <w:r>
        <w:rPr>
          <w:rFonts w:ascii="Times New Roman" w:hAnsi="Times New Roman"/>
          <w:b/>
          <w:noProof/>
          <w:sz w:val="24"/>
        </w:rPr>
        <w:t>Ανα</w:t>
      </w:r>
      <w:r>
        <w:rPr>
          <w:noProof/>
        </w:rPr>
        <w:noBreakHyphen/>
      </w:r>
      <w:r>
        <w:rPr>
          <w:rFonts w:ascii="Times New Roman" w:hAnsi="Times New Roman"/>
          <w:b/>
          <w:noProof/>
          <w:sz w:val="24"/>
        </w:rPr>
        <w:t>σχεδιασμός των προγραμμάτων ΤΠ</w:t>
      </w:r>
    </w:p>
    <w:p>
      <w:pPr>
        <w:pStyle w:val="Text1"/>
        <w:spacing w:before="0" w:line="276" w:lineRule="auto"/>
        <w:ind w:left="0"/>
        <w:rPr>
          <w:noProof/>
        </w:rPr>
      </w:pPr>
      <w:r>
        <w:rPr>
          <w:noProof/>
        </w:rPr>
        <w:t>Τα προγράμματα που χρησιμοποιούνται για την επικύρωση, τη συγκέντρωση και τη διάδοση των στοιχείων του ΔΚΕ ανα</w:t>
      </w:r>
      <w:r>
        <w:rPr>
          <w:noProof/>
        </w:rPr>
        <w:noBreakHyphen/>
        <w:t>σχεδιάστηκαν πλήρως, καθιστώντας δυνατή:</w:t>
      </w:r>
    </w:p>
    <w:p>
      <w:pPr>
        <w:pStyle w:val="Text1"/>
        <w:numPr>
          <w:ilvl w:val="0"/>
          <w:numId w:val="2"/>
        </w:numPr>
        <w:spacing w:before="0" w:line="276" w:lineRule="auto"/>
        <w:ind w:left="851" w:hanging="426"/>
        <w:rPr>
          <w:noProof/>
          <w:szCs w:val="24"/>
        </w:rPr>
      </w:pPr>
      <w:r>
        <w:rPr>
          <w:noProof/>
        </w:rPr>
        <w:t>την ευθυγράμμιση των εσωτερικών καταλόγων κωδικών με τα πρότυπα SDMX·</w:t>
      </w:r>
    </w:p>
    <w:p>
      <w:pPr>
        <w:pStyle w:val="Text1"/>
        <w:numPr>
          <w:ilvl w:val="0"/>
          <w:numId w:val="2"/>
        </w:numPr>
        <w:spacing w:before="0" w:line="276" w:lineRule="auto"/>
        <w:ind w:left="851" w:hanging="426"/>
        <w:rPr>
          <w:noProof/>
          <w:szCs w:val="24"/>
        </w:rPr>
      </w:pPr>
      <w:r>
        <w:rPr>
          <w:noProof/>
        </w:rPr>
        <w:t xml:space="preserve">τη διασφάλιση της συνοχής μεταξύ του συνόλου και των συνιστωσών — οι αλυσωτοί δείκτες για το μισθολογικό και το μη μισθολογικό κόστος καταρχάς αποσυνδέονται, στη συνέχεια συναθροίζονται σε συγκεντρωτικό επίπεδο και, τέλος, επανασυνδέονται στο έτος αναφοράς (έμμεση συνάθροιση σε συγκεντρωτικό επίπεδο)· </w:t>
      </w:r>
    </w:p>
    <w:p>
      <w:pPr>
        <w:pStyle w:val="Text1"/>
        <w:numPr>
          <w:ilvl w:val="0"/>
          <w:numId w:val="2"/>
        </w:numPr>
        <w:spacing w:before="0" w:line="276" w:lineRule="auto"/>
        <w:ind w:left="851" w:hanging="426"/>
        <w:rPr>
          <w:noProof/>
          <w:szCs w:val="24"/>
        </w:rPr>
      </w:pPr>
      <w:r>
        <w:rPr>
          <w:noProof/>
        </w:rPr>
        <w:t xml:space="preserve">την επικαιροποίηση του καταλόγου των ευρωπαϊκών συγκεντρωτικών στοιχείων· και </w:t>
      </w:r>
    </w:p>
    <w:p>
      <w:pPr>
        <w:pStyle w:val="Text1"/>
        <w:numPr>
          <w:ilvl w:val="0"/>
          <w:numId w:val="2"/>
        </w:numPr>
        <w:spacing w:before="0" w:after="240" w:line="276" w:lineRule="auto"/>
        <w:ind w:left="851" w:hanging="426"/>
        <w:rPr>
          <w:noProof/>
          <w:szCs w:val="24"/>
        </w:rPr>
      </w:pPr>
      <w:r>
        <w:rPr>
          <w:noProof/>
        </w:rPr>
        <w:t>τη διάδοση νέων δεικτών.</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Επίπεδα ωριαίου κόστους εργασίας</w:t>
      </w:r>
    </w:p>
    <w:p>
      <w:pPr>
        <w:pStyle w:val="Text1"/>
        <w:spacing w:before="0" w:after="240" w:line="276" w:lineRule="auto"/>
        <w:ind w:left="0"/>
        <w:rPr>
          <w:noProof/>
        </w:rPr>
      </w:pPr>
      <w:r>
        <w:rPr>
          <w:noProof/>
        </w:rPr>
        <w:t>Η Επιτροπή (Eurostat) δημοσιεύει ετήσιες εκτιμήσεις του ωριαίου κόστους εργασίας με ανάλυση της NACE αναθ. 2 σε ετήσια βάση από την πρώτη δημοσίευση τον Απριλίου του 2016 και μετά. Οι εκτιμήσεις, που βασίζονται στα επίπεδα του κόστους εργασίας και στις τάσεις του ΔΚΕ, καταρτίζονται τρεις μήνες μετά το πέρας της περιόδου αναφοράς. Η κάλυψη περιλαμβάνει τους τομείς της NACE αναθ. 2, με εξαίρεση τον τομέα Λ (διαχείριση ακίνητης περιουσίας). Με τις νέες δομές στοιχείων SDMX τα κράτη μέλη που έχουν επιλέξει να διαβιβάζουν τα εθνικά στοιχεία τους αντί για τις εκτιμήσεις της Eurostat μπορούν να συγκεντρώνουν τα ετήσια επίπεδα κόστους εργασίας στο εν λόγω πρότυπο.</w:t>
      </w:r>
    </w:p>
    <w:p>
      <w:pPr>
        <w:pStyle w:val="ManualHeading1"/>
        <w:tabs>
          <w:tab w:val="clear" w:pos="850"/>
        </w:tabs>
        <w:spacing w:before="0" w:after="240"/>
        <w:ind w:left="567" w:hanging="567"/>
        <w:rPr>
          <w:noProof/>
          <w:szCs w:val="24"/>
        </w:rPr>
      </w:pPr>
      <w:r>
        <w:rPr>
          <w:noProof/>
        </w:rPr>
        <w:t>3.</w:t>
      </w:r>
      <w:r>
        <w:rPr>
          <w:noProof/>
        </w:rPr>
        <w:tab/>
        <w:t>Ποιότητα των στοιχείων</w:t>
      </w:r>
    </w:p>
    <w:p>
      <w:pPr>
        <w:spacing w:after="240"/>
        <w:ind w:left="567" w:hanging="567"/>
        <w:jc w:val="both"/>
        <w:rPr>
          <w:smallCaps/>
          <w:noProof/>
          <w:szCs w:val="24"/>
        </w:rPr>
      </w:pPr>
      <w:r>
        <w:rPr>
          <w:rFonts w:ascii="Times New Roman" w:hAnsi="Times New Roman"/>
          <w:b/>
          <w:noProof/>
          <w:sz w:val="24"/>
        </w:rPr>
        <w:t>3.1</w:t>
      </w:r>
      <w:r>
        <w:rPr>
          <w:noProof/>
        </w:rPr>
        <w:tab/>
      </w:r>
      <w:r>
        <w:rPr>
          <w:rFonts w:ascii="Times New Roman" w:hAnsi="Times New Roman"/>
          <w:b/>
          <w:noProof/>
          <w:sz w:val="24"/>
        </w:rPr>
        <w:t>Καταλληλότητα</w:t>
      </w:r>
    </w:p>
    <w:p>
      <w:pPr>
        <w:pStyle w:val="Text1"/>
        <w:spacing w:before="0" w:after="240" w:line="276" w:lineRule="auto"/>
        <w:ind w:left="0"/>
        <w:rPr>
          <w:noProof/>
          <w:color w:val="000000"/>
        </w:rPr>
      </w:pPr>
      <w:r>
        <w:rPr>
          <w:noProof/>
          <w:color w:val="000000"/>
        </w:rPr>
        <w:t>Ο δείκτης «μεταβολές του κόστους εργασίας ανά πραγματοποιηθείσα ώρα εργασίας» είναι σημαντικός για την ανάλυση των βραχυπρόθεσμων και μεσοπρόθεσμων οικονομικών εξελίξεων. Η Επιτροπή και η ΕΚΤ χρησιμοποιούν έναν τέτοιο δείκτη, ο οποίος δείχνει τις βραχυπρόθεσμες μεταβολές του κόστους</w:t>
      </w:r>
      <w:r>
        <w:rPr>
          <w:noProof/>
        </w:rPr>
        <w:noBreakHyphen/>
      </w:r>
      <w:r>
        <w:rPr>
          <w:noProof/>
          <w:color w:val="000000"/>
        </w:rPr>
        <w:t>εργασίας, προκειμένου να αξιολογηθούν οι πιθανές πληθωριστικές πιέσεις από τις εξελίξεις στην αγορά εργασίας. Ο δείκτης πρέπει να υπολογίζεται μόλις καταστούν διαθέσιμα τα στοιχεία, για κάθε κράτος μέλος, για το σύνολο της Ευρωπαϊκής Ένωσης (ΕΕ) και για την ευρωζώνη. Ο ΔΚΕ είναι επίσης σημαντικός για τις μισθολογικές διαπραγματεύσεις των κοινωνικών εταίρων και η Επιτροπή τον χρησιμοποιεί για την παρακολούθηση των βραχυπρόθεσμων εξελίξεων του κόστους εργασίας. Είναι ένας από τους κύριους ευρωπαϊκούς οικονομικούς δείκτες</w:t>
      </w:r>
      <w:r>
        <w:rPr>
          <w:rStyle w:val="FootnoteReference"/>
          <w:noProof/>
          <w:color w:val="000000"/>
        </w:rPr>
        <w:footnoteReference w:id="9"/>
      </w:r>
      <w:r>
        <w:rPr>
          <w:noProof/>
          <w:color w:val="000000"/>
        </w:rPr>
        <w:t>.</w:t>
      </w:r>
    </w:p>
    <w:p>
      <w:pPr>
        <w:pStyle w:val="Text1"/>
        <w:spacing w:before="0" w:after="240" w:line="276" w:lineRule="auto"/>
        <w:ind w:left="0"/>
        <w:rPr>
          <w:noProof/>
        </w:rPr>
      </w:pPr>
      <w:r>
        <w:rPr>
          <w:noProof/>
        </w:rPr>
        <w:t>Οι χρήστες συνέχισαν να ζητούν πληροφορίες όχι μόνο σχετικά με τις τριμηνιαίες ποσοστιαίες μεταβολές στο κόστος εργασίας, όπως μετρώνται με τον ΔΚΕ, αλλά επίσης, όλο και περισσότερο σχετικά με το κόστος εργασίας σε απόλυτες τιμές (ευρώ ανά ώρα). Κάθε Απρίλιο η Eurostat δημοσιεύει εκτιμήσεις του ωριαίου κόστους εργασίας σε ευρώ και σε εθνικά νομίσματα με</w:t>
      </w:r>
      <w:r>
        <w:rPr>
          <w:noProof/>
          <w:color w:val="000000"/>
        </w:rPr>
        <w:t xml:space="preserve"> ανάλυση της NACE αναθ. 2.</w:t>
      </w:r>
      <w:r>
        <w:rPr>
          <w:noProof/>
        </w:rPr>
        <w:t xml:space="preserve"> Επιπλέον, άρχισε να διαδίδει τον ετήσιο ρυθμό αύξησης των επιπέδων του ωριαίου κόστους εργασίας και το ποσοστό του συνολικού κόστους εργασίας που προκύπτει από το μη μισθολογικό κόστος</w:t>
      </w:r>
      <w:r>
        <w:rPr>
          <w:rStyle w:val="FootnoteReference"/>
          <w:noProof/>
        </w:rPr>
        <w:footnoteReference w:id="10"/>
      </w:r>
      <w:r>
        <w:rPr>
          <w:noProof/>
        </w:rPr>
        <w:t>.</w:t>
      </w:r>
    </w:p>
    <w:p>
      <w:pPr>
        <w:pStyle w:val="Text1"/>
        <w:spacing w:before="0" w:after="240" w:line="276" w:lineRule="auto"/>
        <w:ind w:left="0"/>
        <w:rPr>
          <w:noProof/>
          <w:szCs w:val="24"/>
        </w:rPr>
      </w:pPr>
      <w:r>
        <w:rPr>
          <w:noProof/>
        </w:rPr>
        <w:t>Η Επιτροπή έλαβε θετικά σχόλια όσον αφορά τη δημοσίευση των εν λόγω εκτιμήσεων και θα εξακολουθήσει να καταρτίζει στατιστικές του ετήσιου κόστους εργασίας με</w:t>
      </w:r>
      <w:r>
        <w:rPr>
          <w:noProof/>
          <w:color w:val="000000"/>
        </w:rPr>
        <w:t xml:space="preserve"> ανάλυση της NACE αναθ. 2.</w:t>
      </w:r>
    </w:p>
    <w:p>
      <w:pPr>
        <w:spacing w:after="240"/>
        <w:ind w:left="567" w:hanging="567"/>
        <w:jc w:val="both"/>
        <w:rPr>
          <w:smallCaps/>
          <w:noProof/>
          <w:szCs w:val="24"/>
        </w:rPr>
      </w:pPr>
      <w:r>
        <w:rPr>
          <w:rFonts w:ascii="Times New Roman" w:hAnsi="Times New Roman"/>
          <w:b/>
          <w:noProof/>
          <w:sz w:val="24"/>
        </w:rPr>
        <w:t>3.2</w:t>
      </w:r>
      <w:r>
        <w:rPr>
          <w:noProof/>
        </w:rPr>
        <w:tab/>
      </w:r>
      <w:r>
        <w:rPr>
          <w:rFonts w:ascii="Times New Roman" w:hAnsi="Times New Roman"/>
          <w:b/>
          <w:noProof/>
          <w:sz w:val="24"/>
        </w:rPr>
        <w:t>Πληρότητα</w:t>
      </w:r>
    </w:p>
    <w:p>
      <w:pPr>
        <w:pStyle w:val="Text1"/>
        <w:spacing w:before="0" w:after="240" w:line="276" w:lineRule="auto"/>
        <w:ind w:left="0"/>
        <w:rPr>
          <w:noProof/>
          <w:szCs w:val="24"/>
        </w:rPr>
      </w:pPr>
      <w:r>
        <w:rPr>
          <w:noProof/>
        </w:rPr>
        <w:t>Γενικά, η διαθεσιμότητα και η ποιότητα του ΔΚΕ εξακολούθησε να βελτιώνεται. Η Eurostat έλαβε στοιχεία με ημερολογιακή διόρθωση</w:t>
      </w:r>
      <w:r>
        <w:rPr>
          <w:noProof/>
        </w:rPr>
        <w:noBreakHyphen/>
        <w:t xml:space="preserve"> και στοιχεία με ημερολογιακή και εποχική διόρθωση από όλα τα κράτη μέλη. Όλες οι χώρες, εκτός από τη Δανία και τη Σουηδία (στις οποίες χορηγήθηκαν παρεκκλίσεις</w:t>
      </w:r>
      <w:r>
        <w:rPr>
          <w:rStyle w:val="FootnoteReference"/>
          <w:noProof/>
        </w:rPr>
        <w:footnoteReference w:id="11"/>
      </w:r>
      <w:r>
        <w:rPr>
          <w:noProof/>
        </w:rPr>
        <w:t>), υπέβαλαν επίσης στοιχεία χωρίς</w:t>
      </w:r>
      <w:r>
        <w:rPr>
          <w:noProof/>
        </w:rPr>
        <w:noBreakHyphen/>
        <w:t xml:space="preserve"> εποχική διόρθωση.</w:t>
      </w:r>
    </w:p>
    <w:p>
      <w:pPr>
        <w:pStyle w:val="Text1"/>
        <w:spacing w:before="0" w:after="240" w:line="276" w:lineRule="auto"/>
        <w:ind w:left="0"/>
        <w:rPr>
          <w:noProof/>
          <w:szCs w:val="24"/>
        </w:rPr>
      </w:pPr>
      <w:r>
        <w:rPr>
          <w:noProof/>
        </w:rPr>
        <w:t>Όσον αφορά άλλες χώρες του Ευρωπαϊκού Οικονομικού Χώρου (ΕΟΧ)</w:t>
      </w:r>
      <w:r>
        <w:rPr>
          <w:rStyle w:val="FootnoteReference"/>
          <w:noProof/>
        </w:rPr>
        <w:footnoteReference w:id="12"/>
      </w:r>
      <w:r>
        <w:rPr>
          <w:noProof/>
        </w:rPr>
        <w:t>, η Ισλανδία διαβίβασε στοιχεία για δύο τρίμηνα (2017Q2 και 2018Q1)</w:t>
      </w:r>
      <w:r>
        <w:rPr>
          <w:rStyle w:val="CommentReference"/>
          <w:noProof/>
        </w:rPr>
        <w:t xml:space="preserve"> </w:t>
      </w:r>
      <w:r>
        <w:rPr>
          <w:noProof/>
        </w:rPr>
        <w:t>της περιόδου αναφοράς και τους συντελεστές στάθμισης του κόστους εργασίας για το 2017, ενώ η Νορβηγία διαβίβασε στοιχεία και για τα επτά σχετικά τρίμηνα.</w:t>
      </w:r>
    </w:p>
    <w:p>
      <w:pPr>
        <w:pStyle w:val="Text1"/>
        <w:spacing w:before="0" w:after="240" w:line="276" w:lineRule="auto"/>
        <w:ind w:left="0"/>
        <w:rPr>
          <w:noProof/>
          <w:szCs w:val="24"/>
        </w:rPr>
      </w:pPr>
      <w:r>
        <w:rPr>
          <w:noProof/>
        </w:rPr>
        <w:t>Η Ελβετία πληροφόρησε την Επιτροπή (Eurostat) ότι είχε αποφασίσει να μην συλλέξει τριμηνιαία στοιχεία του ΔΚΕ.</w:t>
      </w:r>
    </w:p>
    <w:p>
      <w:pPr>
        <w:pStyle w:val="Text1"/>
        <w:spacing w:before="0" w:after="240" w:line="276" w:lineRule="auto"/>
        <w:ind w:left="0"/>
        <w:rPr>
          <w:noProof/>
          <w:szCs w:val="24"/>
        </w:rPr>
      </w:pPr>
      <w:r>
        <w:rPr>
          <w:noProof/>
        </w:rPr>
        <w:t>Παρά τη βελτίωση της κάλυψης των στοιχείων με εποχική διόρθωση, αποφασίστηκε, κατόπιν προσεκτικής ανάλυσης της ποιότητας των στοιχείων και των αναγκών των χρηστών, να εξακολουθήσουν να δημοσιεύονται τα διορθωμένα ως προς τις ημερολογιακές</w:t>
      </w:r>
      <w:r>
        <w:rPr>
          <w:noProof/>
        </w:rPr>
        <w:noBreakHyphen/>
        <w:t xml:space="preserve"> ημέρες στοιχεία ως βασικά αριθμητικά στοιχεία. Όλα τα στοιχεία, συμπεριλαμβανομένων των εποχικά διορθωμένων εκτιμήσεων, είναι διαθέσιμα στη σχετική σελίδα της βάσης δεδομένων της Eurostat, εξασφαλίζοντας έτσι σαφήνεια και συνοχή με άλλες στατιστικές τιμών (π.χ. εναρμονισμένος δείκτης τιμών καταναλωτή)</w:t>
      </w:r>
      <w:r>
        <w:rPr>
          <w:rStyle w:val="FootnoteReference"/>
          <w:noProof/>
        </w:rPr>
        <w:footnoteReference w:id="13"/>
      </w:r>
      <w:r>
        <w:rPr>
          <w:noProof/>
        </w:rPr>
        <w:t>.</w:t>
      </w:r>
    </w:p>
    <w:p>
      <w:pPr>
        <w:pStyle w:val="Text1"/>
        <w:spacing w:before="0" w:after="240" w:line="276" w:lineRule="auto"/>
        <w:ind w:left="0"/>
        <w:rPr>
          <w:noProof/>
          <w:szCs w:val="24"/>
        </w:rPr>
      </w:pPr>
      <w:r>
        <w:rPr>
          <w:noProof/>
        </w:rPr>
        <w:t>Όλα τα κράτη μέλη υπέβαλαν εθνικές εκθέσεις ποιότητας για το 2016. Οι εν λόγω εκθέσεις έχουν επικυρωθεί και είναι διαθέσιμες στο κοινό στον ιστότοπο της Eurostat</w:t>
      </w:r>
      <w:r>
        <w:rPr>
          <w:rStyle w:val="FootnoteReference"/>
          <w:noProof/>
        </w:rPr>
        <w:footnoteReference w:id="14"/>
      </w:r>
      <w:r>
        <w:rPr>
          <w:noProof/>
        </w:rPr>
        <w:t>.</w:t>
      </w:r>
    </w:p>
    <w:p>
      <w:pPr>
        <w:spacing w:after="240"/>
        <w:ind w:left="567" w:hanging="567"/>
        <w:jc w:val="both"/>
        <w:rPr>
          <w:noProof/>
          <w:szCs w:val="24"/>
        </w:rPr>
      </w:pPr>
      <w:r>
        <w:rPr>
          <w:rFonts w:ascii="Times New Roman" w:hAnsi="Times New Roman"/>
          <w:b/>
          <w:noProof/>
          <w:sz w:val="24"/>
        </w:rPr>
        <w:t>3.3</w:t>
      </w:r>
      <w:r>
        <w:rPr>
          <w:noProof/>
        </w:rPr>
        <w:tab/>
      </w:r>
      <w:r>
        <w:rPr>
          <w:rFonts w:ascii="Times New Roman" w:hAnsi="Times New Roman"/>
          <w:b/>
          <w:noProof/>
          <w:sz w:val="24"/>
        </w:rPr>
        <w:t>Έγκαιρη υποβολή</w:t>
      </w:r>
    </w:p>
    <w:p>
      <w:pPr>
        <w:pStyle w:val="Text1"/>
        <w:spacing w:before="0" w:after="240" w:line="276" w:lineRule="auto"/>
        <w:ind w:left="0"/>
        <w:rPr>
          <w:noProof/>
          <w:szCs w:val="24"/>
        </w:rPr>
      </w:pPr>
      <w:r>
        <w:rPr>
          <w:noProof/>
        </w:rPr>
        <w:t>Ο βαθμός έγκαιρης υποβολής των στοιχείων από τα κράτη μέλη στην Επιτροπή έχει βελτιωθεί από την προηγούμενη έκθεση και μετά, καθώς τα στοιχεία διαβιβάστηκαν έγκαιρα από την Ελλάδα, ενώ οι διαβιβάσεις της Κροατίας σημείωσαν καθυστέρηση το πολύ 1 ημέρας καθ’ όλη τη διάρκεια της περιόδου αναφοράς.</w:t>
      </w:r>
    </w:p>
    <w:p>
      <w:pPr>
        <w:spacing w:after="240"/>
        <w:jc w:val="both"/>
        <w:rPr>
          <w:rFonts w:ascii="Times New Roman" w:hAnsi="Times New Roman" w:cs="Times New Roman"/>
          <w:noProof/>
          <w:sz w:val="24"/>
          <w:szCs w:val="24"/>
        </w:rPr>
      </w:pPr>
      <w:r>
        <w:rPr>
          <w:rFonts w:ascii="Times New Roman" w:hAnsi="Times New Roman"/>
          <w:noProof/>
          <w:sz w:val="24"/>
        </w:rPr>
        <w:t>Η Νορβηγία διαβίβασε εγκαίρως τα στοιχεία του ΔΚΕ, όπως και η Ισλανδία (για τα δύο εν λόγω τρίμηνα).</w:t>
      </w:r>
    </w:p>
    <w:p>
      <w:pPr>
        <w:spacing w:after="240"/>
        <w:ind w:left="567" w:hanging="567"/>
        <w:jc w:val="both"/>
        <w:rPr>
          <w:noProof/>
          <w:szCs w:val="24"/>
        </w:rPr>
      </w:pPr>
      <w:r>
        <w:rPr>
          <w:rFonts w:ascii="Times New Roman" w:hAnsi="Times New Roman"/>
          <w:b/>
          <w:noProof/>
          <w:sz w:val="24"/>
        </w:rPr>
        <w:t>3.4</w:t>
      </w:r>
      <w:r>
        <w:rPr>
          <w:noProof/>
        </w:rPr>
        <w:tab/>
      </w:r>
      <w:r>
        <w:rPr>
          <w:rFonts w:ascii="Times New Roman" w:hAnsi="Times New Roman"/>
          <w:b/>
          <w:noProof/>
          <w:sz w:val="24"/>
        </w:rPr>
        <w:t>Ακρίβεια</w:t>
      </w:r>
    </w:p>
    <w:p>
      <w:pPr>
        <w:pStyle w:val="Text1"/>
        <w:spacing w:before="0" w:after="240" w:line="276" w:lineRule="auto"/>
        <w:ind w:left="0"/>
        <w:rPr>
          <w:noProof/>
        </w:rPr>
      </w:pPr>
      <w:r>
        <w:rPr>
          <w:noProof/>
        </w:rPr>
        <w:t xml:space="preserve">Ο ΔΚΕ είναι αποτέλεσμα διάφορων μεταβλητών (π.χ. κόστος εργασίας και πραγματικές ώρες εργασίας), οι οποίες μπορούν να ληφθούν από διάφορες πηγές. Αυτό σημαίνει ότι ανά πάσα στιγμή μπορεί να υπάρξουν αναθεωρήσεις, οι οποίες επηρεάζουν τα στοιχεία του τελευταίου τριμήνου, περισσότερων τριμήνων ή ολόκληρων ετών. Αν οι διορθώσεις των στοιχείων αφορούν το έτος αναφοράς, ολόκληρη η σειρά πρέπει να αναθεωρηθεί. </w:t>
      </w:r>
    </w:p>
    <w:p>
      <w:pPr>
        <w:pStyle w:val="Text1"/>
        <w:spacing w:before="0" w:after="240" w:line="276" w:lineRule="auto"/>
        <w:ind w:left="0"/>
        <w:rPr>
          <w:noProof/>
        </w:rPr>
      </w:pPr>
      <w:r>
        <w:rPr>
          <w:noProof/>
        </w:rPr>
        <w:t>Οι αναθεωρήσεις του βασικού αριθμητικού στοιχείου της ΕΕ</w:t>
      </w:r>
      <w:r>
        <w:rPr>
          <w:rStyle w:val="FootnoteReference"/>
          <w:noProof/>
        </w:rPr>
        <w:footnoteReference w:id="15"/>
      </w:r>
      <w:r>
        <w:rPr>
          <w:noProof/>
        </w:rPr>
        <w:t xml:space="preserve"> (ετήσιο </w:t>
      </w:r>
      <w:r>
        <w:rPr>
          <w:noProof/>
        </w:rPr>
        <w:noBreakHyphen/>
      </w:r>
      <w:r>
        <w:rPr>
          <w:noProof/>
        </w:rPr>
        <w:noBreakHyphen/>
        <w:t xml:space="preserve">ποσοστό αύξησης) έχουν υπερβεί τις 0,2 εκατοστιαίες μονάδες δύο φορές (προς τα πάνω και στις δύο περιπτώσεις) από το πρώτο τρίμηνο του 1 και μετά (βλ. διάγραμμα 1). Αυτό οφείλεται τις σημαντικές αναθεωρήσεις που καταγράφηκαν στο Ηνωμένο Βασίλειο κατά τη διαβίβαση του Μαρτίου 2018. Στο σημείο αυτό, το ΗΒ άρχισε να προβαίνει σε ημερολογιακή </w:t>
      </w:r>
      <w:r>
        <w:rPr>
          <w:noProof/>
        </w:rPr>
        <w:noBreakHyphen/>
        <w:t>διόρθωση περισσότερων σειρών, γεγονός που επηρέασε τα συγκεντρωτικά μεγέθη των τομέων Β έως Σ, τα οποία, ως εκ τούτου, αναθεωρήθηκαν σε σημαντικό βαθμό. Μόνο δύο άλλες χώρες (η Γερμανία και οι Κάτω Χώρες) κατέγραψαν αξιοσημείωτες αναθεωρήσεις· οι αναθεωρήσεις αυτές ήταν δεόντως τεκμηριωμένες.</w:t>
      </w:r>
    </w:p>
    <w:p>
      <w:pPr>
        <w:rPr>
          <w:rFonts w:ascii="Times New Roman" w:hAnsi="Times New Roman" w:cs="Times New Roman"/>
          <w:b/>
          <w:i/>
          <w:noProof/>
          <w:sz w:val="24"/>
          <w:szCs w:val="24"/>
        </w:rPr>
      </w:pPr>
      <w:r>
        <w:rPr>
          <w:noProof/>
        </w:rPr>
        <w:br w:type="page"/>
      </w:r>
    </w:p>
    <w:p>
      <w:pPr>
        <w:spacing w:after="240"/>
        <w:ind w:left="1134" w:hanging="1134"/>
        <w:jc w:val="both"/>
        <w:rPr>
          <w:rFonts w:ascii="Times New Roman" w:hAnsi="Times New Roman" w:cs="Times New Roman"/>
          <w:b/>
          <w:i/>
          <w:noProof/>
          <w:sz w:val="24"/>
          <w:szCs w:val="24"/>
        </w:rPr>
      </w:pPr>
      <w:r>
        <w:rPr>
          <w:rFonts w:ascii="Times New Roman" w:hAnsi="Times New Roman"/>
          <w:b/>
          <w:i/>
          <w:noProof/>
          <w:sz w:val="24"/>
        </w:rPr>
        <w:t xml:space="preserve">Διάγραμμα 1: </w:t>
      </w:r>
      <w:r>
        <w:rPr>
          <w:noProof/>
        </w:rPr>
        <w:tab/>
      </w:r>
      <w:r>
        <w:rPr>
          <w:rFonts w:ascii="Times New Roman" w:hAnsi="Times New Roman"/>
          <w:b/>
          <w:i/>
          <w:noProof/>
          <w:sz w:val="24"/>
        </w:rPr>
        <w:t>Μεταβολές των στοιχείων μεταξύ του πρώτου δημοσιευθέντος αριθμητικού στοιχείου και της δημοσίευσης των αριθμητικών στοιχείων του 2018Q1 για τους τομείς Β έως Σ της NACE αναθ. 2 για την ΕΕ-28 (συγκεντρωτικά στοιχεία σε ποσοστιαίες μονάδες)</w:t>
      </w:r>
    </w:p>
    <w:p>
      <w:pPr>
        <w:jc w:val="center"/>
        <w:rPr>
          <w:noProof/>
          <w:highlight w:val="yellow"/>
        </w:rPr>
      </w:pPr>
      <w:r>
        <w:rPr>
          <w:noProof/>
          <w:lang w:val="en-GB" w:eastAsia="en-GB" w:bidi="ar-SA"/>
        </w:rPr>
        <w:drawing>
          <wp:inline distT="0" distB="0" distL="0" distR="0">
            <wp:extent cx="4451985" cy="266319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1985" cy="2663190"/>
                    </a:xfrm>
                    <a:prstGeom prst="rect">
                      <a:avLst/>
                    </a:prstGeom>
                    <a:noFill/>
                    <a:ln>
                      <a:noFill/>
                    </a:ln>
                  </pic:spPr>
                </pic:pic>
              </a:graphicData>
            </a:graphic>
          </wp:inline>
        </w:drawing>
      </w:r>
    </w:p>
    <w:p>
      <w:pPr>
        <w:pStyle w:val="Text1"/>
        <w:spacing w:before="0" w:after="240" w:line="276" w:lineRule="auto"/>
        <w:ind w:left="0"/>
        <w:rPr>
          <w:noProof/>
          <w:szCs w:val="24"/>
        </w:rPr>
      </w:pPr>
      <w:r>
        <w:rPr>
          <w:noProof/>
        </w:rPr>
        <w:t>Από την προηγούμενη έκθεση και μετά δεν έχει καταγραφεί σημαντική αναθεώρηση στα στοιχεία του ΔΚΕ που διαβίβασε η Ελλάδα, πράγμα που είναι αποτέλεσμα της συνεργασίας μεταξύ της ΕΛΣΤΑΤ και της Επιτροπής (Eurostat) για τη βελτίωση της μεθοδολογίας της χώρας για τον ΔΚΕ.</w:t>
      </w:r>
    </w:p>
    <w:p>
      <w:pPr>
        <w:spacing w:after="240"/>
        <w:ind w:left="567" w:hanging="567"/>
        <w:jc w:val="both"/>
        <w:rPr>
          <w:smallCaps/>
          <w:noProof/>
          <w:szCs w:val="24"/>
        </w:rPr>
      </w:pPr>
      <w:r>
        <w:rPr>
          <w:rFonts w:ascii="Times New Roman" w:hAnsi="Times New Roman"/>
          <w:b/>
          <w:noProof/>
          <w:sz w:val="24"/>
        </w:rPr>
        <w:t xml:space="preserve">3.5 </w:t>
      </w:r>
      <w:r>
        <w:rPr>
          <w:noProof/>
        </w:rPr>
        <w:tab/>
      </w:r>
      <w:r>
        <w:rPr>
          <w:rFonts w:ascii="Times New Roman" w:hAnsi="Times New Roman"/>
          <w:b/>
          <w:noProof/>
          <w:sz w:val="24"/>
        </w:rPr>
        <w:t>Συγκρισιμότητα</w:t>
      </w:r>
    </w:p>
    <w:p>
      <w:pPr>
        <w:pStyle w:val="Text1"/>
        <w:spacing w:before="0" w:after="240" w:line="276" w:lineRule="auto"/>
        <w:ind w:left="0"/>
        <w:rPr>
          <w:noProof/>
        </w:rPr>
      </w:pPr>
      <w:r>
        <w:rPr>
          <w:noProof/>
        </w:rPr>
        <w:t>Η συγκρισιμότητα μεταξύ των χωρών εξασφαλίζεται με τους λεπτομερείς κοινούς ορισμούς και τη μεθοδολογία που καθορίζονται στη νομοθεσία σχετικά με τον ΔΚΕ. Τα κράτη μέλη πληρούν τις απαιτήσεις της ΕΕ με τις πηγές στοιχείων που είναι διαθέσιμες σε εθνικό επίπεδο. Τα περισσότερα χρησιμοποιούν έρευνες ή συνδυασμό ερευνών και διοικητικών στοιχείων· δύο κράτη μέλη βασίζονται αποκλειστικά σε διοικητικές πηγές.</w:t>
      </w:r>
    </w:p>
    <w:p>
      <w:pPr>
        <w:pStyle w:val="Text1"/>
        <w:spacing w:before="0" w:after="240" w:line="276" w:lineRule="auto"/>
        <w:ind w:left="0"/>
        <w:rPr>
          <w:noProof/>
          <w:szCs w:val="24"/>
        </w:rPr>
      </w:pPr>
      <w:r>
        <w:rPr>
          <w:noProof/>
        </w:rPr>
        <w:t>Για τη δημοσίευση διαχρονικά συγκρίσιμων στοιχείων για τον ΔΚΕ είναι σημαντική η διόρθωση των ημερολογιακών και εποχικών συνεπειών. Τα βασικά αριθμητικά στοιχεία διορθώνονται ως προς τις ημερολογιακές συνέπειες και η εποχικότητα αντισταθμίζεται από τη σύγκριση των ίδιων τριμήνων σε δύο διαδοχικά έτη.</w:t>
      </w:r>
    </w:p>
    <w:p>
      <w:pPr>
        <w:pStyle w:val="Text1"/>
        <w:spacing w:before="0" w:after="240" w:line="276" w:lineRule="auto"/>
        <w:ind w:left="0"/>
        <w:rPr>
          <w:noProof/>
          <w:szCs w:val="24"/>
        </w:rPr>
      </w:pPr>
      <w:r>
        <w:rPr>
          <w:noProof/>
        </w:rPr>
        <w:t xml:space="preserve">Σύμφωνα με το άρθρο 1 του κανονισμού (ΕΚ) αριθ. 1216/2003, τα στοιχεία για τον ΔΚΕ πρέπει να παρέχονται χωρίς </w:t>
      </w:r>
      <w:r>
        <w:rPr>
          <w:noProof/>
        </w:rPr>
        <w:noBreakHyphen/>
        <w:t xml:space="preserve">εποχική διόρθωση, με ημερολογιακή </w:t>
      </w:r>
      <w:r>
        <w:rPr>
          <w:noProof/>
        </w:rPr>
        <w:noBreakHyphen/>
        <w:t>διόρθωση και με ημερολογιακή και εποχική διόρθωση.</w:t>
      </w:r>
    </w:p>
    <w:p>
      <w:pPr>
        <w:pStyle w:val="Text1"/>
        <w:spacing w:before="0" w:after="240" w:line="276" w:lineRule="auto"/>
        <w:ind w:left="0"/>
        <w:rPr>
          <w:noProof/>
          <w:szCs w:val="24"/>
        </w:rPr>
      </w:pPr>
      <w:r>
        <w:rPr>
          <w:noProof/>
        </w:rPr>
        <w:t>Ο κανονισμός (ΕΚ) αριθ. 450/2003 δεν ορίζει κατά πόσον η ημερολογιακή και η εποχική διόρθωση πρέπει να γίνονται με τη χρήση της άμεσης ή της έμμεσης προσέγγισης. Η έμμεση διόρθωση πραγματοποιείται με τη διόρθωση της βασικής σειράς και, στη συνέχεια, τη χρήση της για την κατάρτιση συγκεντρωτικών στατιστικών υψηλότερου επιπέδου. Η άμεση διόρθωση πραγματοποιείται με την ατομική διόρθωση κάθε μεμονωμένης σειράς, συμπεριλαμβανομένων των συγκεντρωτικών στατιστικών υψηλότερου επιπέδου.</w:t>
      </w:r>
    </w:p>
    <w:p>
      <w:pPr>
        <w:pStyle w:val="Text1"/>
        <w:spacing w:before="0" w:after="240" w:line="276" w:lineRule="auto"/>
        <w:ind w:left="0"/>
        <w:rPr>
          <w:noProof/>
          <w:szCs w:val="24"/>
        </w:rPr>
      </w:pPr>
      <w:r>
        <w:rPr>
          <w:noProof/>
        </w:rPr>
        <w:t>Στην περίπτωση των ΔΚΕ, η Eurostat συνιστά τη χρήση της έμμεσης προσέγγισης προκειμένου να αποφευχθούν τυχόν ασυνέπειες μεταξύ του συνολικού κόστους εργασίας και των επιμέρους συνιστωσών. Οι εν λόγω ασυνέπειες εντοπίζονται εύκολα από τους χρήστες και ενδέχεται να εγείρουν αμφιβολίες ως προς τη συνολική ποιότητα του ΔΚΕ.</w:t>
      </w:r>
    </w:p>
    <w:p>
      <w:pPr>
        <w:pStyle w:val="Text1"/>
        <w:spacing w:before="0" w:after="240" w:line="276" w:lineRule="auto"/>
        <w:ind w:left="0"/>
        <w:rPr>
          <w:noProof/>
          <w:szCs w:val="24"/>
        </w:rPr>
      </w:pPr>
      <w:r>
        <w:rPr>
          <w:noProof/>
        </w:rPr>
        <w:t>Με τη χρήση των νέων προγραμμάτων ΤΠ (βλ. τμήμα 2.2) η πολιτική της Eurostat πρέπει να εντοπίζει τις ασυνέπειες 0,1 ποσοστιαίων μονάδων ή και περισσότερο (μετά τη στρογγυλοποίηση) μεταξύ των συνόλων και των επιμέρους συνιστωσών και να τις αναφέρει στην οικεία χώρα στο πλαίσιο έκθεσης επικύρωσης. Στη συνέχεια, ο συνολικός ΔΚΕ υπολογίζεται εκ νέου με βάση τις μισθολογικές και τις μη μισθολογικές συνιστώσες (έμμεση προσέγγιση).</w:t>
      </w:r>
    </w:p>
    <w:p>
      <w:pPr>
        <w:pStyle w:val="Text1"/>
        <w:spacing w:before="0" w:after="240" w:line="276" w:lineRule="auto"/>
        <w:ind w:left="0"/>
        <w:rPr>
          <w:noProof/>
          <w:szCs w:val="24"/>
        </w:rPr>
      </w:pPr>
      <w:r>
        <w:rPr>
          <w:noProof/>
        </w:rPr>
        <w:t>Συνεπώς, οι δείκτες υπολογίζονται με τη χρήση μιας εναρμονισμένης προσέγγισης για όλα τα κράτη μέλη, έτσι ώστε να εξασφαλίζεται μεγαλύτερη συγκρισιμότητα.</w:t>
      </w:r>
    </w:p>
    <w:p>
      <w:pPr>
        <w:spacing w:after="240"/>
        <w:ind w:left="567" w:hanging="567"/>
        <w:jc w:val="both"/>
        <w:rPr>
          <w:b/>
          <w:noProof/>
          <w:szCs w:val="24"/>
        </w:rPr>
      </w:pPr>
      <w:r>
        <w:rPr>
          <w:rFonts w:ascii="Times New Roman" w:hAnsi="Times New Roman"/>
          <w:b/>
          <w:noProof/>
          <w:sz w:val="24"/>
        </w:rPr>
        <w:t xml:space="preserve">3.6 </w:t>
      </w:r>
      <w:r>
        <w:rPr>
          <w:noProof/>
        </w:rPr>
        <w:tab/>
      </w:r>
      <w:r>
        <w:rPr>
          <w:rFonts w:ascii="Times New Roman" w:hAnsi="Times New Roman"/>
          <w:b/>
          <w:noProof/>
          <w:sz w:val="24"/>
        </w:rPr>
        <w:t>Συνοχή με τα στοιχεία των εθνικών λογαριασμών</w:t>
      </w:r>
    </w:p>
    <w:p>
      <w:pPr>
        <w:pStyle w:val="Text1"/>
        <w:spacing w:before="0" w:after="240" w:line="276" w:lineRule="auto"/>
        <w:ind w:left="0"/>
        <w:rPr>
          <w:noProof/>
          <w:szCs w:val="24"/>
        </w:rPr>
      </w:pPr>
      <w:r>
        <w:rPr>
          <w:noProof/>
        </w:rPr>
        <w:t>Ένας από τους τομείς που εξακολουθεί να χρήζει προσοχής είναι η συνοχή του ΔΚΕ με άλλες στατιστικές σχετικά με το κόστος εργασίας, ιδίως με τα τριμηνιαία στοιχεία για τους εθνικούς λογαριασμούς.</w:t>
      </w:r>
    </w:p>
    <w:p>
      <w:pPr>
        <w:pStyle w:val="Text1"/>
        <w:spacing w:before="0" w:after="240" w:line="276" w:lineRule="auto"/>
        <w:ind w:left="0"/>
        <w:rPr>
          <w:noProof/>
          <w:szCs w:val="24"/>
        </w:rPr>
      </w:pPr>
      <w:r>
        <w:rPr>
          <w:noProof/>
        </w:rPr>
        <w:t>Για την ετήσια έκθεση ποιότητας, ζητείται από τα κράτη μέλη να συγκρίνουν το ποσοστό αύξησης του ΔΚΕ με το ποσοστό αύξησης του ωρομισθίου των εργαζομένων, όπως προβλέπεται στους εθνικούς λογαριασμούς (ορισμός ΕΣΛ2010)</w:t>
      </w:r>
      <w:r>
        <w:rPr>
          <w:rStyle w:val="FootnoteReference"/>
          <w:noProof/>
        </w:rPr>
        <w:footnoteReference w:id="16"/>
      </w:r>
      <w:r>
        <w:rPr>
          <w:noProof/>
        </w:rPr>
        <w:t>. Δεν είναι ρεαλιστικό να αναμένεται τα αριθμητικά στοιχεία να είναι ακριβώς τα ίδια. Ακόμη και αν χρησιμοποιούνται σχεδόν πανομοιότυποι ορισμοί του κόστους εργασίας, η στατιστική επεξεργασία και οι πηγές μπορεί να διαφέρουν. Και στις δύο περιπτώσεις είναι πολύ δύσκολο να συγκεντρωθούν στοιχεία σχετικά με τις πραγματικές ώρες εργασίας. Παρά τις μεθοδολογικές διαφορές, είναι διαφωτιστικό να αναλυθεί η έκταση των αποκλίσεων μεταξύ των δύο συνόλων στοιχείων. Αν υπερβαίνουν ένα συγκεκριμένο όριο, αυτό μπορεί να υποδηλώνει ζητήματα ποιότητας στο ένα ή στο άλλο σύνολο στοιχείων.</w:t>
      </w:r>
    </w:p>
    <w:p>
      <w:pPr>
        <w:pStyle w:val="Text1"/>
        <w:spacing w:before="0" w:after="240" w:line="276" w:lineRule="auto"/>
        <w:ind w:left="0"/>
        <w:rPr>
          <w:noProof/>
          <w:szCs w:val="24"/>
        </w:rPr>
      </w:pPr>
      <w:r>
        <w:rPr>
          <w:noProof/>
        </w:rPr>
        <w:t>Η Eurostat διενήργησε άσκηση ποιότητας για τα συγκεντρωτικά στοιχεία των τομέων Β έως Σ της NACE αναθ. 2 για κάθε κράτος μέλος. Για τη σύγκριση αυτή χρησιμοποιήθηκαν στοιχεία για τον ΔΚΕ χωρίς εποχική διόρθωση, εκτός από τη Δανία και τη Σουηδία, για τις οποίες υπήρχαν διαθέσιμα στοιχεία με ημερολογιακή διόρθωση</w:t>
      </w:r>
      <w:r>
        <w:rPr>
          <w:noProof/>
        </w:rPr>
        <w:noBreakHyphen/>
        <w:t>. Ο μέσος ετήσιος ρυθμός αύξησης του ΔΚΕ συγκρίθηκε με το ωρομίσθιο των εργαζομένων για χρονικό διάστημα 10 τριμήνων. Οι διακυμάνσεις άνω των 1 ποσοστιαίων μονάδων θεωρήθηκε ότι χρήζουν περαιτέρω ανάλυσης. Αυτό συνέβη στην περίπτωση της Κροατίας (5,1 ποσοστιαίες μονάδες), της Ελλάδας (2,2 ποσοστιαίες μονάδες), της Ρουμανίας (1,1 ποσοστιαίες μονάδες), της Ιρλανδίας (1,4 ποσοστιαίες μονάδες), της Μάλτας (1,2 ποσοστιαίες μονάδες) και της Σλοβενίας (1,1 ποσοστιαίες μονάδες) (βλ. διάγραμμα 2).</w:t>
      </w:r>
    </w:p>
    <w:p>
      <w:pPr>
        <w:pStyle w:val="Text1"/>
        <w:spacing w:before="0" w:after="240" w:line="276" w:lineRule="auto"/>
        <w:ind w:left="0"/>
        <w:rPr>
          <w:noProof/>
          <w:szCs w:val="24"/>
        </w:rPr>
      </w:pPr>
      <w:r>
        <w:rPr>
          <w:noProof/>
        </w:rPr>
        <w:t>Τα αποτελέσματα της ανάλυσης θα εξεταστούν περαιτέρω σε συνεργασία με τα εν λόγω κράτη μέλη, ιδίως όσον αφορά τα στοιχεία σχετικά με τις πραγματικές ώρες εργασίας.</w:t>
      </w:r>
    </w:p>
    <w:p>
      <w:pPr>
        <w:rPr>
          <w:rFonts w:ascii="Times New Roman" w:hAnsi="Times New Roman" w:cs="Times New Roman"/>
          <w:b/>
          <w:i/>
          <w:noProof/>
          <w:sz w:val="24"/>
          <w:szCs w:val="24"/>
        </w:rPr>
      </w:pPr>
      <w:r>
        <w:rPr>
          <w:noProof/>
        </w:rPr>
        <w:br w:type="page"/>
      </w:r>
    </w:p>
    <w:p>
      <w:pPr>
        <w:spacing w:after="240"/>
        <w:ind w:left="1134" w:hanging="1134"/>
        <w:jc w:val="both"/>
        <w:rPr>
          <w:rFonts w:ascii="Times New Roman" w:hAnsi="Times New Roman" w:cs="Times New Roman"/>
          <w:b/>
          <w:i/>
          <w:noProof/>
          <w:sz w:val="24"/>
          <w:szCs w:val="24"/>
          <w:vertAlign w:val="superscript"/>
        </w:rPr>
      </w:pPr>
      <w:r>
        <w:rPr>
          <w:rFonts w:ascii="Times New Roman" w:hAnsi="Times New Roman"/>
          <w:b/>
          <w:i/>
          <w:noProof/>
          <w:sz w:val="24"/>
        </w:rPr>
        <w:t xml:space="preserve">Διάγραμμα 2: </w:t>
      </w:r>
      <w:r>
        <w:rPr>
          <w:noProof/>
        </w:rPr>
        <w:tab/>
      </w:r>
      <w:r>
        <w:rPr>
          <w:rFonts w:ascii="Times New Roman" w:hAnsi="Times New Roman"/>
          <w:b/>
          <w:i/>
          <w:noProof/>
          <w:sz w:val="24"/>
        </w:rPr>
        <w:t>Μέσος ετήσιος ρυθμός αύξησης του ΔΚΕ έναντι ωρομισθίου εργαζομένων (ΕΛ) — περίοδος αναφοράς 2015Q4-2018Q1</w:t>
      </w:r>
      <w:r>
        <w:rPr>
          <w:rFonts w:ascii="Times New Roman" w:hAnsi="Times New Roman"/>
          <w:b/>
          <w:i/>
          <w:noProof/>
          <w:sz w:val="24"/>
          <w:vertAlign w:val="superscript"/>
        </w:rPr>
        <w:t>*</w:t>
      </w:r>
    </w:p>
    <w:p>
      <w:pPr>
        <w:pStyle w:val="Text1"/>
        <w:spacing w:before="0" w:after="240" w:line="276" w:lineRule="auto"/>
        <w:ind w:left="0"/>
        <w:rPr>
          <w:noProof/>
          <w:szCs w:val="24"/>
        </w:rPr>
      </w:pPr>
      <w:r>
        <w:rPr>
          <w:rFonts w:eastAsiaTheme="minorHAnsi"/>
          <w:noProof/>
          <w:lang w:val="en-GB" w:eastAsia="en-GB" w:bidi="ar-SA"/>
        </w:rPr>
        <w:drawing>
          <wp:inline distT="0" distB="0" distL="0" distR="0">
            <wp:extent cx="5760720" cy="2732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732771"/>
                    </a:xfrm>
                    <a:prstGeom prst="rect">
                      <a:avLst/>
                    </a:prstGeom>
                    <a:noFill/>
                    <a:ln>
                      <a:noFill/>
                    </a:ln>
                  </pic:spPr>
                </pic:pic>
              </a:graphicData>
            </a:graphic>
          </wp:inline>
        </w:drawing>
      </w:r>
      <w:r>
        <w:rPr>
          <w:noProof/>
        </w:rPr>
        <w:t>Εκτός από τη μέση τιμή, συγκρίναμε την τυπική απόκλιση των ετήσιων ρυθμών ανάπτυξης των σειρών του ΔΚΕ και των ΕΛ, ως δείκτη μεταβλητότητας. Η τυπική απόκλιση της σειράς του ΔΚΕ ήταν  πάνω από τη σειρά των ΕΛ κατά περισσότερο από 2 ποσοστιαίες μονάδες σε μία μόνο περίπτωση: στη Σουηδία, με αποκλίσεις 2,8 % και 0,6 % αντίστοιχα. Η Σουηδία θα διερευνήσει τα αίτια αυτής της διαφοράς και θα ενημερώσει την Eurostat σχετικά με τα πορίσματά της.</w:t>
      </w:r>
    </w:p>
    <w:p>
      <w:pPr>
        <w:pStyle w:val="ManualHeading1"/>
        <w:tabs>
          <w:tab w:val="clear" w:pos="850"/>
        </w:tabs>
        <w:spacing w:before="0" w:after="240"/>
        <w:ind w:left="567" w:hanging="567"/>
        <w:rPr>
          <w:noProof/>
          <w:szCs w:val="24"/>
        </w:rPr>
      </w:pPr>
      <w:r>
        <w:rPr>
          <w:noProof/>
        </w:rPr>
        <w:t>4.</w:t>
      </w:r>
      <w:r>
        <w:rPr>
          <w:noProof/>
        </w:rPr>
        <w:tab/>
        <w:t>Συμπεράσματα</w:t>
      </w:r>
    </w:p>
    <w:p>
      <w:pPr>
        <w:pStyle w:val="Text1"/>
        <w:spacing w:before="0" w:after="240" w:line="276" w:lineRule="auto"/>
        <w:ind w:left="0"/>
        <w:rPr>
          <w:noProof/>
          <w:szCs w:val="24"/>
        </w:rPr>
      </w:pPr>
      <w:r>
        <w:rPr>
          <w:noProof/>
          <w:color w:val="000000"/>
        </w:rPr>
        <w:t xml:space="preserve">Συνολικά, η ποιότητα των στοιχείων των ΔΚΕ των </w:t>
      </w:r>
      <w:r>
        <w:rPr>
          <w:noProof/>
        </w:rPr>
        <w:t xml:space="preserve">κρατών μελών και των συγκεντρωτικών στοιχείων της ΕΕ </w:t>
      </w:r>
      <w:r>
        <w:rPr>
          <w:noProof/>
          <w:color w:val="000000"/>
        </w:rPr>
        <w:t>εξακολούθησε να βελτιώνεται από την προηγούμενη έκθεση του 2017 και μετά, ιδίως όσον αφορά τον βαθμό έγκαιρης υποβολής των στοιχείων από τα κράτη μέλη, ο οποίος πλέον είναι σχεδόν απόλυτα ικανοποιητικός.</w:t>
      </w:r>
    </w:p>
    <w:p>
      <w:pPr>
        <w:pStyle w:val="Text1"/>
        <w:spacing w:before="0" w:after="240" w:line="276" w:lineRule="auto"/>
        <w:ind w:left="0"/>
        <w:rPr>
          <w:noProof/>
          <w:szCs w:val="24"/>
        </w:rPr>
      </w:pPr>
      <w:r>
        <w:rPr>
          <w:noProof/>
          <w:color w:val="000000"/>
        </w:rPr>
        <w:t>Οι εκθέσεις των κρατών μελών για την ποιότητα υποβλήθηκαν σε επεξεργασία με τη χρήση της τελευταίας έκδοσης του ευρωπαϊκού διαχειριστή μεταδεδομένων στατιστικών συστημάτων και τέθηκαν στη διάθεση όλων των χρηστών.</w:t>
      </w:r>
    </w:p>
    <w:p>
      <w:pPr>
        <w:pStyle w:val="Text1"/>
        <w:spacing w:before="0" w:line="276" w:lineRule="auto"/>
        <w:ind w:left="0"/>
        <w:rPr>
          <w:noProof/>
          <w:color w:val="000000"/>
        </w:rPr>
      </w:pPr>
      <w:r>
        <w:rPr>
          <w:noProof/>
          <w:color w:val="000000"/>
        </w:rPr>
        <w:t>Η χρήση του προτύπου SDMX επεκτάθηκε και έχουν τεθεί σε εφαρμογή οι τελευταίες βελτιώσεις στον μορφότυπο του εν λόγω προτύπου. Ο πλήρης ανα</w:t>
      </w:r>
      <w:r>
        <w:rPr>
          <w:noProof/>
        </w:rPr>
        <w:noBreakHyphen/>
      </w:r>
      <w:r>
        <w:rPr>
          <w:noProof/>
          <w:color w:val="000000"/>
        </w:rPr>
        <w:t>σχεδιασμός των προγραμμάτων ΤΠ κατέστησε δυνατή:</w:t>
      </w:r>
    </w:p>
    <w:p>
      <w:pPr>
        <w:pStyle w:val="Text1"/>
        <w:numPr>
          <w:ilvl w:val="0"/>
          <w:numId w:val="3"/>
        </w:numPr>
        <w:spacing w:before="0" w:line="276" w:lineRule="auto"/>
        <w:ind w:left="851" w:hanging="426"/>
        <w:rPr>
          <w:noProof/>
        </w:rPr>
      </w:pPr>
      <w:r>
        <w:rPr>
          <w:noProof/>
          <w:color w:val="000000"/>
        </w:rPr>
        <w:t>τη βελτίωση της αξιοπιστίας της αλυσίδας παραγωγής·</w:t>
      </w:r>
    </w:p>
    <w:p>
      <w:pPr>
        <w:pStyle w:val="Text1"/>
        <w:numPr>
          <w:ilvl w:val="0"/>
          <w:numId w:val="3"/>
        </w:numPr>
        <w:spacing w:before="0" w:line="276" w:lineRule="auto"/>
        <w:ind w:left="851" w:hanging="426"/>
        <w:rPr>
          <w:noProof/>
        </w:rPr>
      </w:pPr>
      <w:r>
        <w:rPr>
          <w:noProof/>
          <w:color w:val="000000"/>
        </w:rPr>
        <w:t xml:space="preserve">την εξασφάλιση της συνέπειας μεταξύ των συνόλων και των επιμέρους συνιστωσών ήδη από τον σχεδιασμό· και </w:t>
      </w:r>
    </w:p>
    <w:p>
      <w:pPr>
        <w:pStyle w:val="Text1"/>
        <w:numPr>
          <w:ilvl w:val="0"/>
          <w:numId w:val="3"/>
        </w:numPr>
        <w:spacing w:before="0" w:after="240" w:line="276" w:lineRule="auto"/>
        <w:ind w:left="851" w:hanging="426"/>
        <w:rPr>
          <w:noProof/>
        </w:rPr>
      </w:pPr>
      <w:r>
        <w:rPr>
          <w:noProof/>
          <w:color w:val="000000"/>
        </w:rPr>
        <w:t>την παραγωγή νέων δεικτών, όπως π.χ. οι ετήσιοι ρυθμοί ανάπτυξης και το μέγεθος της μη μισθολογικής συνιστώσας.</w:t>
      </w:r>
    </w:p>
    <w:p>
      <w:pPr>
        <w:pStyle w:val="Text1"/>
        <w:spacing w:before="0" w:after="240" w:line="276" w:lineRule="auto"/>
        <w:ind w:left="0"/>
        <w:rPr>
          <w:noProof/>
          <w:color w:val="000000"/>
        </w:rPr>
      </w:pPr>
      <w:r>
        <w:rPr>
          <w:noProof/>
          <w:color w:val="000000"/>
        </w:rPr>
        <w:t>Το 2017 η Επιτροπή (Eurostat) άρχισε να δημοσιεύει ετήσιες εκτιμήσεις του ωριαίου κόστους εργασίας κατά τομέα της NACE αναθ. 2, με βάση τα επίπεδα των ερευνών για το κόστος εργασίας και τις τάσεις του ΔΚΕ. Έχει λάβει θετική ανατροφοδότηση από τους χρήστες, ορισμένοι από τους οποίους χρησιμοποίησαν τα στοιχεία για την παρακολούθηση των μισθολογικών εξελίξεων στην Ευρώπη και του αντικτύπου τους στην οικονομική σύγκλιση.</w:t>
      </w:r>
    </w:p>
    <w:p>
      <w:pPr>
        <w:pStyle w:val="Text1"/>
        <w:spacing w:before="0" w:after="240" w:line="276" w:lineRule="auto"/>
        <w:ind w:left="0"/>
        <w:rPr>
          <w:noProof/>
        </w:rPr>
      </w:pPr>
      <w:r>
        <w:rPr>
          <w:noProof/>
          <w:color w:val="000000"/>
        </w:rPr>
        <w:t>Η Επιτροπή θα εξακολουθήσει να παρακολουθεί τη συμμόρφωση και την ποιότητα των στοιχείων σε τακτική βάση, χρησιμοποιώντας τα υποβαλλόμενα στοιχεία και άλλα εθνικά έγγραφα τεκμηρίωσης, συμπεριλαμβανομένων των εκθέσεων ποιότητας. Σε περίπτωση που υπάρχει μικρή ή καθόλου βελτίωση, θα παρακολουθεί εκ του σύνεγγυς τις αρμόδιες εθνικές στατιστικές αρχές.</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i/>
        </w:rPr>
      </w:pPr>
      <w:r>
        <w:rPr>
          <w:rStyle w:val="FootnoteReference"/>
        </w:rPr>
        <w:footnoteRef/>
      </w:r>
      <w:r>
        <w:tab/>
      </w:r>
      <w:r>
        <w:rPr>
          <w:rStyle w:val="Emphasis"/>
          <w:i w:val="0"/>
        </w:rPr>
        <w:t>ΕΕ L 69 της 13.3.2003, σ. 1.</w:t>
      </w:r>
    </w:p>
  </w:footnote>
  <w:footnote w:id="2">
    <w:p>
      <w:pPr>
        <w:pStyle w:val="FootnoteText"/>
        <w:ind w:left="284" w:hanging="284"/>
        <w:jc w:val="both"/>
      </w:pPr>
      <w:r>
        <w:rPr>
          <w:rStyle w:val="FootnoteReference"/>
        </w:rPr>
        <w:footnoteRef/>
      </w:r>
      <w:r>
        <w:tab/>
        <w:t xml:space="preserve">Το τριμηνιαίο δελτίο Τύπου δημοσιεύεται στις ημερομηνίες που ορίζονται στο ημερολόγιο δημοσίευσης· και τα δύο περιλαμβάνονται στον ιστότοπο της Eurostat (στα αγγλικά, γαλλικά και γερμανικά)· </w:t>
      </w:r>
      <w:hyperlink r:id="rId1">
        <w:r>
          <w:rPr>
            <w:rStyle w:val="Hyperlink"/>
          </w:rPr>
          <w:t>http://ec.europa.eu/eurostat</w:t>
        </w:r>
      </w:hyperlink>
    </w:p>
  </w:footnote>
  <w:footnote w:id="3">
    <w:p>
      <w:pPr>
        <w:pStyle w:val="FootnoteText"/>
        <w:ind w:left="284" w:hanging="284"/>
        <w:jc w:val="both"/>
        <w:rPr>
          <w:i/>
        </w:rPr>
      </w:pPr>
      <w:r>
        <w:rPr>
          <w:rStyle w:val="FootnoteReference"/>
        </w:rPr>
        <w:footnoteRef/>
      </w:r>
      <w:r>
        <w:tab/>
      </w:r>
      <w:r>
        <w:rPr>
          <w:rStyle w:val="Strong"/>
          <w:b w:val="0"/>
        </w:rPr>
        <w:t>Κανονισμός (ΕΚ) αριθ. 1216/2003 της Επιτροπής, της 7ης Ιουλίου 2003, για την εφαρμογή του κανονισμού (ΕΚ) αριθ. 450/2003 του Ευρωπαϊκού Κοινοβουλίου και του Συμβουλίου όσον αφορά τον δείκτη κόστους εργασίας (</w:t>
      </w:r>
      <w:r>
        <w:t xml:space="preserve">ΕΕ </w:t>
      </w:r>
      <w:r>
        <w:rPr>
          <w:rStyle w:val="Emphasis"/>
          <w:i w:val="0"/>
        </w:rPr>
        <w:t>L 169 της 8.7.2003, σ. 37).</w:t>
      </w:r>
    </w:p>
  </w:footnote>
  <w:footnote w:id="4">
    <w:p>
      <w:pPr>
        <w:pStyle w:val="FootnoteText"/>
        <w:ind w:left="284" w:hanging="284"/>
        <w:jc w:val="both"/>
      </w:pPr>
      <w:r>
        <w:rPr>
          <w:rStyle w:val="FootnoteReference"/>
        </w:rPr>
        <w:footnoteRef/>
      </w:r>
      <w:r>
        <w:tab/>
      </w:r>
      <w:r>
        <w:rPr>
          <w:rStyle w:val="Strong"/>
          <w:b w:val="0"/>
        </w:rPr>
        <w:t>Κανονισμός (ΕΚ) αριθ. 224/2007 της Επιτροπής, της 1ης Μαρτίου 2007, για τροποποίηση του κανονισμού (ΕΚ) αριθ. 1216/2003 όσον αφορά τις οικονομικές δραστηριότητες που καλύπτει ο δείκτης κόστους εργασίας (</w:t>
      </w:r>
      <w:r>
        <w:t>ΕΕ L 64 της 2.3.2007, σ. 23).</w:t>
      </w:r>
    </w:p>
  </w:footnote>
  <w:footnote w:id="5">
    <w:p>
      <w:pPr>
        <w:pStyle w:val="FootnoteText"/>
        <w:ind w:left="284" w:hanging="284"/>
        <w:jc w:val="both"/>
      </w:pPr>
      <w:r>
        <w:rPr>
          <w:rStyle w:val="FootnoteReference"/>
        </w:rPr>
        <w:footnoteRef/>
      </w:r>
      <w:r>
        <w:tab/>
        <w:t>Κανονισμός (ΕΚ) αριθ. 973/2007 της Επιτροπής, της 20ής Αυγούστου 2007, για τροποποίηση ορισμένων κανονισμών ΕΚ που αφορούν ειδικούς στατιστικούς τομείς και εκδόθηκαν για την εφαρμογή της στατιστικής ονοματολογίας των οικονομικών δραστηριοτήτων NACE αναθεώρηση 2 (ΕΕ L 216 της 21.8.2007, σ. 10).</w:t>
      </w:r>
    </w:p>
  </w:footnote>
  <w:footnote w:id="6">
    <w:p>
      <w:pPr>
        <w:pStyle w:val="FootnoteText"/>
        <w:ind w:left="284" w:hanging="284"/>
        <w:jc w:val="both"/>
      </w:pPr>
      <w:r>
        <w:rPr>
          <w:rStyle w:val="FootnoteReference"/>
        </w:rPr>
        <w:footnoteRef/>
      </w:r>
      <w:r>
        <w:t xml:space="preserve"> </w:t>
      </w:r>
      <w:r>
        <w:tab/>
        <w:t>COM(2017) 71.</w:t>
      </w:r>
    </w:p>
  </w:footnote>
  <w:footnote w:id="7">
    <w:p>
      <w:pPr>
        <w:pStyle w:val="FootnoteText"/>
        <w:ind w:left="284" w:hanging="284"/>
        <w:jc w:val="both"/>
      </w:pPr>
      <w:r>
        <w:rPr>
          <w:rStyle w:val="FootnoteReference"/>
        </w:rPr>
        <w:footnoteRef/>
      </w:r>
      <w:r>
        <w:t xml:space="preserve"> </w:t>
      </w:r>
      <w:r>
        <w:tab/>
      </w:r>
      <w:hyperlink r:id="rId2">
        <w:r>
          <w:rPr>
            <w:rStyle w:val="Hyperlink"/>
          </w:rPr>
          <w:t>http://sdmx.org/</w:t>
        </w:r>
      </w:hyperlink>
      <w:r>
        <w:t xml:space="preserve"> (διατίθεται μόνο στα αγγλικά)</w:t>
      </w:r>
    </w:p>
  </w:footnote>
  <w:footnote w:id="8">
    <w:p>
      <w:pPr>
        <w:pStyle w:val="FootnoteText"/>
        <w:ind w:left="284" w:hanging="284"/>
        <w:jc w:val="both"/>
      </w:pPr>
      <w:r>
        <w:rPr>
          <w:rStyle w:val="FootnoteReference"/>
        </w:rPr>
        <w:footnoteRef/>
      </w:r>
      <w:r>
        <w:t xml:space="preserve"> </w:t>
      </w:r>
      <w:r>
        <w:tab/>
      </w:r>
      <w:hyperlink r:id="rId3">
        <w:r>
          <w:rPr>
            <w:rStyle w:val="Hyperlink"/>
          </w:rPr>
          <w:t>https://webgate.ec.europa.eu/sdmxregistry/</w:t>
        </w:r>
      </w:hyperlink>
      <w:r>
        <w:t xml:space="preserve"> (διατίθεται μόνο στα αγγλικά)</w:t>
      </w:r>
    </w:p>
  </w:footnote>
  <w:footnote w:id="9">
    <w:p>
      <w:pPr>
        <w:pStyle w:val="FootnoteText"/>
        <w:ind w:left="284" w:hanging="284"/>
        <w:jc w:val="both"/>
      </w:pPr>
      <w:r>
        <w:rPr>
          <w:rStyle w:val="FootnoteReference"/>
        </w:rPr>
        <w:footnoteRef/>
      </w:r>
      <w:r>
        <w:tab/>
        <w:t xml:space="preserve">Ανακοίνωση της Επιτροπής προς το Ευρωπαϊκό Κοινοβούλιο και το Συμβούλιο με τίτλο </w:t>
      </w:r>
      <w:r>
        <w:rPr>
          <w:i/>
        </w:rPr>
        <w:t>«Προς βελτιωμένες μεθοδολογίες για τις στατιστικές και τους δείκτες της ευρωζώνης»</w:t>
      </w:r>
      <w:r>
        <w:t xml:space="preserve"> [COM(2002) 661].</w:t>
      </w:r>
    </w:p>
  </w:footnote>
  <w:footnote w:id="10">
    <w:p>
      <w:pPr>
        <w:pStyle w:val="FootnoteText"/>
        <w:ind w:left="284" w:hanging="284"/>
        <w:jc w:val="both"/>
      </w:pPr>
      <w:r>
        <w:rPr>
          <w:rStyle w:val="FootnoteReference"/>
        </w:rPr>
        <w:footnoteRef/>
      </w:r>
      <w:r>
        <w:t xml:space="preserve"> </w:t>
      </w:r>
      <w:r>
        <w:tab/>
        <w:t xml:space="preserve">Βλ. σύνολο στοιχείων </w:t>
      </w:r>
      <w:r>
        <w:rPr>
          <w:i/>
        </w:rPr>
        <w:t>lc_lci_lev</w:t>
      </w:r>
      <w:r>
        <w:t xml:space="preserve"> στην Eurobase (στα αγγλικά, γαλλικά και γερμανικά)·</w:t>
      </w:r>
      <w:r>
        <w:tab/>
      </w:r>
      <w:r>
        <w:br/>
      </w:r>
      <w:hyperlink r:id="rId4">
        <w:r>
          <w:rPr>
            <w:rStyle w:val="Hyperlink"/>
          </w:rPr>
          <w:t>http://ec.europa.eu/eurostat/data/database</w:t>
        </w:r>
      </w:hyperlink>
    </w:p>
  </w:footnote>
  <w:footnote w:id="11">
    <w:p>
      <w:pPr>
        <w:pStyle w:val="FootnoteText"/>
        <w:ind w:left="284" w:hanging="284"/>
        <w:jc w:val="both"/>
      </w:pPr>
      <w:r>
        <w:rPr>
          <w:rStyle w:val="FootnoteReference"/>
        </w:rPr>
        <w:footnoteRef/>
      </w:r>
      <w:r>
        <w:t xml:space="preserve"> </w:t>
      </w:r>
      <w:r>
        <w:tab/>
        <w:t>Βάσει του κανονισμού (ΕΚ) αριθ. 1216/2003, η Δανία, η Γερμανία, η Γαλλία και η Σουηδία δεν υποχρεούνται να υποβάλλουν στοιχεία χωρίς εποχική διόρθωση.</w:t>
      </w:r>
    </w:p>
  </w:footnote>
  <w:footnote w:id="12">
    <w:p>
      <w:pPr>
        <w:pStyle w:val="FootnoteText"/>
        <w:ind w:left="284" w:hanging="284"/>
        <w:jc w:val="both"/>
      </w:pPr>
      <w:r>
        <w:rPr>
          <w:rStyle w:val="FootnoteReference"/>
        </w:rPr>
        <w:footnoteRef/>
      </w:r>
      <w:r>
        <w:t xml:space="preserve"> </w:t>
      </w:r>
      <w:r>
        <w:tab/>
        <w:t>Ο κανονισμός (ΕΚ) αριθ. 450/2003 δεν εφαρμόζεται για το Λιχτενστάιν.</w:t>
      </w:r>
    </w:p>
  </w:footnote>
  <w:footnote w:id="13">
    <w:p>
      <w:pPr>
        <w:pStyle w:val="FootnoteText"/>
        <w:ind w:left="284" w:hanging="284"/>
        <w:jc w:val="both"/>
      </w:pPr>
      <w:r>
        <w:rPr>
          <w:rStyle w:val="FootnoteReference"/>
        </w:rPr>
        <w:footnoteRef/>
      </w:r>
      <w:r>
        <w:tab/>
      </w:r>
      <w:hyperlink r:id="rId5">
        <w:r>
          <w:rPr>
            <w:rStyle w:val="Hyperlink"/>
          </w:rPr>
          <w:t>http://ec.europa.eu/eurostat</w:t>
        </w:r>
      </w:hyperlink>
      <w:r>
        <w:rPr>
          <w:rStyle w:val="Hyperlink"/>
          <w:color w:val="auto"/>
          <w:u w:val="none"/>
        </w:rPr>
        <w:t xml:space="preserve"> </w:t>
      </w:r>
      <w:r>
        <w:t>(διατίθεται μόνο στα αγγλικά)</w:t>
      </w:r>
    </w:p>
  </w:footnote>
  <w:footnote w:id="14">
    <w:p>
      <w:pPr>
        <w:pStyle w:val="FootnoteText"/>
        <w:ind w:left="284" w:hanging="284"/>
        <w:jc w:val="both"/>
      </w:pPr>
      <w:r>
        <w:rPr>
          <w:rStyle w:val="FootnoteReference"/>
        </w:rPr>
        <w:footnoteRef/>
      </w:r>
      <w:r>
        <w:t xml:space="preserve"> </w:t>
      </w:r>
      <w:r>
        <w:tab/>
      </w:r>
      <w:hyperlink r:id="rId6">
        <w:r>
          <w:rPr>
            <w:rStyle w:val="Hyperlink"/>
          </w:rPr>
          <w:t>http://ec.europa.eu/eurostat/cache/metadata/EN/lci_esqrs.htm</w:t>
        </w:r>
      </w:hyperlink>
      <w:r>
        <w:t xml:space="preserve"> (διατίθεται μόνο στα αγγλικά)</w:t>
      </w:r>
    </w:p>
  </w:footnote>
  <w:footnote w:id="15">
    <w:p>
      <w:pPr>
        <w:pStyle w:val="FootnoteText"/>
        <w:ind w:left="284" w:hanging="284"/>
        <w:jc w:val="both"/>
      </w:pPr>
      <w:r>
        <w:rPr>
          <w:rStyle w:val="FootnoteReference"/>
        </w:rPr>
        <w:footnoteRef/>
      </w:r>
      <w:r>
        <w:tab/>
        <w:t>ΕΕ-27 έως και το 2013Q2· έκτοτε, ΕΕ-28.</w:t>
      </w:r>
    </w:p>
  </w:footnote>
  <w:footnote w:id="16">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 xml:space="preserve">Κανονισμός (ΕΕ) αριθ. 549/2013 </w:t>
      </w:r>
      <w:r>
        <w:rPr>
          <w:rFonts w:ascii="Times New Roman" w:hAnsi="Times New Roman"/>
          <w:color w:val="000000"/>
          <w:sz w:val="20"/>
        </w:rPr>
        <w:t>του Ευρωπαϊκού Κοινοβουλίου και του Συμβουλίου, της 21ης Μαΐου 2013, για το ευρωπαϊκό σύστημα εθνικών και περιφερειακών λογαριασμών της Ευρωπαϊκής Ένωσης (</w:t>
      </w:r>
      <w:r>
        <w:rPr>
          <w:rFonts w:ascii="Times New Roman" w:hAnsi="Times New Roman"/>
          <w:sz w:val="20"/>
        </w:rPr>
        <w:t>ΕΕ L 174 της 26.6.2013, σ. 1</w:t>
      </w:r>
      <w:r>
        <w:rPr>
          <w:rFonts w:ascii="Times New Roman" w:hAnsi="Times New Roman"/>
          <w:color w:val="000000"/>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978"/>
    <w:multiLevelType w:val="hybridMultilevel"/>
    <w:tmpl w:val="E0A4A946"/>
    <w:lvl w:ilvl="0" w:tplc="93CC81C4">
      <w:start w:val="1"/>
      <w:numFmt w:val="decimal"/>
      <w:lvlText w:val="%1."/>
      <w:lvlJc w:val="left"/>
      <w:pPr>
        <w:ind w:left="1215" w:hanging="8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956EEF"/>
    <w:multiLevelType w:val="hybridMultilevel"/>
    <w:tmpl w:val="0F8CAB8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737D5E36"/>
    <w:multiLevelType w:val="hybridMultilevel"/>
    <w:tmpl w:val="0262E7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5102F13-6A65-4919-9C0F-F863262E11FF"/>
    <w:docVar w:name="LW_COVERPAGE_TYPE" w:val="1"/>
    <w:docVar w:name="LW_CROSSREFERENCE" w:val="&lt;UNUSED&gt;"/>
    <w:docVar w:name="LW_DocType" w:val="NORMAL"/>
    <w:docVar w:name="LW_EMISSION" w:val="28.2.2019"/>
    <w:docVar w:name="LW_EMISSION_ISODATE" w:val="2019-02-28"/>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47?\u953?\u945? \u964?\u951?\u957? \u949?\u966?\u945?\u961?\u956?\u959?\u947?\u942? \u964?\u959?\u965? \u954?\u945?\u957?\u959?\u957?\u953?\u963?\u956?\u959?\u973? (\u917?\u922?) \u945?\u961?\u953?\u952?. 450/2003 \u964?\u959?\u965? \u917?\u965?\u961?\u969?\u960?\u945?\u970?\u954?\u959?\u973? \u922?\u959?\u953?\u957?\u959?\u946?\u959?\u965?\u955?\u943?\u959?\u965? \u954?\u945?\u953? \u964?\u959?\u965? \u931?\u965?\u956?\u946?\u959?\u965?\u955?\u943?\u959?\u965? \u963?\u967?\u949?\u964?\u953?\u954?\u940? \u956?\u949? \u964?\u959?\u957? \u948?\u949?\u943?\u954?\u964?\u951? \u954?\u972?\u963?\u964?\u959?\u965?\u962? \u949?\u961?\u947?\u945?\u963?\u943?\u945?\u962? (\u916?\u922?\u917?)_x000b__x000d__x000d__x000b__x000d__x000d__x000d__x000d__x000d_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 w:name="Stamp" w:val="\\dossiers.dgt.cec.eu.int\dossiers\ESTAT\ESTAT-2018-10227\ESTAT-2018-10227-00-00-EN-EDT-00.201812041157253104909.DOCX"/>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el-G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el-GR" w:eastAsia="el-GR"/>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el-GR" w:eastAsia="el-G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el-G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el-GR" w:eastAsia="el-GR"/>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el-GR" w:eastAsia="el-G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sdmxregistry/" TargetMode="External"/><Relationship Id="rId2" Type="http://schemas.openxmlformats.org/officeDocument/2006/relationships/hyperlink" Target="http://sdmx.org/" TargetMode="External"/><Relationship Id="rId1" Type="http://schemas.openxmlformats.org/officeDocument/2006/relationships/hyperlink" Target="http://ec.europa.eu/eurostat%20-%20available" TargetMode="External"/><Relationship Id="rId6" Type="http://schemas.openxmlformats.org/officeDocument/2006/relationships/hyperlink" Target="http://ec.europa.eu/eurostat/cache/metadata/EN/lci_esqrs.htm" TargetMode="External"/><Relationship Id="rId5" Type="http://schemas.openxmlformats.org/officeDocument/2006/relationships/hyperlink" Target="http://ec.europa.eu/eurostat%20-%20available" TargetMode="External"/><Relationship Id="rId4"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2521</Words>
  <Characters>14702</Characters>
  <Application>Microsoft Office Word</Application>
  <DocSecurity>0</DocSecurity>
  <Lines>245</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2019-02-11T15:02:00Z</dcterms:created>
  <dcterms:modified xsi:type="dcterms:W3CDTF">2019-02-20T11:18:00Z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