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EF48401-90F5-43CA-B1AA-03A33026ACE4"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LISA</w:t>
      </w:r>
    </w:p>
    <w:p>
      <w:pPr>
        <w:pStyle w:val="Typedudocument"/>
        <w:rPr>
          <w:noProof/>
        </w:rPr>
      </w:pPr>
      <w:r>
        <w:rPr>
          <w:noProof/>
        </w:rPr>
        <w:t xml:space="preserve">ELi JA JAAPANI STRATEEGILISE PARTNERLUSE LEPINGUGA </w:t>
      </w:r>
      <w:r>
        <w:rPr>
          <w:noProof/>
        </w:rPr>
        <w:br/>
        <w:t xml:space="preserve">LOODUD ÜHISKOMITEE </w:t>
      </w:r>
      <w:r>
        <w:rPr>
          <w:noProof/>
        </w:rPr>
        <w:br/>
        <w:t>OTSUS NR 1/2019,</w:t>
      </w:r>
    </w:p>
    <w:p>
      <w:pPr>
        <w:pStyle w:val="Datedadoption"/>
        <w:rPr>
          <w:noProof/>
        </w:rPr>
      </w:pPr>
      <w:r>
        <w:rPr>
          <w:noProof/>
        </w:rPr>
        <w:t>[kuupäev],</w:t>
      </w:r>
    </w:p>
    <w:p>
      <w:pPr>
        <w:pStyle w:val="Titreobjet"/>
        <w:rPr>
          <w:noProof/>
        </w:rPr>
      </w:pPr>
      <w:r>
        <w:rPr>
          <w:noProof/>
        </w:rPr>
        <w:t>töökorra vastuvõtmise kohta</w:t>
      </w:r>
    </w:p>
    <w:p>
      <w:pPr>
        <w:pStyle w:val="Institutionquiagit"/>
        <w:rPr>
          <w:noProof/>
        </w:rPr>
      </w:pPr>
      <w:r>
        <w:rPr>
          <w:noProof/>
        </w:rPr>
        <w:t>ÜHISKOMITEE,</w:t>
      </w:r>
    </w:p>
    <w:p>
      <w:pPr>
        <w:rPr>
          <w:noProof/>
        </w:rPr>
      </w:pPr>
      <w:r>
        <w:rPr>
          <w:noProof/>
        </w:rPr>
        <w:t>võttes arvesse ühelt poolt Euroopa Liidu ja selle liikmesriikide ning teiselt poolt Jaapani vahelist strateegilise partnerluse lepingut</w:t>
      </w:r>
      <w:r>
        <w:rPr>
          <w:rStyle w:val="FootnoteReference"/>
          <w:noProof/>
        </w:rPr>
        <w:footnoteReference w:id="1"/>
      </w:r>
      <w:r>
        <w:rPr>
          <w:noProof/>
        </w:rPr>
        <w:t xml:space="preserve"> (edaspidi „leping“), eriti selle artiklit 42,</w:t>
      </w:r>
    </w:p>
    <w:p>
      <w:pPr>
        <w:rPr>
          <w:noProof/>
        </w:rPr>
      </w:pPr>
    </w:p>
    <w:p>
      <w:pPr>
        <w:rPr>
          <w:noProof/>
        </w:rPr>
      </w:pPr>
      <w:r>
        <w:rPr>
          <w:noProof/>
        </w:rPr>
        <w:t>ning arvestades järgmist:</w:t>
      </w:r>
    </w:p>
    <w:p>
      <w:pPr>
        <w:pStyle w:val="Considrant"/>
        <w:numPr>
          <w:ilvl w:val="0"/>
          <w:numId w:val="9"/>
        </w:numPr>
        <w:rPr>
          <w:noProof/>
        </w:rPr>
      </w:pPr>
      <w:r>
        <w:rPr>
          <w:noProof/>
        </w:rPr>
        <w:t>Lepingu teatavaid osi on kohaldatud enne jõustumist alates 1. veebruarist 2019.</w:t>
      </w:r>
    </w:p>
    <w:p>
      <w:pPr>
        <w:pStyle w:val="Considrant"/>
        <w:rPr>
          <w:noProof/>
        </w:rPr>
      </w:pPr>
      <w:r>
        <w:rPr>
          <w:noProof/>
        </w:rPr>
        <w:t>Et tagada lepingu tõhus kohaldamine enne selle jõustumist, tuleks võimalikult kiiresti moodustada ühiskomitee.</w:t>
      </w:r>
    </w:p>
    <w:p>
      <w:pPr>
        <w:pStyle w:val="Considrant"/>
        <w:rPr>
          <w:noProof/>
        </w:rPr>
      </w:pPr>
      <w:r>
        <w:rPr>
          <w:noProof/>
        </w:rPr>
        <w:t>Seega peaks ühiskomitee võtma lepingu artikli 42 lõike 5 kohaselt vastu oma töökorra,</w:t>
      </w:r>
    </w:p>
    <w:p>
      <w:pPr>
        <w:rPr>
          <w:noProof/>
        </w:rPr>
      </w:pPr>
    </w:p>
    <w:p>
      <w:pPr>
        <w:pStyle w:val="Formuledadoption"/>
        <w:rPr>
          <w:noProof/>
        </w:rPr>
      </w:pPr>
      <w:r>
        <w:rPr>
          <w:noProof/>
        </w:rPr>
        <w:t>ON VASTU VÕTNUD KÄESOLEVA OTSUSE:</w:t>
      </w:r>
    </w:p>
    <w:p>
      <w:pPr>
        <w:rPr>
          <w:noProof/>
        </w:rPr>
      </w:pPr>
    </w:p>
    <w:p>
      <w:pPr>
        <w:pStyle w:val="NumPar1"/>
        <w:numPr>
          <w:ilvl w:val="0"/>
          <w:numId w:val="10"/>
        </w:numPr>
        <w:rPr>
          <w:noProof/>
        </w:rPr>
      </w:pPr>
      <w:r>
        <w:rPr>
          <w:noProof/>
        </w:rPr>
        <w:t>Võetakse vastu ühiskomitee töökord, mis on esitatud lisas.</w:t>
      </w:r>
    </w:p>
    <w:p>
      <w:pPr>
        <w:pStyle w:val="NumPar1"/>
        <w:rPr>
          <w:noProof/>
        </w:rPr>
      </w:pPr>
      <w:r>
        <w:rPr>
          <w:noProof/>
        </w:rPr>
        <w:t>Käesolev otsus jõustub</w:t>
      </w:r>
      <w:r>
        <w:rPr>
          <w:b/>
          <w:noProof/>
        </w:rPr>
        <w:t xml:space="preserve"> </w:t>
      </w:r>
      <w:r>
        <w:rPr>
          <w:noProof/>
        </w:rPr>
        <w:t>selle vastuvõtmise päeval.</w:t>
      </w:r>
    </w:p>
    <w:p>
      <w:pPr>
        <w:rPr>
          <w:noProof/>
        </w:rPr>
      </w:pPr>
    </w:p>
    <w:p>
      <w:pPr>
        <w:pStyle w:val="Fait"/>
        <w:rPr>
          <w:noProof/>
        </w:rPr>
      </w:pPr>
      <w:r>
        <w:rPr>
          <w:noProof/>
        </w:rPr>
        <w:t>Allkirjastatud …,</w:t>
      </w:r>
    </w:p>
    <w:p>
      <w:pPr>
        <w:pStyle w:val="Institutionquisigne"/>
        <w:rPr>
          <w:noProof/>
        </w:rPr>
      </w:pPr>
      <w:r>
        <w:rPr>
          <w:noProof/>
        </w:rPr>
        <w:tab/>
        <w:t>Ühiskomitee nimel</w:t>
      </w:r>
    </w:p>
    <w:p>
      <w:pPr>
        <w:pStyle w:val="Personnequisigne"/>
        <w:rPr>
          <w:noProof/>
        </w:rPr>
      </w:pPr>
      <w:r>
        <w:rPr>
          <w:noProof/>
        </w:rPr>
        <w:tab/>
        <w:t>kaaseesistujad</w:t>
      </w:r>
    </w:p>
    <w:p>
      <w:pPr>
        <w:pStyle w:val="Lignefinal"/>
        <w:rPr>
          <w:noProof/>
        </w:rPr>
      </w:pPr>
    </w:p>
    <w:p>
      <w:pPr>
        <w:jc w:val="center"/>
        <w:rPr>
          <w:b/>
          <w:noProof/>
        </w:rPr>
      </w:pPr>
      <w:r>
        <w:rPr>
          <w:noProof/>
        </w:rPr>
        <w:br w:type="page"/>
      </w:r>
      <w:r>
        <w:rPr>
          <w:b/>
          <w:noProof/>
        </w:rPr>
        <w:t>Otsuse nr 1/2019 lisa</w:t>
      </w:r>
    </w:p>
    <w:p>
      <w:pPr>
        <w:jc w:val="center"/>
        <w:rPr>
          <w:b/>
          <w:noProof/>
        </w:rPr>
      </w:pPr>
      <w:r>
        <w:rPr>
          <w:b/>
          <w:noProof/>
        </w:rPr>
        <w:t xml:space="preserve">Strateegilise partnerluse leping </w:t>
      </w:r>
      <w:r>
        <w:rPr>
          <w:b/>
          <w:noProof/>
        </w:rPr>
        <w:br/>
        <w:t xml:space="preserve">ühelt poolt Euroopa Liidu ja selle liikmesriikide  </w:t>
      </w:r>
      <w:r>
        <w:rPr>
          <w:b/>
          <w:noProof/>
        </w:rPr>
        <w:br/>
        <w:t>ning teiselt poolt Jaapani vahel</w:t>
      </w:r>
    </w:p>
    <w:p>
      <w:pPr>
        <w:jc w:val="center"/>
        <w:rPr>
          <w:b/>
          <w:noProof/>
        </w:rPr>
      </w:pPr>
      <w:r>
        <w:rPr>
          <w:b/>
          <w:noProof/>
        </w:rPr>
        <w:t>Ühiskomitee töökord</w:t>
      </w:r>
    </w:p>
    <w:p>
      <w:pPr>
        <w:jc w:val="center"/>
        <w:rPr>
          <w:b/>
          <w:noProof/>
        </w:rPr>
      </w:pPr>
    </w:p>
    <w:p>
      <w:pPr>
        <w:jc w:val="center"/>
        <w:rPr>
          <w:i/>
          <w:noProof/>
        </w:rPr>
      </w:pPr>
      <w:bookmarkStart w:id="1" w:name="bookmark7"/>
      <w:r>
        <w:rPr>
          <w:i/>
          <w:noProof/>
        </w:rPr>
        <w:t>Artikkel 1</w:t>
      </w:r>
    </w:p>
    <w:p>
      <w:pPr>
        <w:jc w:val="center"/>
        <w:rPr>
          <w:noProof/>
        </w:rPr>
      </w:pPr>
      <w:r>
        <w:rPr>
          <w:noProof/>
        </w:rPr>
        <w:t>Ülesanded ja koosseis</w:t>
      </w:r>
      <w:bookmarkEnd w:id="1"/>
    </w:p>
    <w:p>
      <w:pPr>
        <w:pStyle w:val="Point0"/>
        <w:rPr>
          <w:noProof/>
        </w:rPr>
      </w:pPr>
      <w:r>
        <w:rPr>
          <w:noProof/>
        </w:rPr>
        <w:t>1.</w:t>
      </w:r>
      <w:r>
        <w:rPr>
          <w:noProof/>
        </w:rPr>
        <w:tab/>
        <w:t>Ühiskomitee täidab ülesandeid, mis on sätestatud ühelt poolt Euroopa Liidu ja selle liikmesriikide (edaspidi „liidu pool“) ning teiselt poolt Jaapani vahelise strateegilise partnerluse lepingu (edaspidi „leping“) artiklis 42.</w:t>
      </w:r>
    </w:p>
    <w:p>
      <w:pPr>
        <w:pStyle w:val="Point0"/>
        <w:rPr>
          <w:noProof/>
        </w:rPr>
      </w:pPr>
      <w:r>
        <w:rPr>
          <w:noProof/>
        </w:rPr>
        <w:t>2.</w:t>
      </w:r>
      <w:r>
        <w:rPr>
          <w:noProof/>
        </w:rPr>
        <w:tab/>
        <w:t xml:space="preserve">Ühiskomiteesse kuuluvad mõlema lepinguosalise esindajad. </w:t>
      </w:r>
    </w:p>
    <w:p>
      <w:pPr>
        <w:pStyle w:val="Point0"/>
        <w:rPr>
          <w:noProof/>
        </w:rPr>
      </w:pPr>
    </w:p>
    <w:p>
      <w:pPr>
        <w:jc w:val="center"/>
        <w:rPr>
          <w:i/>
          <w:noProof/>
        </w:rPr>
      </w:pPr>
      <w:r>
        <w:rPr>
          <w:i/>
          <w:noProof/>
        </w:rPr>
        <w:t>Artikkel 2</w:t>
      </w:r>
    </w:p>
    <w:p>
      <w:pPr>
        <w:jc w:val="center"/>
        <w:rPr>
          <w:noProof/>
        </w:rPr>
      </w:pPr>
      <w:r>
        <w:rPr>
          <w:noProof/>
        </w:rPr>
        <w:t>Eesistuja</w:t>
      </w:r>
    </w:p>
    <w:p>
      <w:pPr>
        <w:rPr>
          <w:noProof/>
        </w:rPr>
      </w:pPr>
      <w:r>
        <w:rPr>
          <w:noProof/>
        </w:rPr>
        <w:t>Ühiskomiteed juhivad ühiselt ühelt poolt liidu poole esindajad ning teiselt poolt Jaapani esindajad, edaspidi koos „lepinguosalised“ ja eraldi „lepinguosaline“.</w:t>
      </w:r>
    </w:p>
    <w:p>
      <w:pPr>
        <w:pStyle w:val="Point0"/>
        <w:rPr>
          <w:noProof/>
        </w:rPr>
      </w:pPr>
    </w:p>
    <w:p>
      <w:pPr>
        <w:jc w:val="center"/>
        <w:rPr>
          <w:i/>
          <w:noProof/>
        </w:rPr>
      </w:pPr>
      <w:bookmarkStart w:id="2" w:name="bookmark8"/>
      <w:r>
        <w:rPr>
          <w:i/>
          <w:noProof/>
        </w:rPr>
        <w:t>Artikkel 3</w:t>
      </w:r>
    </w:p>
    <w:p>
      <w:pPr>
        <w:jc w:val="center"/>
        <w:rPr>
          <w:noProof/>
        </w:rPr>
      </w:pPr>
      <w:r>
        <w:rPr>
          <w:noProof/>
        </w:rPr>
        <w:t>Koosolekud</w:t>
      </w:r>
      <w:bookmarkEnd w:id="2"/>
    </w:p>
    <w:p>
      <w:pPr>
        <w:pStyle w:val="Point0"/>
        <w:rPr>
          <w:noProof/>
        </w:rPr>
      </w:pPr>
      <w:r>
        <w:rPr>
          <w:noProof/>
        </w:rPr>
        <w:t>1.</w:t>
      </w:r>
      <w:r>
        <w:rPr>
          <w:noProof/>
        </w:rPr>
        <w:tab/>
        <w:t>Ühiskomitee koguneb tavaliselt üks kord aastas vaheldumisi Tōkyōs ja Brüsselis konsensuse alusel kindlaks määratud kuupäeval. Ühiskomitee tuleb kokku ka ükskõik kumma lepinguosalise taotluse korral konsensuse alusel.</w:t>
      </w:r>
    </w:p>
    <w:p>
      <w:pPr>
        <w:pStyle w:val="Point0"/>
        <w:rPr>
          <w:noProof/>
        </w:rPr>
      </w:pPr>
      <w:r>
        <w:rPr>
          <w:noProof/>
        </w:rPr>
        <w:t>2.</w:t>
      </w:r>
      <w:r>
        <w:rPr>
          <w:noProof/>
        </w:rPr>
        <w:tab/>
        <w:t>Ühiskomitee koguneb tavaliselt kõrgemate ametnike tasandil, kui lepinguosalised ei ole otsustanud teisiti.</w:t>
      </w:r>
    </w:p>
    <w:p>
      <w:pPr>
        <w:pStyle w:val="Point0"/>
        <w:rPr>
          <w:noProof/>
        </w:rPr>
      </w:pPr>
    </w:p>
    <w:p>
      <w:pPr>
        <w:jc w:val="center"/>
        <w:rPr>
          <w:i/>
          <w:noProof/>
        </w:rPr>
      </w:pPr>
      <w:bookmarkStart w:id="3" w:name="bookmark9"/>
      <w:r>
        <w:rPr>
          <w:i/>
          <w:noProof/>
        </w:rPr>
        <w:t>Artikkel 4</w:t>
      </w:r>
    </w:p>
    <w:p>
      <w:pPr>
        <w:jc w:val="center"/>
        <w:rPr>
          <w:i/>
          <w:noProof/>
        </w:rPr>
      </w:pPr>
      <w:r>
        <w:rPr>
          <w:noProof/>
        </w:rPr>
        <w:t>Avalikkuse juurdepääs</w:t>
      </w:r>
      <w:bookmarkEnd w:id="3"/>
    </w:p>
    <w:p>
      <w:pPr>
        <w:rPr>
          <w:noProof/>
        </w:rPr>
      </w:pPr>
      <w:r>
        <w:rPr>
          <w:noProof/>
        </w:rPr>
        <w:t>Ühiskomitee koosolekud ei ole avalikud, välja arvatud juhul, kui lepinguosalised on otsustanud teisiti.</w:t>
      </w:r>
    </w:p>
    <w:p>
      <w:pPr>
        <w:pStyle w:val="Point0"/>
        <w:rPr>
          <w:noProof/>
        </w:rPr>
      </w:pPr>
    </w:p>
    <w:p>
      <w:pPr>
        <w:jc w:val="center"/>
        <w:rPr>
          <w:i/>
          <w:noProof/>
        </w:rPr>
      </w:pPr>
      <w:bookmarkStart w:id="4" w:name="bookmark11"/>
      <w:r>
        <w:rPr>
          <w:i/>
          <w:noProof/>
        </w:rPr>
        <w:t>Artikkel 5</w:t>
      </w:r>
    </w:p>
    <w:p>
      <w:pPr>
        <w:jc w:val="center"/>
        <w:rPr>
          <w:noProof/>
        </w:rPr>
      </w:pPr>
      <w:r>
        <w:rPr>
          <w:noProof/>
        </w:rPr>
        <w:t>Sekretärid</w:t>
      </w:r>
      <w:bookmarkEnd w:id="4"/>
    </w:p>
    <w:p>
      <w:pPr>
        <w:rPr>
          <w:noProof/>
        </w:rPr>
      </w:pPr>
      <w:r>
        <w:rPr>
          <w:noProof/>
        </w:rPr>
        <w:t>Euroopa välisteenistuse esindaja ning Jaapani välisministeeriumi esindaja tegutsevad ühiselt ühiskomitee sekretäridena. Kogu ühiskomitee kaaseesistujate kirjavahetus edastatakse sekretäridele.</w:t>
      </w:r>
      <w:bookmarkStart w:id="5" w:name="bookmark12"/>
    </w:p>
    <w:p>
      <w:pPr>
        <w:spacing w:before="0" w:after="200" w:line="276" w:lineRule="auto"/>
        <w:jc w:val="left"/>
        <w:rPr>
          <w:noProof/>
        </w:rPr>
      </w:pPr>
      <w:r>
        <w:rPr>
          <w:noProof/>
        </w:rPr>
        <w:br w:type="page"/>
      </w:r>
    </w:p>
    <w:p>
      <w:pPr>
        <w:rPr>
          <w:noProof/>
        </w:rPr>
      </w:pPr>
    </w:p>
    <w:p>
      <w:pPr>
        <w:jc w:val="center"/>
        <w:rPr>
          <w:i/>
          <w:noProof/>
        </w:rPr>
      </w:pPr>
      <w:bookmarkStart w:id="6" w:name="bookmark10"/>
      <w:r>
        <w:rPr>
          <w:i/>
          <w:noProof/>
        </w:rPr>
        <w:t>Artikkel 6</w:t>
      </w:r>
    </w:p>
    <w:p>
      <w:pPr>
        <w:jc w:val="center"/>
        <w:rPr>
          <w:noProof/>
        </w:rPr>
      </w:pPr>
      <w:r>
        <w:rPr>
          <w:noProof/>
        </w:rPr>
        <w:t>Osalejad</w:t>
      </w:r>
      <w:bookmarkEnd w:id="6"/>
    </w:p>
    <w:p>
      <w:pPr>
        <w:pStyle w:val="Point0"/>
        <w:rPr>
          <w:noProof/>
        </w:rPr>
      </w:pPr>
      <w:r>
        <w:rPr>
          <w:noProof/>
        </w:rPr>
        <w:t>1.</w:t>
      </w:r>
      <w:r>
        <w:rPr>
          <w:noProof/>
        </w:rPr>
        <w:tab/>
        <w:t>Enne iga koosolekut teatatakse kaaseesistujatele sekretäride vahendusel iga lepinguosalise delegatsiooni kavandatav koosseis.</w:t>
      </w:r>
    </w:p>
    <w:p>
      <w:pPr>
        <w:pStyle w:val="Point0"/>
        <w:rPr>
          <w:noProof/>
        </w:rPr>
      </w:pPr>
      <w:r>
        <w:rPr>
          <w:noProof/>
        </w:rPr>
        <w:t>2.</w:t>
      </w:r>
      <w:r>
        <w:rPr>
          <w:noProof/>
        </w:rPr>
        <w:tab/>
        <w:t>Asjakohasel juhul ja konsensuse alusel võib ühiskomitee koosolekutele kutsuda eksperte või muude asjaomaste üksuste esindajaid kas vaatlejana või teabe esitamiseks konkreetse teema kohta.</w:t>
      </w:r>
    </w:p>
    <w:p>
      <w:pPr>
        <w:rPr>
          <w:noProof/>
        </w:rPr>
      </w:pPr>
    </w:p>
    <w:p>
      <w:pPr>
        <w:jc w:val="center"/>
        <w:rPr>
          <w:i/>
          <w:noProof/>
        </w:rPr>
      </w:pPr>
      <w:r>
        <w:rPr>
          <w:i/>
          <w:noProof/>
        </w:rPr>
        <w:t>Artikkel 7</w:t>
      </w:r>
    </w:p>
    <w:p>
      <w:pPr>
        <w:jc w:val="center"/>
        <w:rPr>
          <w:noProof/>
        </w:rPr>
      </w:pPr>
      <w:r>
        <w:rPr>
          <w:noProof/>
        </w:rPr>
        <w:t>Koosolekute päevakord</w:t>
      </w:r>
      <w:bookmarkEnd w:id="5"/>
    </w:p>
    <w:p>
      <w:pPr>
        <w:pStyle w:val="Point0"/>
        <w:rPr>
          <w:noProof/>
        </w:rPr>
      </w:pPr>
      <w:r>
        <w:rPr>
          <w:noProof/>
        </w:rPr>
        <w:t>1.</w:t>
      </w:r>
      <w:r>
        <w:rPr>
          <w:noProof/>
        </w:rPr>
        <w:tab/>
        <w:t xml:space="preserve">Kaaseesistujad koostavad iga koosoleku esialgse päevakorra. </w:t>
      </w:r>
    </w:p>
    <w:p>
      <w:pPr>
        <w:pStyle w:val="Point0"/>
        <w:rPr>
          <w:b/>
          <w:noProof/>
        </w:rPr>
      </w:pPr>
      <w:r>
        <w:rPr>
          <w:noProof/>
        </w:rPr>
        <w:t>2.</w:t>
      </w:r>
      <w:r>
        <w:rPr>
          <w:noProof/>
        </w:rPr>
        <w:tab/>
        <w:t>Esialgne päevakord pannakse paika vähemalt 15</w:t>
      </w:r>
      <w:r>
        <w:rPr>
          <w:b/>
          <w:noProof/>
        </w:rPr>
        <w:t xml:space="preserve"> </w:t>
      </w:r>
      <w:r>
        <w:rPr>
          <w:noProof/>
        </w:rPr>
        <w:t xml:space="preserve">päeva enne koosoleku algust. </w:t>
      </w:r>
    </w:p>
    <w:p>
      <w:pPr>
        <w:pStyle w:val="Point0"/>
        <w:rPr>
          <w:noProof/>
        </w:rPr>
      </w:pPr>
      <w:r>
        <w:rPr>
          <w:noProof/>
        </w:rPr>
        <w:t>3.</w:t>
      </w:r>
      <w:r>
        <w:rPr>
          <w:noProof/>
        </w:rPr>
        <w:tab/>
        <w:t>Iga koosoleku alguses võtab ühiskomitee vastu lõpliku päevakorra. Lepinguosaliste otsusel võib päevakorda lisada ka punkte, mida esialgses päevakorras ei ole.</w:t>
      </w:r>
    </w:p>
    <w:p>
      <w:pPr>
        <w:pStyle w:val="Point0"/>
        <w:rPr>
          <w:b/>
          <w:noProof/>
        </w:rPr>
      </w:pPr>
      <w:r>
        <w:rPr>
          <w:noProof/>
        </w:rPr>
        <w:t>4.</w:t>
      </w:r>
      <w:r>
        <w:rPr>
          <w:noProof/>
        </w:rPr>
        <w:tab/>
        <w:t>Kaaseesistujad võivad vajaduse korral punktis 2 osutatud tähtaegu lühendada.</w:t>
      </w:r>
      <w:r>
        <w:rPr>
          <w:b/>
          <w:noProof/>
        </w:rPr>
        <w:t xml:space="preserve"> </w:t>
      </w:r>
    </w:p>
    <w:p>
      <w:pPr>
        <w:rPr>
          <w:noProof/>
        </w:rPr>
      </w:pPr>
    </w:p>
    <w:p>
      <w:pPr>
        <w:jc w:val="center"/>
        <w:rPr>
          <w:i/>
          <w:noProof/>
          <w:u w:val="single"/>
        </w:rPr>
      </w:pPr>
      <w:bookmarkStart w:id="7" w:name="bookmark13"/>
      <w:r>
        <w:rPr>
          <w:i/>
          <w:noProof/>
        </w:rPr>
        <w:t>Artikkel 8</w:t>
      </w:r>
    </w:p>
    <w:p>
      <w:pPr>
        <w:jc w:val="center"/>
        <w:rPr>
          <w:noProof/>
        </w:rPr>
      </w:pPr>
      <w:r>
        <w:rPr>
          <w:noProof/>
        </w:rPr>
        <w:t>Koosolekute protokollid</w:t>
      </w:r>
      <w:bookmarkEnd w:id="7"/>
    </w:p>
    <w:p>
      <w:pPr>
        <w:pStyle w:val="Point0"/>
        <w:rPr>
          <w:b/>
          <w:noProof/>
        </w:rPr>
      </w:pPr>
      <w:r>
        <w:rPr>
          <w:noProof/>
        </w:rPr>
        <w:t>1.</w:t>
      </w:r>
      <w:r>
        <w:rPr>
          <w:noProof/>
        </w:rPr>
        <w:tab/>
        <w:t xml:space="preserve">Sekretärid koostavad ühiselt iga koosoleku protokolli võimalikult kiiresti, kuid mitte hiljem kui kahe kuu jooksul pärast iga koosolekut, välja arvatud juhul, kui konsensuse alusel on otsustatud teisiti. Esialgne protokoll sisaldab üldjuhul lõplikku päevakorda ja iga päevakorra punti all peetud arutelude kokkuvõtet. </w:t>
      </w:r>
    </w:p>
    <w:p>
      <w:pPr>
        <w:pStyle w:val="Point0"/>
        <w:rPr>
          <w:b/>
          <w:noProof/>
        </w:rPr>
      </w:pPr>
      <w:r>
        <w:rPr>
          <w:noProof/>
        </w:rPr>
        <w:t>2.</w:t>
      </w:r>
      <w:r>
        <w:rPr>
          <w:noProof/>
        </w:rPr>
        <w:tab/>
        <w:t>Kaaseesistujad kiidavad koosoleku protokolli kirjalikult heaks võimalikult kiiresti, kuid mitte hiljem kui kahe kuu jooksul pärast iga koosolekut, välja arvatud juhul, kui konsensuse alusel on otsustatud teisiti.</w:t>
      </w:r>
      <w:r>
        <w:rPr>
          <w:b/>
          <w:noProof/>
        </w:rPr>
        <w:t xml:space="preserve"> </w:t>
      </w:r>
    </w:p>
    <w:p>
      <w:pPr>
        <w:rPr>
          <w:noProof/>
        </w:rPr>
      </w:pPr>
    </w:p>
    <w:p>
      <w:pPr>
        <w:jc w:val="center"/>
        <w:rPr>
          <w:noProof/>
        </w:rPr>
      </w:pPr>
      <w:r>
        <w:rPr>
          <w:noProof/>
        </w:rPr>
        <w:br w:type="page"/>
      </w:r>
    </w:p>
    <w:p>
      <w:pPr>
        <w:jc w:val="center"/>
        <w:rPr>
          <w:i/>
          <w:noProof/>
        </w:rPr>
      </w:pPr>
      <w:r>
        <w:rPr>
          <w:i/>
          <w:noProof/>
        </w:rPr>
        <w:t>Artikkel 9</w:t>
      </w:r>
    </w:p>
    <w:p>
      <w:pPr>
        <w:jc w:val="center"/>
        <w:rPr>
          <w:noProof/>
        </w:rPr>
      </w:pPr>
      <w:r>
        <w:rPr>
          <w:noProof/>
        </w:rPr>
        <w:t>Otsused ja soovitused</w:t>
      </w:r>
    </w:p>
    <w:p>
      <w:pPr>
        <w:pStyle w:val="Point0"/>
        <w:rPr>
          <w:b/>
          <w:noProof/>
        </w:rPr>
      </w:pPr>
      <w:r>
        <w:rPr>
          <w:noProof/>
        </w:rPr>
        <w:t>1.</w:t>
      </w:r>
      <w:r>
        <w:rPr>
          <w:noProof/>
        </w:rPr>
        <w:tab/>
        <w:t>Ühiskomitee esitab vajaduse korral lepingu artikli 42 kohaste funktsioonide ja ülesannete raames soovitusi ja võtab vastu otsuseid. Ühiskomitee soovitused ja otsused kannavad nimetust „soovitus“ või „otsus“, millele järgneb seerianumber, vastuvõtmise kuupäev ja teema kirjeldus. Igas soovituses või otsuses sätestatakse selle jõustumise kuupäev.</w:t>
      </w:r>
    </w:p>
    <w:p>
      <w:pPr>
        <w:pStyle w:val="Point0"/>
        <w:rPr>
          <w:noProof/>
        </w:rPr>
      </w:pPr>
      <w:r>
        <w:rPr>
          <w:noProof/>
        </w:rPr>
        <w:t>2.</w:t>
      </w:r>
      <w:r>
        <w:rPr>
          <w:noProof/>
        </w:rPr>
        <w:tab/>
        <w:t>Ühiskomitee esitab soovitusi ja võtab vastu otsuseid konsensuse alusel.</w:t>
      </w:r>
    </w:p>
    <w:p>
      <w:pPr>
        <w:pStyle w:val="Point0"/>
        <w:rPr>
          <w:noProof/>
        </w:rPr>
      </w:pPr>
      <w:r>
        <w:rPr>
          <w:noProof/>
        </w:rPr>
        <w:t>3.</w:t>
      </w:r>
      <w:r>
        <w:rPr>
          <w:noProof/>
        </w:rPr>
        <w:tab/>
        <w:t>Ühiskomitee võib otsustada esitada soovitusi ja võtta vastu otsuseid kirjaliku menetluse teel, vahetades teateid ühiskomitee kaaseesistujate vahel.</w:t>
      </w:r>
    </w:p>
    <w:p>
      <w:pPr>
        <w:pStyle w:val="Point0"/>
        <w:rPr>
          <w:b/>
          <w:noProof/>
        </w:rPr>
      </w:pPr>
      <w:r>
        <w:rPr>
          <w:noProof/>
        </w:rPr>
        <w:t>4.</w:t>
      </w:r>
      <w:r>
        <w:rPr>
          <w:noProof/>
        </w:rPr>
        <w:tab/>
        <w:t>Kaaseesistujad võtavad ühiskomitees vastuvõetud otsused ja soovitused kirjalikult vastu.</w:t>
      </w:r>
      <w:r>
        <w:rPr>
          <w:b/>
          <w:noProof/>
        </w:rPr>
        <w:t xml:space="preserve"> </w:t>
      </w:r>
    </w:p>
    <w:p>
      <w:pPr>
        <w:pStyle w:val="Point0"/>
        <w:rPr>
          <w:b/>
          <w:noProof/>
        </w:rPr>
      </w:pPr>
      <w:r>
        <w:rPr>
          <w:noProof/>
        </w:rPr>
        <w:t>5.</w:t>
      </w:r>
      <w:r>
        <w:rPr>
          <w:noProof/>
        </w:rPr>
        <w:tab/>
        <w:t>Mõlemad lepinguosalised võivad otsustada avaldada ühiskomitee soovitused ja otsused mis tahes asjakohases teabekanalis.</w:t>
      </w:r>
      <w:r>
        <w:rPr>
          <w:b/>
          <w:noProof/>
        </w:rPr>
        <w:t xml:space="preserve"> </w:t>
      </w:r>
    </w:p>
    <w:p>
      <w:pPr>
        <w:rPr>
          <w:b/>
          <w:noProof/>
          <w:lang w:eastAsia="ja-JP"/>
        </w:rPr>
      </w:pPr>
    </w:p>
    <w:p>
      <w:pPr>
        <w:jc w:val="center"/>
        <w:rPr>
          <w:i/>
          <w:noProof/>
        </w:rPr>
      </w:pPr>
      <w:bookmarkStart w:id="8" w:name="bookmark17"/>
      <w:r>
        <w:rPr>
          <w:i/>
          <w:noProof/>
        </w:rPr>
        <w:t>Artikkel 10</w:t>
      </w:r>
    </w:p>
    <w:p>
      <w:pPr>
        <w:jc w:val="center"/>
        <w:rPr>
          <w:noProof/>
        </w:rPr>
      </w:pPr>
      <w:r>
        <w:rPr>
          <w:noProof/>
        </w:rPr>
        <w:t>Kulud</w:t>
      </w:r>
      <w:bookmarkEnd w:id="8"/>
    </w:p>
    <w:p>
      <w:pPr>
        <w:pStyle w:val="Point0"/>
        <w:rPr>
          <w:b/>
          <w:noProof/>
        </w:rPr>
      </w:pPr>
      <w:r>
        <w:rPr>
          <w:noProof/>
        </w:rPr>
        <w:t>1.</w:t>
      </w:r>
      <w:r>
        <w:rPr>
          <w:noProof/>
        </w:rPr>
        <w:tab/>
        <w:t>Lepinguosalised kannavad</w:t>
      </w:r>
      <w:r>
        <w:rPr>
          <w:b/>
          <w:noProof/>
        </w:rPr>
        <w:t xml:space="preserve"> </w:t>
      </w:r>
      <w:r>
        <w:rPr>
          <w:noProof/>
        </w:rPr>
        <w:t>ise kõik ühiskomitee koosolekutel osalemisega seotud kulud, sealhulgas personali-, reisi-, elamis-, posti- ja telekommunikatsioonikulud</w:t>
      </w:r>
      <w:r>
        <w:rPr>
          <w:b/>
          <w:noProof/>
        </w:rPr>
        <w:t>.</w:t>
      </w:r>
    </w:p>
    <w:p>
      <w:pPr>
        <w:pStyle w:val="Point0"/>
        <w:rPr>
          <w:b/>
          <w:noProof/>
        </w:rPr>
      </w:pPr>
      <w:r>
        <w:rPr>
          <w:noProof/>
        </w:rPr>
        <w:t>2.</w:t>
      </w:r>
      <w:r>
        <w:rPr>
          <w:noProof/>
        </w:rPr>
        <w:tab/>
        <w:t>Koosolekute korraldamise ja dokumentide paljundamisega seotud kulud</w:t>
      </w:r>
      <w:r>
        <w:rPr>
          <w:b/>
          <w:noProof/>
        </w:rPr>
        <w:t xml:space="preserve"> </w:t>
      </w:r>
      <w:r>
        <w:rPr>
          <w:noProof/>
        </w:rPr>
        <w:t>kannab see lepinguosaline, kes koosoleku korraldab</w:t>
      </w:r>
      <w:bookmarkStart w:id="9" w:name="bookmark18"/>
      <w:r>
        <w:rPr>
          <w:b/>
          <w:noProof/>
        </w:rPr>
        <w:t>.</w:t>
      </w:r>
    </w:p>
    <w:p>
      <w:pPr>
        <w:rPr>
          <w:noProof/>
        </w:rPr>
      </w:pPr>
    </w:p>
    <w:p>
      <w:pPr>
        <w:jc w:val="center"/>
        <w:rPr>
          <w:i/>
          <w:noProof/>
        </w:rPr>
      </w:pPr>
      <w:r>
        <w:rPr>
          <w:i/>
          <w:noProof/>
        </w:rPr>
        <w:t>Artikkel 11</w:t>
      </w:r>
      <w:r>
        <w:rPr>
          <w:i/>
          <w:noProof/>
          <w:u w:val="single"/>
        </w:rPr>
        <w:t xml:space="preserve"> </w:t>
      </w:r>
    </w:p>
    <w:p>
      <w:pPr>
        <w:jc w:val="center"/>
        <w:rPr>
          <w:noProof/>
        </w:rPr>
      </w:pPr>
      <w:r>
        <w:rPr>
          <w:noProof/>
        </w:rPr>
        <w:t>Töörühmad</w:t>
      </w:r>
    </w:p>
    <w:p>
      <w:pPr>
        <w:pStyle w:val="Point0"/>
        <w:rPr>
          <w:noProof/>
        </w:rPr>
      </w:pPr>
      <w:r>
        <w:rPr>
          <w:noProof/>
        </w:rPr>
        <w:t>1.</w:t>
      </w:r>
      <w:r>
        <w:rPr>
          <w:noProof/>
        </w:rPr>
        <w:tab/>
        <w:t>Ühiskomitee otsuse alusel võib asutada töörühmi, kes abistavad ühiskomiteed selle ülesannete täitmisel.</w:t>
      </w:r>
    </w:p>
    <w:p>
      <w:pPr>
        <w:pStyle w:val="Point0"/>
        <w:rPr>
          <w:noProof/>
        </w:rPr>
      </w:pPr>
      <w:r>
        <w:rPr>
          <w:noProof/>
        </w:rPr>
        <w:t>2.</w:t>
      </w:r>
      <w:r>
        <w:rPr>
          <w:noProof/>
        </w:rPr>
        <w:tab/>
        <w:t>Ühiskomitee võib otsustada olemasoleva töörühma laiali saata, määrata kindlaks selle pädevustingimused või neid muuta.</w:t>
      </w:r>
    </w:p>
    <w:p>
      <w:pPr>
        <w:pStyle w:val="Point0"/>
        <w:rPr>
          <w:noProof/>
        </w:rPr>
      </w:pPr>
      <w:r>
        <w:rPr>
          <w:noProof/>
        </w:rPr>
        <w:t>3.</w:t>
      </w:r>
      <w:r>
        <w:rPr>
          <w:noProof/>
        </w:rPr>
        <w:tab/>
        <w:t>Töörühmad esitavad pärast iga oma koosolekut ühiskomiteele aruande.</w:t>
      </w:r>
    </w:p>
    <w:p>
      <w:pPr>
        <w:rPr>
          <w:noProof/>
        </w:rPr>
      </w:pPr>
    </w:p>
    <w:p>
      <w:pPr>
        <w:jc w:val="center"/>
        <w:rPr>
          <w:i/>
          <w:noProof/>
        </w:rPr>
      </w:pPr>
      <w:r>
        <w:rPr>
          <w:i/>
          <w:noProof/>
        </w:rPr>
        <w:t>Artikkel 12</w:t>
      </w:r>
    </w:p>
    <w:p>
      <w:pPr>
        <w:ind w:firstLine="720"/>
        <w:jc w:val="center"/>
        <w:rPr>
          <w:noProof/>
        </w:rPr>
      </w:pPr>
      <w:r>
        <w:rPr>
          <w:noProof/>
        </w:rPr>
        <w:t>Töökorra muutmine</w:t>
      </w:r>
      <w:bookmarkEnd w:id="9"/>
    </w:p>
    <w:p>
      <w:pPr>
        <w:rPr>
          <w:noProof/>
        </w:rPr>
      </w:pPr>
      <w:r>
        <w:rPr>
          <w:noProof/>
        </w:rPr>
        <w:t xml:space="preserve">Lepinguosalised võivad töökorda vastavalt artiklile 9 muuta. </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xxx, xx.xx.xxxx, lk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A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AEF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FC6C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AC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B258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BAC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4FF1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CAB3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8 10:16: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1"/>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3EF48401-90F5-43CA-B1AA-03A33026ACE4"/>
    <w:docVar w:name="LW_COVERPAGE_TYPE" w:val="1"/>
    <w:docVar w:name="LW_CROSSREFERENCE" w:val="&lt;UNUSED&gt;"/>
    <w:docVar w:name="LW_DocType" w:val="ANNEX"/>
    <w:docVar w:name="LW_EMISSION" w:val="22.2.2019"/>
    <w:docVar w:name="LW_EMISSION_ISODATE" w:val="2019-02-22"/>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ühelt poolt Euroopa Liidu ja selle liikmesriikide ning teiselt poolt Jaapani vahelise strateegilise partnerluse lepinguga moodustatud ühiskomitees seoses ühiskomitee töökorra vastuvõtmisega"/>
    <w:docVar w:name="LW_OBJETACTEPRINCIPAL.CP" w:val="seisukoha kohta, mis võetakse Euroopa Liidu nimel ühelt poolt Euroopa Liidu ja selle liikmesriikide ning teiselt poolt Jaapani vahelise strateegilise partnerluse lepinguga moodustatud ühiskomitees seoses ühiskomitee töökorra vastuvõtmisega"/>
    <w:docVar w:name="LW_PART_NBR" w:val="1"/>
    <w:docVar w:name="LW_PART_NBR_TOTAL" w:val="1"/>
    <w:docVar w:name="LW_REF.INST.NEW" w:val="COM"/>
    <w:docVar w:name="LW_REF.INST.NEW_ADOPTED" w:val="final"/>
    <w:docVar w:name="LW_REF.INST.NEW_TEXT" w:val="(2019)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627</Words>
  <Characters>4477</Characters>
  <Application>Microsoft Office Word</Application>
  <DocSecurity>0</DocSecurity>
  <Lines>127</Lines>
  <Paragraphs>78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 Jenny (EEAS)</dc:creator>
  <cp:lastModifiedBy>WES PDFC Administrator</cp:lastModifiedBy>
  <cp:revision>8</cp:revision>
  <dcterms:created xsi:type="dcterms:W3CDTF">2019-02-27T09:37:00Z</dcterms:created>
  <dcterms:modified xsi:type="dcterms:W3CDTF">2019-02-28T09:16:00Z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