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7EE0558C-1AA6-48A2-BA0F-FD501FD74814" style="width:450.75pt;height:411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BILAG</w:t>
      </w:r>
    </w:p>
    <w:p>
      <w:pPr>
        <w:pStyle w:val="Typedudocument"/>
        <w:rPr>
          <w:noProof/>
        </w:rPr>
      </w:pPr>
      <w:r>
        <w:rPr>
          <w:noProof/>
        </w:rPr>
        <w:t xml:space="preserve">AFGØRELSE nr. 1/2019 </w:t>
      </w:r>
      <w:r>
        <w:rPr>
          <w:noProof/>
        </w:rPr>
        <w:br/>
        <w:t xml:space="preserve">FRA DET BLANDEDE UDVALG NEDSAT VED </w:t>
      </w:r>
      <w:r>
        <w:rPr>
          <w:noProof/>
        </w:rPr>
        <w:br/>
        <w:t>DEN STRATEGISKE PARTNERSKABSAFTALE MELLEM EU OG JAPAN</w:t>
      </w:r>
    </w:p>
    <w:p>
      <w:pPr>
        <w:pStyle w:val="Datedadoption"/>
        <w:rPr>
          <w:noProof/>
        </w:rPr>
      </w:pPr>
      <w:r>
        <w:rPr>
          <w:noProof/>
        </w:rPr>
        <w:t>af 0.0.0</w:t>
      </w:r>
    </w:p>
    <w:p>
      <w:pPr>
        <w:pStyle w:val="Titreobjet"/>
        <w:rPr>
          <w:noProof/>
        </w:rPr>
      </w:pPr>
      <w:r>
        <w:rPr>
          <w:noProof/>
        </w:rPr>
        <w:t>om vedtagelse af dets forretningsorden</w:t>
      </w:r>
    </w:p>
    <w:p>
      <w:pPr>
        <w:pStyle w:val="Institutionquiagit"/>
        <w:rPr>
          <w:noProof/>
        </w:rPr>
      </w:pPr>
      <w:r>
        <w:rPr>
          <w:noProof/>
        </w:rPr>
        <w:t>DET BLANDEDE UDVALG HAR —</w:t>
      </w:r>
    </w:p>
    <w:p>
      <w:pPr>
        <w:rPr>
          <w:noProof/>
        </w:rPr>
      </w:pPr>
      <w:r>
        <w:rPr>
          <w:noProof/>
        </w:rPr>
        <w:t>under henvisning til den strategiske partnerskabsaftale mellem Den Europæiske Union og dens medlemsstater på den ene side og Japan på den anden side</w:t>
      </w:r>
      <w:r>
        <w:rPr>
          <w:rStyle w:val="FootnoteReference"/>
          <w:noProof/>
        </w:rPr>
        <w:footnoteReference w:id="1"/>
      </w:r>
      <w:r>
        <w:rPr>
          <w:noProof/>
        </w:rPr>
        <w:t xml:space="preserve"> ("aftalen"), særlig artikel 42, og</w:t>
      </w:r>
    </w:p>
    <w:p>
      <w:pPr>
        <w:rPr>
          <w:noProof/>
        </w:rPr>
      </w:pPr>
    </w:p>
    <w:p>
      <w:pPr>
        <w:rPr>
          <w:noProof/>
        </w:rPr>
      </w:pPr>
      <w:r>
        <w:rPr>
          <w:noProof/>
        </w:rPr>
        <w:t>ud fra følgende betragtninger:</w:t>
      </w:r>
    </w:p>
    <w:p>
      <w:pPr>
        <w:pStyle w:val="Considrant"/>
        <w:numPr>
          <w:ilvl w:val="0"/>
          <w:numId w:val="9"/>
        </w:numPr>
        <w:rPr>
          <w:noProof/>
        </w:rPr>
      </w:pPr>
      <w:r>
        <w:rPr>
          <w:noProof/>
        </w:rPr>
        <w:t>Indtil aftalen træder i kraft har dele af den fundet anvendelse siden den 1. februar 2019.</w:t>
      </w:r>
    </w:p>
    <w:p>
      <w:pPr>
        <w:pStyle w:val="Considrant"/>
        <w:rPr>
          <w:noProof/>
        </w:rPr>
      </w:pPr>
      <w:r>
        <w:rPr>
          <w:noProof/>
        </w:rPr>
        <w:t>For at sikre effektiv anvendelse, indtil aftalen træder i kraft, bør det blandede udvalg nedsættes snarest muligt.</w:t>
      </w:r>
    </w:p>
    <w:p>
      <w:pPr>
        <w:pStyle w:val="Considrant"/>
        <w:rPr>
          <w:noProof/>
        </w:rPr>
      </w:pPr>
      <w:r>
        <w:rPr>
          <w:noProof/>
        </w:rPr>
        <w:t>I henhold til artikel 42, stk. 5, i aftalen bør det blandede udvalg derfor vedtage sin forretningsorden —</w:t>
      </w:r>
    </w:p>
    <w:p>
      <w:pPr>
        <w:rPr>
          <w:noProof/>
        </w:rPr>
      </w:pPr>
    </w:p>
    <w:p>
      <w:pPr>
        <w:pStyle w:val="Formuledadoption"/>
        <w:rPr>
          <w:noProof/>
        </w:rPr>
      </w:pPr>
      <w:r>
        <w:rPr>
          <w:noProof/>
        </w:rPr>
        <w:t>VEDTAGET DENNE AFGØRELSE:</w:t>
      </w:r>
    </w:p>
    <w:p>
      <w:pPr>
        <w:rPr>
          <w:noProof/>
        </w:rPr>
      </w:pPr>
    </w:p>
    <w:p>
      <w:pPr>
        <w:pStyle w:val="NumPar1"/>
        <w:numPr>
          <w:ilvl w:val="0"/>
          <w:numId w:val="10"/>
        </w:numPr>
        <w:rPr>
          <w:noProof/>
        </w:rPr>
      </w:pPr>
      <w:r>
        <w:rPr>
          <w:noProof/>
        </w:rPr>
        <w:t>Forretningsordenen for det blandede udvalg som fastsat i bilaget vedtages herved.</w:t>
      </w:r>
    </w:p>
    <w:p>
      <w:pPr>
        <w:pStyle w:val="NumPar1"/>
        <w:rPr>
          <w:noProof/>
        </w:rPr>
      </w:pPr>
      <w:r>
        <w:rPr>
          <w:noProof/>
        </w:rPr>
        <w:t>Denne afgørelse træder i kraft på dagen for vedtagelsen.</w:t>
      </w:r>
    </w:p>
    <w:p>
      <w:pPr>
        <w:rPr>
          <w:noProof/>
        </w:rPr>
      </w:pPr>
    </w:p>
    <w:p>
      <w:pPr>
        <w:pStyle w:val="Fait"/>
        <w:rPr>
          <w:noProof/>
        </w:rPr>
      </w:pPr>
      <w:r>
        <w:rPr>
          <w:noProof/>
        </w:rPr>
        <w:t>Undertegnet i …, den ….</w:t>
      </w:r>
    </w:p>
    <w:p>
      <w:pPr>
        <w:pStyle w:val="Institutionquisigne"/>
        <w:rPr>
          <w:noProof/>
        </w:rPr>
      </w:pPr>
      <w:r>
        <w:rPr>
          <w:noProof/>
        </w:rPr>
        <w:tab/>
        <w:t>På det blandede udvalgs vegne</w:t>
      </w:r>
    </w:p>
    <w:p>
      <w:pPr>
        <w:pStyle w:val="Personnequisigne"/>
        <w:rPr>
          <w:noProof/>
        </w:rPr>
      </w:pPr>
      <w:r>
        <w:rPr>
          <w:noProof/>
        </w:rPr>
        <w:tab/>
        <w:t>Formændene</w:t>
      </w:r>
    </w:p>
    <w:p>
      <w:pPr>
        <w:pStyle w:val="Lignefinal"/>
        <w:rPr>
          <w:noProof/>
        </w:rPr>
      </w:pPr>
    </w:p>
    <w:p>
      <w:pPr>
        <w:jc w:val="center"/>
        <w:rPr>
          <w:b/>
          <w:noProof/>
        </w:rPr>
      </w:pPr>
      <w:r>
        <w:rPr>
          <w:noProof/>
        </w:rPr>
        <w:br w:type="page"/>
      </w:r>
      <w:r>
        <w:rPr>
          <w:b/>
          <w:noProof/>
        </w:rPr>
        <w:t>Bilag til afgørelse nr. 1/2019</w:t>
      </w:r>
    </w:p>
    <w:p>
      <w:pPr>
        <w:jc w:val="center"/>
        <w:rPr>
          <w:b/>
          <w:noProof/>
        </w:rPr>
      </w:pPr>
      <w:r>
        <w:rPr>
          <w:b/>
          <w:noProof/>
        </w:rPr>
        <w:t xml:space="preserve">Strategisk partnerskabsaftale </w:t>
      </w:r>
      <w:r>
        <w:rPr>
          <w:b/>
          <w:noProof/>
        </w:rPr>
        <w:br/>
        <w:t xml:space="preserve">mellem Den Europæiske Union og dens medlemsstater på den ene side </w:t>
      </w:r>
      <w:r>
        <w:rPr>
          <w:b/>
          <w:noProof/>
        </w:rPr>
        <w:br/>
        <w:t xml:space="preserve"> og Japan på den anden side</w:t>
      </w:r>
    </w:p>
    <w:p>
      <w:pPr>
        <w:jc w:val="center"/>
        <w:rPr>
          <w:b/>
          <w:noProof/>
        </w:rPr>
      </w:pPr>
      <w:r>
        <w:rPr>
          <w:b/>
          <w:noProof/>
        </w:rPr>
        <w:t>Det blandede udvalgs forretningsorden</w:t>
      </w:r>
    </w:p>
    <w:p>
      <w:pPr>
        <w:jc w:val="center"/>
        <w:rPr>
          <w:b/>
          <w:noProof/>
        </w:rPr>
      </w:pPr>
    </w:p>
    <w:p>
      <w:pPr>
        <w:jc w:val="center"/>
        <w:rPr>
          <w:i/>
          <w:noProof/>
        </w:rPr>
      </w:pPr>
      <w:bookmarkStart w:id="1" w:name="bookmark7"/>
      <w:r>
        <w:rPr>
          <w:i/>
          <w:noProof/>
        </w:rPr>
        <w:t>Artikel 1</w:t>
      </w:r>
    </w:p>
    <w:p>
      <w:pPr>
        <w:jc w:val="center"/>
        <w:rPr>
          <w:noProof/>
        </w:rPr>
      </w:pPr>
      <w:r>
        <w:rPr>
          <w:noProof/>
        </w:rPr>
        <w:t>Opgaver og sammensætning</w:t>
      </w:r>
      <w:bookmarkEnd w:id="1"/>
    </w:p>
    <w:p>
      <w:pPr>
        <w:pStyle w:val="Point0"/>
        <w:rPr>
          <w:noProof/>
        </w:rPr>
      </w:pPr>
      <w:r>
        <w:rPr>
          <w:noProof/>
        </w:rPr>
        <w:t>1.</w:t>
      </w:r>
      <w:r>
        <w:rPr>
          <w:noProof/>
        </w:rPr>
        <w:tab/>
        <w:t>Det blandede udvalg udfører de opgaver, der er fastsat i artikel 42 i den strategiske partnerskabsaftale mellem Den Europæiske Union og dens medlemsstater på den ene side (</w:t>
      </w:r>
      <w:r>
        <w:rPr>
          <w:noProof/>
        </w:rPr>
        <w:tab/>
        <w:t>i det følgende benævnt "Unionen") og Japan på den anden side ("aftalen").</w:t>
      </w:r>
    </w:p>
    <w:p>
      <w:pPr>
        <w:pStyle w:val="Point0"/>
        <w:rPr>
          <w:noProof/>
        </w:rPr>
      </w:pPr>
      <w:r>
        <w:rPr>
          <w:noProof/>
        </w:rPr>
        <w:t>2.</w:t>
      </w:r>
      <w:r>
        <w:rPr>
          <w:noProof/>
        </w:rPr>
        <w:tab/>
        <w:t xml:space="preserve">Det blandede udvalg består af repræsentanter for parterne. </w:t>
      </w:r>
    </w:p>
    <w:p>
      <w:pPr>
        <w:pStyle w:val="Point0"/>
        <w:rPr>
          <w:noProof/>
        </w:rPr>
      </w:pPr>
    </w:p>
    <w:p>
      <w:pPr>
        <w:jc w:val="center"/>
        <w:rPr>
          <w:i/>
          <w:noProof/>
        </w:rPr>
      </w:pPr>
      <w:r>
        <w:rPr>
          <w:i/>
          <w:noProof/>
        </w:rPr>
        <w:t>Artikel 2</w:t>
      </w:r>
    </w:p>
    <w:p>
      <w:pPr>
        <w:jc w:val="center"/>
        <w:rPr>
          <w:noProof/>
        </w:rPr>
      </w:pPr>
      <w:r>
        <w:rPr>
          <w:noProof/>
        </w:rPr>
        <w:t>Formand</w:t>
      </w:r>
    </w:p>
    <w:p>
      <w:pPr>
        <w:rPr>
          <w:noProof/>
        </w:rPr>
      </w:pPr>
      <w:r>
        <w:rPr>
          <w:noProof/>
        </w:rPr>
        <w:t>Det blandede udvalg ledes i fællesskab af repræsentanterne for Unionen på den ene side og Japan på den anden side. I det følgende tilsammen benævnt "parterne" og hver for sig "parten".</w:t>
      </w:r>
    </w:p>
    <w:p>
      <w:pPr>
        <w:pStyle w:val="Point0"/>
        <w:rPr>
          <w:noProof/>
        </w:rPr>
      </w:pPr>
    </w:p>
    <w:p>
      <w:pPr>
        <w:jc w:val="center"/>
        <w:rPr>
          <w:i/>
          <w:noProof/>
        </w:rPr>
      </w:pPr>
      <w:bookmarkStart w:id="2" w:name="bookmark8"/>
      <w:r>
        <w:rPr>
          <w:i/>
          <w:noProof/>
        </w:rPr>
        <w:t>Artikel 3</w:t>
      </w:r>
    </w:p>
    <w:p>
      <w:pPr>
        <w:jc w:val="center"/>
        <w:rPr>
          <w:noProof/>
        </w:rPr>
      </w:pPr>
      <w:r>
        <w:rPr>
          <w:noProof/>
        </w:rPr>
        <w:t>Møder</w:t>
      </w:r>
      <w:bookmarkEnd w:id="2"/>
    </w:p>
    <w:p>
      <w:pPr>
        <w:pStyle w:val="Point0"/>
        <w:rPr>
          <w:noProof/>
        </w:rPr>
      </w:pPr>
      <w:r>
        <w:rPr>
          <w:noProof/>
        </w:rPr>
        <w:t>1.</w:t>
      </w:r>
      <w:r>
        <w:rPr>
          <w:noProof/>
        </w:rPr>
        <w:tab/>
        <w:t>Det blandede udvalg mødes normalt en gang om året skiftevis i Tokyo og Bruxelles på en dato, som fastsættes ved konsensus. Det træder også sammen på anmodning af en af parterne ved konsensus.</w:t>
      </w:r>
    </w:p>
    <w:p>
      <w:pPr>
        <w:pStyle w:val="Point0"/>
        <w:rPr>
          <w:noProof/>
        </w:rPr>
      </w:pPr>
      <w:r>
        <w:rPr>
          <w:noProof/>
        </w:rPr>
        <w:t>2.</w:t>
      </w:r>
      <w:r>
        <w:rPr>
          <w:noProof/>
        </w:rPr>
        <w:tab/>
        <w:t>Det blandede udvalg holder normalt møder på højt embedsmandsniveau, medmindre parterne beslutter andet.</w:t>
      </w:r>
    </w:p>
    <w:p>
      <w:pPr>
        <w:pStyle w:val="Point0"/>
        <w:rPr>
          <w:noProof/>
        </w:rPr>
      </w:pPr>
    </w:p>
    <w:p>
      <w:pPr>
        <w:jc w:val="center"/>
        <w:rPr>
          <w:i/>
          <w:noProof/>
        </w:rPr>
      </w:pPr>
      <w:bookmarkStart w:id="3" w:name="bookmark9"/>
      <w:r>
        <w:rPr>
          <w:i/>
          <w:noProof/>
        </w:rPr>
        <w:t>Artikel 4</w:t>
      </w:r>
    </w:p>
    <w:p>
      <w:pPr>
        <w:jc w:val="center"/>
        <w:rPr>
          <w:i/>
          <w:noProof/>
        </w:rPr>
      </w:pPr>
      <w:r>
        <w:rPr>
          <w:noProof/>
        </w:rPr>
        <w:t>Offentlighed</w:t>
      </w:r>
      <w:bookmarkEnd w:id="3"/>
    </w:p>
    <w:p>
      <w:pPr>
        <w:rPr>
          <w:noProof/>
        </w:rPr>
      </w:pPr>
      <w:r>
        <w:rPr>
          <w:noProof/>
        </w:rPr>
        <w:t>Det blandede udvalgs møder er ikke offentlige, medmindre parterne bestemmer andet.</w:t>
      </w:r>
    </w:p>
    <w:p>
      <w:pPr>
        <w:pStyle w:val="Point0"/>
        <w:rPr>
          <w:noProof/>
        </w:rPr>
      </w:pPr>
    </w:p>
    <w:p>
      <w:pPr>
        <w:jc w:val="center"/>
        <w:rPr>
          <w:i/>
          <w:noProof/>
        </w:rPr>
      </w:pPr>
      <w:bookmarkStart w:id="4" w:name="bookmark11"/>
      <w:r>
        <w:rPr>
          <w:i/>
          <w:noProof/>
        </w:rPr>
        <w:t>Artikel 5</w:t>
      </w:r>
    </w:p>
    <w:p>
      <w:pPr>
        <w:jc w:val="center"/>
        <w:rPr>
          <w:noProof/>
        </w:rPr>
      </w:pPr>
      <w:r>
        <w:rPr>
          <w:noProof/>
        </w:rPr>
        <w:t>Sekretæ</w:t>
      </w:r>
      <w:bookmarkEnd w:id="4"/>
      <w:r>
        <w:rPr>
          <w:noProof/>
        </w:rPr>
        <w:t>rer.</w:t>
      </w:r>
    </w:p>
    <w:p>
      <w:pPr>
        <w:rPr>
          <w:noProof/>
        </w:rPr>
      </w:pPr>
      <w:r>
        <w:rPr>
          <w:noProof/>
        </w:rPr>
        <w:t>En repræsentant for Tjenesten for EU's Optræden Udadtil og en repræsentant for Japans udenrigsministerium fungerer sammen som sekretærer for det blandede udvalg. Al korrespondance til og fra formændene for det blandede udvalg fremsendes til sekretærerne.</w:t>
      </w:r>
      <w:bookmarkStart w:id="5" w:name="bookmark12"/>
    </w:p>
    <w:p>
      <w:pPr>
        <w:spacing w:before="0" w:after="200" w:line="276" w:lineRule="auto"/>
        <w:jc w:val="left"/>
        <w:rPr>
          <w:noProof/>
        </w:rPr>
      </w:pPr>
      <w:r>
        <w:rPr>
          <w:noProof/>
        </w:rPr>
        <w:br w:type="page"/>
      </w:r>
    </w:p>
    <w:p>
      <w:pPr>
        <w:rPr>
          <w:noProof/>
        </w:rPr>
      </w:pPr>
    </w:p>
    <w:p>
      <w:pPr>
        <w:jc w:val="center"/>
        <w:rPr>
          <w:i/>
          <w:noProof/>
        </w:rPr>
      </w:pPr>
      <w:bookmarkStart w:id="6" w:name="bookmark10"/>
      <w:r>
        <w:rPr>
          <w:i/>
          <w:noProof/>
        </w:rPr>
        <w:t>Artikel 6</w:t>
      </w:r>
    </w:p>
    <w:p>
      <w:pPr>
        <w:jc w:val="center"/>
        <w:rPr>
          <w:noProof/>
        </w:rPr>
      </w:pPr>
      <w:r>
        <w:rPr>
          <w:noProof/>
        </w:rPr>
        <w:t>Deltagere</w:t>
      </w:r>
      <w:bookmarkEnd w:id="6"/>
    </w:p>
    <w:p>
      <w:pPr>
        <w:pStyle w:val="Point0"/>
        <w:rPr>
          <w:noProof/>
        </w:rPr>
      </w:pPr>
      <w:r>
        <w:rPr>
          <w:noProof/>
        </w:rPr>
        <w:t>1.</w:t>
      </w:r>
      <w:r>
        <w:rPr>
          <w:noProof/>
        </w:rPr>
        <w:tab/>
        <w:t>Inden hvert møde underrettes formændene gennem sekretariatet om den planlagte sammensætning af parternes delegationer.</w:t>
      </w:r>
    </w:p>
    <w:p>
      <w:pPr>
        <w:pStyle w:val="Point0"/>
        <w:rPr>
          <w:noProof/>
        </w:rPr>
      </w:pPr>
      <w:r>
        <w:rPr>
          <w:noProof/>
        </w:rPr>
        <w:t>2.</w:t>
      </w:r>
      <w:r>
        <w:rPr>
          <w:noProof/>
        </w:rPr>
        <w:tab/>
        <w:t>Når det er hensigtsmæssigt og ved konsensus, kan eksperter eller repræsentanter for andre relevante enheder indbydes til at deltage i det blandede udvalgs møder som observatører eller for at orientere om et bestemt emne.</w:t>
      </w:r>
    </w:p>
    <w:p>
      <w:pPr>
        <w:rPr>
          <w:noProof/>
        </w:rPr>
      </w:pPr>
    </w:p>
    <w:p>
      <w:pPr>
        <w:jc w:val="center"/>
        <w:rPr>
          <w:i/>
          <w:noProof/>
        </w:rPr>
      </w:pPr>
      <w:r>
        <w:rPr>
          <w:i/>
          <w:noProof/>
        </w:rPr>
        <w:t>Artikel 7</w:t>
      </w:r>
    </w:p>
    <w:p>
      <w:pPr>
        <w:jc w:val="center"/>
        <w:rPr>
          <w:noProof/>
        </w:rPr>
      </w:pPr>
      <w:r>
        <w:rPr>
          <w:noProof/>
        </w:rPr>
        <w:t>Dagsorden for møderne</w:t>
      </w:r>
      <w:bookmarkEnd w:id="5"/>
    </w:p>
    <w:p>
      <w:pPr>
        <w:pStyle w:val="Point0"/>
        <w:rPr>
          <w:noProof/>
        </w:rPr>
      </w:pPr>
      <w:r>
        <w:rPr>
          <w:noProof/>
        </w:rPr>
        <w:t>1.</w:t>
      </w:r>
      <w:r>
        <w:rPr>
          <w:noProof/>
        </w:rPr>
        <w:tab/>
        <w:t xml:space="preserve">Formændene opstiller en foreløbig dagsorden for hvert møde. </w:t>
      </w:r>
    </w:p>
    <w:p>
      <w:pPr>
        <w:pStyle w:val="Point0"/>
        <w:rPr>
          <w:b/>
          <w:noProof/>
        </w:rPr>
      </w:pPr>
      <w:r>
        <w:rPr>
          <w:noProof/>
        </w:rPr>
        <w:t>2.</w:t>
      </w:r>
      <w:r>
        <w:rPr>
          <w:noProof/>
        </w:rPr>
        <w:tab/>
        <w:t>Den foreløbige dagsorden fastlægges senest 15 dage før mødets begyndelse.</w:t>
      </w:r>
    </w:p>
    <w:p>
      <w:pPr>
        <w:pStyle w:val="Point0"/>
        <w:rPr>
          <w:noProof/>
        </w:rPr>
      </w:pPr>
      <w:r>
        <w:rPr>
          <w:noProof/>
        </w:rPr>
        <w:t>3.</w:t>
      </w:r>
      <w:r>
        <w:rPr>
          <w:noProof/>
        </w:rPr>
        <w:tab/>
        <w:t>Det blandede udvalg vedtager den endelige dagsorden ved begyndelsen af hvert møde. Punkter, som ikke findes på den foreløbige dagsorden, kan optages på dagsordenen, hvis parterne beslutter dette.</w:t>
      </w:r>
    </w:p>
    <w:p>
      <w:pPr>
        <w:pStyle w:val="Point0"/>
        <w:rPr>
          <w:b/>
          <w:noProof/>
        </w:rPr>
      </w:pPr>
      <w:r>
        <w:rPr>
          <w:noProof/>
        </w:rPr>
        <w:t>4.</w:t>
      </w:r>
      <w:r>
        <w:rPr>
          <w:noProof/>
        </w:rPr>
        <w:tab/>
        <w:t>Formændene kan om nødvendigt afkorte de frister, der er omhandlet i artikel 2.</w:t>
      </w:r>
      <w:r>
        <w:rPr>
          <w:b/>
          <w:noProof/>
        </w:rPr>
        <w:t xml:space="preserve"> </w:t>
      </w:r>
    </w:p>
    <w:p>
      <w:pPr>
        <w:rPr>
          <w:noProof/>
        </w:rPr>
      </w:pPr>
    </w:p>
    <w:p>
      <w:pPr>
        <w:jc w:val="center"/>
        <w:rPr>
          <w:i/>
          <w:noProof/>
          <w:u w:val="single"/>
        </w:rPr>
      </w:pPr>
      <w:bookmarkStart w:id="7" w:name="bookmark13"/>
      <w:r>
        <w:rPr>
          <w:i/>
          <w:noProof/>
        </w:rPr>
        <w:t>Artikel 8</w:t>
      </w:r>
    </w:p>
    <w:p>
      <w:pPr>
        <w:jc w:val="center"/>
        <w:rPr>
          <w:noProof/>
        </w:rPr>
      </w:pPr>
      <w:r>
        <w:rPr>
          <w:noProof/>
        </w:rPr>
        <w:t>Referat</w:t>
      </w:r>
      <w:bookmarkEnd w:id="7"/>
    </w:p>
    <w:p>
      <w:pPr>
        <w:pStyle w:val="Point0"/>
        <w:rPr>
          <w:b/>
          <w:noProof/>
        </w:rPr>
      </w:pPr>
      <w:r>
        <w:rPr>
          <w:noProof/>
        </w:rPr>
        <w:t>1.</w:t>
      </w:r>
      <w:r>
        <w:rPr>
          <w:noProof/>
        </w:rPr>
        <w:tab/>
        <w:t xml:space="preserve">Sekretærerne udarbejder i fællesskab hurtigst muligt og senest to måneder efter afslutningen af et møde et referat heraf, medmindre andet besluttes ved konsensus. Udkastet til referat vil som hovedregel indeholde den endelige dagsorden og et resumé af drøftelserne under hvert punkt på dagsordenen. </w:t>
      </w:r>
    </w:p>
    <w:p>
      <w:pPr>
        <w:pStyle w:val="Point0"/>
        <w:rPr>
          <w:b/>
          <w:noProof/>
        </w:rPr>
      </w:pPr>
      <w:r>
        <w:rPr>
          <w:noProof/>
        </w:rPr>
        <w:t>2.</w:t>
      </w:r>
      <w:r>
        <w:rPr>
          <w:noProof/>
        </w:rPr>
        <w:tab/>
        <w:t>Parterne godkender skriftligt udkastet til referat hurtigst muligt og senest to måneder efter afslutningen af et møde, medmindre andet besluttes ved konsensus.</w:t>
      </w:r>
      <w:r>
        <w:rPr>
          <w:b/>
          <w:noProof/>
        </w:rPr>
        <w:t xml:space="preserve"> </w:t>
      </w:r>
    </w:p>
    <w:p>
      <w:pPr>
        <w:rPr>
          <w:noProof/>
        </w:rPr>
      </w:pPr>
    </w:p>
    <w:p>
      <w:pPr>
        <w:jc w:val="center"/>
        <w:rPr>
          <w:noProof/>
        </w:rPr>
      </w:pPr>
      <w:r>
        <w:rPr>
          <w:noProof/>
        </w:rPr>
        <w:br w:type="page"/>
      </w:r>
    </w:p>
    <w:p>
      <w:pPr>
        <w:jc w:val="center"/>
        <w:rPr>
          <w:i/>
          <w:noProof/>
        </w:rPr>
      </w:pPr>
      <w:r>
        <w:rPr>
          <w:i/>
          <w:noProof/>
        </w:rPr>
        <w:t>Artikel 9</w:t>
      </w:r>
    </w:p>
    <w:p>
      <w:pPr>
        <w:jc w:val="center"/>
        <w:rPr>
          <w:noProof/>
        </w:rPr>
      </w:pPr>
      <w:r>
        <w:rPr>
          <w:noProof/>
        </w:rPr>
        <w:t>Afgørelser og henstillinger</w:t>
      </w:r>
    </w:p>
    <w:p>
      <w:pPr>
        <w:pStyle w:val="Point0"/>
        <w:rPr>
          <w:b/>
          <w:noProof/>
        </w:rPr>
      </w:pPr>
      <w:r>
        <w:rPr>
          <w:noProof/>
        </w:rPr>
        <w:t>1.</w:t>
      </w:r>
      <w:r>
        <w:rPr>
          <w:noProof/>
        </w:rPr>
        <w:tab/>
        <w:t>Inden for det blandede udvalgs funktioner og opgaver som fastsat i aftalens artikel 42 fremsætter det henstillinger og træffer afgørelser, når det er relevant. Disse benævnes "henstilling" eller "afgørelse" efterfulgt af et løbenummer, datoen for vedtagelsen og en angivelse af afgørelsens eller henstillingens genstand. I hver henstilling eller afgørelse angives datoen for dens ikrafttræden.</w:t>
      </w:r>
    </w:p>
    <w:p>
      <w:pPr>
        <w:pStyle w:val="Point0"/>
        <w:rPr>
          <w:noProof/>
        </w:rPr>
      </w:pPr>
      <w:r>
        <w:rPr>
          <w:noProof/>
        </w:rPr>
        <w:t>2.</w:t>
      </w:r>
      <w:r>
        <w:rPr>
          <w:noProof/>
        </w:rPr>
        <w:tab/>
        <w:t>Det blandede udvalg fremsætter henstillinger og træffer afgørelser ved konsensus.</w:t>
      </w:r>
    </w:p>
    <w:p>
      <w:pPr>
        <w:pStyle w:val="Point0"/>
        <w:rPr>
          <w:noProof/>
        </w:rPr>
      </w:pPr>
      <w:r>
        <w:rPr>
          <w:noProof/>
        </w:rPr>
        <w:t>3.</w:t>
      </w:r>
      <w:r>
        <w:rPr>
          <w:noProof/>
        </w:rPr>
        <w:tab/>
        <w:t>Det blandede udvalg kan beslutte at fremsætte henstillinger og vedtage afgørelser ved skriftlig procedure gennem udveksling af noter mellem formændene for det blandede udvalg.</w:t>
      </w:r>
    </w:p>
    <w:p>
      <w:pPr>
        <w:pStyle w:val="Point0"/>
        <w:rPr>
          <w:b/>
          <w:noProof/>
        </w:rPr>
      </w:pPr>
      <w:r>
        <w:rPr>
          <w:noProof/>
        </w:rPr>
        <w:t>4.</w:t>
      </w:r>
      <w:r>
        <w:rPr>
          <w:noProof/>
        </w:rPr>
        <w:tab/>
        <w:t>Det blandede udvalgs henstillinger og afgørelser vedtages skriftligt af formændene.</w:t>
      </w:r>
      <w:r>
        <w:rPr>
          <w:b/>
          <w:noProof/>
        </w:rPr>
        <w:t xml:space="preserve"> </w:t>
      </w:r>
    </w:p>
    <w:p>
      <w:pPr>
        <w:pStyle w:val="Point0"/>
        <w:rPr>
          <w:b/>
          <w:noProof/>
        </w:rPr>
      </w:pPr>
      <w:r>
        <w:rPr>
          <w:noProof/>
        </w:rPr>
        <w:t>5.</w:t>
      </w:r>
      <w:r>
        <w:rPr>
          <w:noProof/>
        </w:rPr>
        <w:tab/>
        <w:t>Hver part kan beslutte at offentliggøre det blandede udvalgs henstillinger og afgørelser i et passende medie.</w:t>
      </w:r>
      <w:r>
        <w:rPr>
          <w:b/>
          <w:noProof/>
        </w:rPr>
        <w:t xml:space="preserve"> </w:t>
      </w:r>
    </w:p>
    <w:p>
      <w:pPr>
        <w:rPr>
          <w:b/>
          <w:noProof/>
        </w:rPr>
      </w:pPr>
    </w:p>
    <w:p>
      <w:pPr>
        <w:jc w:val="center"/>
        <w:rPr>
          <w:i/>
          <w:noProof/>
        </w:rPr>
      </w:pPr>
      <w:bookmarkStart w:id="8" w:name="bookmark17"/>
      <w:r>
        <w:rPr>
          <w:i/>
          <w:noProof/>
        </w:rPr>
        <w:t>Artikel 10</w:t>
      </w:r>
    </w:p>
    <w:p>
      <w:pPr>
        <w:jc w:val="center"/>
        <w:rPr>
          <w:noProof/>
        </w:rPr>
      </w:pPr>
      <w:r>
        <w:rPr>
          <w:noProof/>
        </w:rPr>
        <w:t>Udgifter</w:t>
      </w:r>
      <w:bookmarkEnd w:id="8"/>
    </w:p>
    <w:p>
      <w:pPr>
        <w:pStyle w:val="Point0"/>
        <w:rPr>
          <w:b/>
          <w:noProof/>
        </w:rPr>
      </w:pPr>
      <w:r>
        <w:rPr>
          <w:noProof/>
        </w:rPr>
        <w:t>1.</w:t>
      </w:r>
      <w:r>
        <w:rPr>
          <w:noProof/>
        </w:rPr>
        <w:tab/>
        <w:t>Hver part afholder sine udgifter til deltagelse i det blandede udvalgs møder, såvel udgifter til personale, rejser og underhold som udgifter til postforsendelser og telekommunikation</w:t>
      </w:r>
      <w:r>
        <w:rPr>
          <w:b/>
          <w:noProof/>
        </w:rPr>
        <w:t>.</w:t>
      </w:r>
    </w:p>
    <w:p>
      <w:pPr>
        <w:pStyle w:val="Point0"/>
        <w:rPr>
          <w:b/>
          <w:noProof/>
        </w:rPr>
      </w:pPr>
      <w:r>
        <w:rPr>
          <w:noProof/>
        </w:rPr>
        <w:t>2.</w:t>
      </w:r>
      <w:r>
        <w:rPr>
          <w:noProof/>
        </w:rPr>
        <w:tab/>
        <w:t>Udgifter i forbindelse med tilrettelæggelse af møder og reproduktion af dokumenter afholdes af den part, der er vært for mødet</w:t>
      </w:r>
      <w:bookmarkStart w:id="9" w:name="bookmark18"/>
      <w:r>
        <w:rPr>
          <w:b/>
          <w:noProof/>
        </w:rPr>
        <w:t>.</w:t>
      </w:r>
    </w:p>
    <w:p>
      <w:pPr>
        <w:rPr>
          <w:noProof/>
        </w:rPr>
      </w:pPr>
    </w:p>
    <w:p>
      <w:pPr>
        <w:jc w:val="center"/>
        <w:rPr>
          <w:i/>
          <w:noProof/>
        </w:rPr>
      </w:pPr>
      <w:r>
        <w:rPr>
          <w:i/>
          <w:noProof/>
        </w:rPr>
        <w:t>Artikel 11</w:t>
      </w:r>
      <w:r>
        <w:rPr>
          <w:i/>
          <w:noProof/>
          <w:u w:val="single"/>
        </w:rPr>
        <w:t xml:space="preserve"> </w:t>
      </w:r>
    </w:p>
    <w:p>
      <w:pPr>
        <w:jc w:val="center"/>
        <w:rPr>
          <w:noProof/>
        </w:rPr>
      </w:pPr>
      <w:r>
        <w:rPr>
          <w:noProof/>
        </w:rPr>
        <w:t>Arbejdsgrupper</w:t>
      </w:r>
    </w:p>
    <w:p>
      <w:pPr>
        <w:pStyle w:val="Point0"/>
        <w:rPr>
          <w:noProof/>
        </w:rPr>
      </w:pPr>
      <w:r>
        <w:rPr>
          <w:noProof/>
        </w:rPr>
        <w:t>1.</w:t>
      </w:r>
      <w:r>
        <w:rPr>
          <w:noProof/>
        </w:rPr>
        <w:tab/>
        <w:t>Det Blandede Udvalg kan beslutte at nedsætte arbejdsgrupper til at bistå det i udførelsen af opgaverne.</w:t>
      </w:r>
    </w:p>
    <w:p>
      <w:pPr>
        <w:pStyle w:val="Point0"/>
        <w:rPr>
          <w:noProof/>
        </w:rPr>
      </w:pPr>
      <w:r>
        <w:rPr>
          <w:noProof/>
        </w:rPr>
        <w:t>2.</w:t>
      </w:r>
      <w:r>
        <w:rPr>
          <w:noProof/>
        </w:rPr>
        <w:tab/>
        <w:t>Det blandede udvalg kan beslutte at nedlægge enhver arbejdsgruppe, som det har nedsat, eller fastsætte eller ændre dens mandat.</w:t>
      </w:r>
    </w:p>
    <w:p>
      <w:pPr>
        <w:pStyle w:val="Point0"/>
        <w:rPr>
          <w:noProof/>
        </w:rPr>
      </w:pPr>
      <w:r>
        <w:rPr>
          <w:noProof/>
        </w:rPr>
        <w:t>3.</w:t>
      </w:r>
      <w:r>
        <w:rPr>
          <w:noProof/>
        </w:rPr>
        <w:tab/>
        <w:t>Arbejdsgrupperne aflægger rapport til det blandede udvalg efter hvert af deres møder.</w:t>
      </w:r>
    </w:p>
    <w:p>
      <w:pPr>
        <w:rPr>
          <w:noProof/>
        </w:rPr>
      </w:pPr>
    </w:p>
    <w:p>
      <w:pPr>
        <w:jc w:val="center"/>
        <w:rPr>
          <w:i/>
          <w:noProof/>
        </w:rPr>
      </w:pPr>
      <w:r>
        <w:rPr>
          <w:i/>
          <w:noProof/>
        </w:rPr>
        <w:t>Artikel 12</w:t>
      </w:r>
    </w:p>
    <w:p>
      <w:pPr>
        <w:ind w:firstLine="720"/>
        <w:jc w:val="center"/>
        <w:rPr>
          <w:noProof/>
        </w:rPr>
      </w:pPr>
      <w:r>
        <w:rPr>
          <w:noProof/>
        </w:rPr>
        <w:t>Ændring af forretningsordenen</w:t>
      </w:r>
      <w:bookmarkEnd w:id="9"/>
    </w:p>
    <w:p>
      <w:pPr>
        <w:rPr>
          <w:noProof/>
        </w:rPr>
      </w:pPr>
      <w:r>
        <w:rPr>
          <w:noProof/>
        </w:rPr>
        <w:t xml:space="preserve">Parterne kan ændre forretningsordenen i overensstemmelse med artikel 9. </w:t>
      </w:r>
    </w:p>
    <w:p>
      <w:pPr>
        <w:rPr>
          <w:noProof/>
        </w:rPr>
      </w:pPr>
    </w:p>
    <w:p>
      <w:pPr>
        <w:rPr>
          <w:noProof/>
        </w:rPr>
      </w:pP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DA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pt-PT"/>
        </w:rPr>
      </w:pPr>
      <w:r>
        <w:rPr>
          <w:rStyle w:val="FootnoteReference"/>
        </w:rPr>
        <w:footnoteRef/>
      </w:r>
      <w:r>
        <w:tab/>
        <w:t>EUT L xxx, x.x.xxxx, s. 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A002A2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65AEFC0"/>
    <w:lvl w:ilvl="0">
      <w:start w:val="1"/>
      <w:numFmt w:val="decimal"/>
      <w:pStyle w:val="ListNumber3"/>
      <w:lvlText w:val="%1."/>
      <w:lvlJc w:val="left"/>
      <w:pPr>
        <w:tabs>
          <w:tab w:val="num" w:pos="926"/>
        </w:tabs>
        <w:ind w:left="926" w:hanging="360"/>
      </w:pPr>
    </w:lvl>
  </w:abstractNum>
  <w:abstractNum w:abstractNumId="2">
    <w:nsid w:val="FFFFFF7F"/>
    <w:multiLevelType w:val="singleLevel"/>
    <w:tmpl w:val="AFC6C810"/>
    <w:lvl w:ilvl="0">
      <w:start w:val="1"/>
      <w:numFmt w:val="decimal"/>
      <w:pStyle w:val="ListNumber2"/>
      <w:lvlText w:val="%1."/>
      <w:lvlJc w:val="left"/>
      <w:pPr>
        <w:tabs>
          <w:tab w:val="num" w:pos="643"/>
        </w:tabs>
        <w:ind w:left="643" w:hanging="360"/>
      </w:pPr>
    </w:lvl>
  </w:abstractNum>
  <w:abstractNum w:abstractNumId="3">
    <w:nsid w:val="FFFFFF81"/>
    <w:multiLevelType w:val="singleLevel"/>
    <w:tmpl w:val="73AACA1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2B2586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BBACF0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4A4FF16"/>
    <w:lvl w:ilvl="0">
      <w:start w:val="1"/>
      <w:numFmt w:val="decimal"/>
      <w:pStyle w:val="ListNumber"/>
      <w:lvlText w:val="%1."/>
      <w:lvlJc w:val="left"/>
      <w:pPr>
        <w:tabs>
          <w:tab w:val="num" w:pos="360"/>
        </w:tabs>
        <w:ind w:left="360" w:hanging="360"/>
      </w:pPr>
    </w:lvl>
  </w:abstractNum>
  <w:abstractNum w:abstractNumId="7">
    <w:nsid w:val="FFFFFF89"/>
    <w:multiLevelType w:val="singleLevel"/>
    <w:tmpl w:val="89CAB32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
  </w:num>
  <w:num w:numId="2">
    <w:abstractNumId w:val="0"/>
  </w:num>
  <w:num w:numId="3">
    <w:abstractNumId w:val="7"/>
  </w:num>
  <w:num w:numId="4">
    <w:abstractNumId w:val="5"/>
  </w:num>
  <w:num w:numId="5">
    <w:abstractNumId w:val="4"/>
  </w:num>
  <w:num w:numId="6">
    <w:abstractNumId w:val="3"/>
  </w:num>
  <w:num w:numId="7">
    <w:abstractNumId w:val="6"/>
  </w:num>
  <w:num w:numId="8">
    <w:abstractNumId w:val="1"/>
  </w:num>
  <w:num w:numId="9">
    <w:abstractNumId w:val="21"/>
    <w:lvlOverride w:ilvl="0">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2-28 10:15:2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18"/>
    <w:docVar w:name="DQCResult_UnknownFonts" w:val="0;0"/>
    <w:docVar w:name="DQCResult_UnknownStyles" w:val="0;1"/>
    <w:docVar w:name="DQCStatus" w:val="Green"/>
    <w:docVar w:name="DQCVersion" w:val="3"/>
    <w:docVar w:name="DQCWithWarnings" w:val="0"/>
    <w:docVar w:name="LW_ACCOMPAGNANT" w:val="til"/>
    <w:docVar w:name="LW_ACCOMPAGNANT.CP" w:val="til"/>
    <w:docVar w:name="LW_ANNEX_NBR_FIRST" w:val="1"/>
    <w:docVar w:name="LW_ANNEX_NBR_LAST" w:val="1"/>
    <w:docVar w:name="LW_ANNEX_UNIQUE" w:val="1"/>
    <w:docVar w:name="LW_CORRIGENDUM" w:val="&lt;UNUSED&gt;"/>
    <w:docVar w:name="LW_COVERPAGE_EXISTS" w:val="True"/>
    <w:docVar w:name="LW_COVERPAGE_GUID" w:val="7EE0558C-1AA6-48A2-BA0F-FD501FD74814"/>
    <w:docVar w:name="LW_COVERPAGE_TYPE" w:val="1"/>
    <w:docVar w:name="LW_CROSSREFERENCE" w:val="&lt;UNUSED&gt;"/>
    <w:docVar w:name="LW_DocType" w:val="ANNEX"/>
    <w:docVar w:name="LW_EMISSION" w:val="22.2.2019"/>
    <w:docVar w:name="LW_EMISSION_ISODATE" w:val="2019-02-22"/>
    <w:docVar w:name="LW_EMISSION_LOCATION" w:val="BRX"/>
    <w:docVar w:name="LW_EMISSION_PREFIX" w:val="Bruxelles, den "/>
    <w:docVar w:name="LW_EMISSION_SUFFIX" w:val=" "/>
    <w:docVar w:name="LW_ID_DOCSTRUCTURE" w:val="COM/ANNEX"/>
    <w:docVar w:name="LW_ID_DOCTYPE" w:val="SG-017"/>
    <w:docVar w:name="LW_LANGUE" w:val="DA"/>
    <w:docVar w:name="LW_LEVEL_OF_SENSITIVITY" w:val="Standard treatment"/>
    <w:docVar w:name="LW_NOM.INST" w:val="EUROPA-KOMMISSIONEN"/>
    <w:docVar w:name="LW_NOM.INST_JOINTDOC" w:val="&lt;EMPTY&gt;"/>
    <w:docVar w:name="LW_OBJETACTEPRINCIPAL" w:val="om den holdning, der skal indtages på Unionens vegne i det blandede udvalg, der er nedsat i henhold til den strategiske partnerskabsaftale mellem Den Europæiske Union og dens medlemsstater på den ene side og Japan på den anden side, vedrørende vedtagelsen af det blandede udvalgs forretningsorden"/>
    <w:docVar w:name="LW_OBJETACTEPRINCIPAL.CP" w:val="om den holdning, der skal indtages på Unionens vegne i det blandede udvalg, der er nedsat i henhold til den strategiske partnerskabsaftale mellem Den Europæiske Union og dens medlemsstater på den ene side og Japan på den anden side, vedrørende vedtagelsen af det blandede udvalgs forretningsorden"/>
    <w:docVar w:name="LW_PART_NBR" w:val="1"/>
    <w:docVar w:name="LW_PART_NBR_TOTAL" w:val="1"/>
    <w:docVar w:name="LW_REF.INST.NEW" w:val="COM"/>
    <w:docVar w:name="LW_REF.INST.NEW_ADOPTED" w:val="final"/>
    <w:docVar w:name="LW_REF.INST.NEW_TEXT" w:val="(2019) 10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BILAG"/>
    <w:docVar w:name="LW_TYPE.DOC.CP" w:val="BILAG"/>
    <w:docVar w:name="LW_TYPEACTEPRINCIPAL" w:val="Forslag til Rådets afgørelse"/>
    <w:docVar w:name="LW_TYPEACTEPRINCIPAL.CP" w:val="Forslag til Rådets afgørels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objet">
    <w:name w:val="Titre objet"/>
    <w:basedOn w:val="Normal"/>
    <w:next w:val="Normal"/>
    <w:pPr>
      <w:spacing w:before="360" w:after="360" w:line="360" w:lineRule="auto"/>
      <w:jc w:val="center"/>
    </w:pPr>
    <w:rPr>
      <w:rFonts w:eastAsiaTheme="minorEastAsia"/>
      <w:b/>
    </w:rPr>
  </w:style>
  <w:style w:type="paragraph" w:customStyle="1" w:styleId="Lignefinal">
    <w:name w:val="Ligne final"/>
    <w:basedOn w:val="Normal"/>
    <w:next w:val="Normal"/>
    <w:pPr>
      <w:pBdr>
        <w:bottom w:val="single" w:sz="4" w:space="0" w:color="000000"/>
      </w:pBdr>
      <w:spacing w:before="360" w:line="360" w:lineRule="auto"/>
      <w:ind w:left="3400" w:right="3400"/>
      <w:jc w:val="center"/>
    </w:pPr>
    <w:rPr>
      <w:rFonts w:eastAsiaTheme="minorEastAsia"/>
      <w:b/>
    </w:rPr>
  </w:style>
  <w:style w:type="paragraph" w:styleId="ListNumber2">
    <w:name w:val="List Number 2"/>
    <w:basedOn w:val="Normal"/>
    <w:uiPriority w:val="99"/>
    <w:semiHidden/>
    <w:unhideWhenUsed/>
    <w:pPr>
      <w:numPr>
        <w:numId w:val="1"/>
      </w:numPr>
      <w:contextualSpacing/>
    </w:pPr>
  </w:style>
  <w:style w:type="paragraph" w:styleId="ListNumber4">
    <w:name w:val="List Number 4"/>
    <w:basedOn w:val="Normal"/>
    <w:uiPriority w:val="99"/>
    <w:semiHidden/>
    <w:unhideWhenUsed/>
    <w:pPr>
      <w:numPr>
        <w:numId w:val="2"/>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objet">
    <w:name w:val="Titre objet"/>
    <w:basedOn w:val="Normal"/>
    <w:next w:val="Normal"/>
    <w:pPr>
      <w:spacing w:before="360" w:after="360" w:line="360" w:lineRule="auto"/>
      <w:jc w:val="center"/>
    </w:pPr>
    <w:rPr>
      <w:rFonts w:eastAsiaTheme="minorEastAsia"/>
      <w:b/>
    </w:rPr>
  </w:style>
  <w:style w:type="paragraph" w:customStyle="1" w:styleId="Lignefinal">
    <w:name w:val="Ligne final"/>
    <w:basedOn w:val="Normal"/>
    <w:next w:val="Normal"/>
    <w:pPr>
      <w:pBdr>
        <w:bottom w:val="single" w:sz="4" w:space="0" w:color="000000"/>
      </w:pBdr>
      <w:spacing w:before="360" w:line="360" w:lineRule="auto"/>
      <w:ind w:left="3400" w:right="3400"/>
      <w:jc w:val="center"/>
    </w:pPr>
    <w:rPr>
      <w:rFonts w:eastAsiaTheme="minorEastAsia"/>
      <w:b/>
    </w:rPr>
  </w:style>
  <w:style w:type="paragraph" w:styleId="ListNumber2">
    <w:name w:val="List Number 2"/>
    <w:basedOn w:val="Normal"/>
    <w:uiPriority w:val="99"/>
    <w:semiHidden/>
    <w:unhideWhenUsed/>
    <w:pPr>
      <w:numPr>
        <w:numId w:val="1"/>
      </w:numPr>
      <w:contextualSpacing/>
    </w:pPr>
  </w:style>
  <w:style w:type="paragraph" w:styleId="ListNumber4">
    <w:name w:val="List Number 4"/>
    <w:basedOn w:val="Normal"/>
    <w:uiPriority w:val="99"/>
    <w:semiHidden/>
    <w:unhideWhenUsed/>
    <w:pPr>
      <w:numPr>
        <w:numId w:val="2"/>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2</TotalTime>
  <Pages>5</Pages>
  <Words>805</Words>
  <Characters>4634</Characters>
  <Application>Microsoft Office Word</Application>
  <DocSecurity>0</DocSecurity>
  <Lines>136</Lines>
  <Paragraphs>81</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5358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MARD Jenny (EEAS)</dc:creator>
  <cp:lastModifiedBy>WES PDFC Administrator</cp:lastModifiedBy>
  <cp:revision>8</cp:revision>
  <dcterms:created xsi:type="dcterms:W3CDTF">2019-02-27T16:00:00Z</dcterms:created>
  <dcterms:modified xsi:type="dcterms:W3CDTF">2019-02-28T09:15:00Z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