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CB1BE7-F58A-48EA-B5F1-FF2CEBB81FEC" style="width:450.45pt;height:366.3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sz w:val="16"/>
          <w:szCs w:val="16"/>
        </w:rPr>
      </w:pPr>
      <w:r>
        <w:rPr>
          <w:noProof/>
        </w:rPr>
        <w:t>I henhold til artikel 54, stk. 3, i Europa-Parlamentets og Rådets forordning (EU) 2016/1624 af 14. september 2016 om den europæiske grænse- og kystvagt</w:t>
      </w:r>
      <w:r>
        <w:rPr>
          <w:rStyle w:val="FootnoteReference"/>
          <w:noProof/>
        </w:rPr>
        <w:footnoteReference w:id="1"/>
      </w:r>
      <w:r>
        <w:rPr>
          <w:noProof/>
        </w:rPr>
        <w:t xml:space="preserve"> kan Det Europæiske Agentur for Grænse- og Kystbevogtning koordinere det operative samarbejde mellem medlemsstaterne og tredjelande, for så vidt angår forvaltning af de ydre grænser. I denne henseende kan agenturet gennemføre tiltag ved de ydre grænser med deltagelse af en eller flere medlemsstater og et tredjeland, der grænser op til mindst en af de pågældende medlemsstater, forudsat at det pågældende tilgrænsende tredjeland er indforstået hermed, herunder på tredjelandets område. </w:t>
      </w:r>
    </w:p>
    <w:p>
      <w:pPr>
        <w:rPr>
          <w:noProof/>
          <w:szCs w:val="24"/>
        </w:rPr>
      </w:pPr>
      <w:r>
        <w:rPr>
          <w:noProof/>
        </w:rPr>
        <w:t>I henhold til artikel 54, stk. 4, i forordning (EU) 2016/1624 skal der i tilfælde, hvor der forudses indsættelse af hold fra den europæiske grænse- og kystvagt i tredjelande i tiltag, hvor holdmedlemmerne har udøvende beføjelser, eller hvor andre tiltag i tredjelande nødvendiggør det, indgås der en statusaftale mellem Unionen og tredjelandet. Statusaftalen skal omfatte alle aspekter, der er nødvendige for at gennemføre tiltagene. I aftalen fastsættes navnlig operationens omfang, det civil- og strafferetlige ansvar samt holdmedlemmernes opgaver og beføjelser. Statusaftalen skal sikre fuld overholdelse af de grundlæggende rettigheder under disse operationer.</w:t>
      </w:r>
    </w:p>
    <w:p>
      <w:pPr>
        <w:rPr>
          <w:iCs/>
          <w:noProof/>
          <w:szCs w:val="24"/>
        </w:rPr>
      </w:pPr>
      <w:r>
        <w:rPr>
          <w:noProof/>
        </w:rPr>
        <w:t xml:space="preserve">På grundlag af forhandlingsdirektiver vedtaget af Rådet har Europa-Kommissionen med Bosnien-Hercegovina forhandlet en aftale om tiltag, som gennemføres af Det Europæiske Agentur for Grænse- og Kystbevogtning i Bosnien-Hercegovina ("statusaftalen"), med henblik på at fastlægge den juridiske ramme, som giver mulighed for at handle øjeblikkeligt gennem etablering af operationelle planer, når der er behov for hurtig reaktion. Selv om migrationsstrømmene i regionen er aftaget meget siden 2015 og 2016, tilpasser organiserede kriminelle netværk hurtigt deres ruter og metoder i forbindelse med smugling af irregulære migranter til nye omstændigheder. Siden begyndelsen af 2018 har Bosnien-Hercegovina oplevet en øget tilstrømning af migranter. Med denne statusaftale vil de ansvarlige myndigheder i Bosnien-Hercegovina og EU's medlemsstater – under Det Europæiske Agentur for Grænse- og Kystbevogtnings koordinering – være meget bedre i stand til at reagere hurtigt på sådanne situationer. </w:t>
      </w:r>
    </w:p>
    <w:p>
      <w:pPr>
        <w:rPr>
          <w:iCs/>
          <w:noProof/>
          <w:szCs w:val="24"/>
        </w:rPr>
      </w:pPr>
      <w:r>
        <w:rPr>
          <w:noProof/>
        </w:rPr>
        <w:t xml:space="preserve">Vedlagte forslag til Rådets afgørelse udgør det retlige instrument til indgåelse af statusaftalen mellem Den Europæiske Union og Bosnien-Hercegovina. </w:t>
      </w:r>
    </w:p>
    <w:p>
      <w:pPr>
        <w:rPr>
          <w:noProof/>
        </w:rPr>
      </w:pPr>
      <w:r>
        <w:rPr>
          <w:noProof/>
        </w:rPr>
        <w:t xml:space="preserve">Kommissionen modtog den 16. oktober 2017 Rådets bemyndigelse til at indlede forhandlinger med Bosnien-Hercegovina om en statusaftale om tiltag, som gennemføres af Det Europæiske Agentur for Grænse- og Kystbevogtning i Bosnien-Hercegovina. </w:t>
      </w:r>
    </w:p>
    <w:p>
      <w:pPr>
        <w:rPr>
          <w:iCs/>
          <w:noProof/>
          <w:szCs w:val="24"/>
        </w:rPr>
      </w:pPr>
      <w:r>
        <w:rPr>
          <w:noProof/>
        </w:rPr>
        <w:t xml:space="preserve">Forhandlingerne om en statusaftale blev indledt den 9. juli 2018, og anden runde fandt sted den 10. oktober 2018. Statusaftalen blev paraferet af lederne af forhandlingsholdene. </w:t>
      </w:r>
    </w:p>
    <w:p>
      <w:pPr>
        <w:rPr>
          <w:iCs/>
          <w:noProof/>
          <w:szCs w:val="24"/>
        </w:rPr>
      </w:pPr>
      <w:r>
        <w:rPr>
          <w:noProof/>
        </w:rPr>
        <w:t xml:space="preserve">Kommissionen finder, at de mål, Rådet opstillede i sine forhandlingsdirektiver, er nået, og at statusaftalen er acceptabel for Unionen. </w:t>
      </w:r>
    </w:p>
    <w:p>
      <w:pPr>
        <w:spacing w:after="240"/>
        <w:rPr>
          <w:iCs/>
          <w:noProof/>
          <w:szCs w:val="24"/>
        </w:rPr>
      </w:pPr>
      <w:r>
        <w:rPr>
          <w:noProof/>
        </w:rPr>
        <w:t xml:space="preserve">Medlemsstaterne er blevet underrettet og hørt i de relevante arbejdsgrupper i Rådet.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spacing w:after="240"/>
        <w:rPr>
          <w:iCs/>
          <w:noProof/>
          <w:szCs w:val="24"/>
        </w:rPr>
      </w:pPr>
      <w:r>
        <w:rPr>
          <w:noProof/>
        </w:rPr>
        <w:t>14 medlemsstater har eksisterende bilaterale aftaler med Bosnien-Hercegovina: disse omfatter en række fælles foranstaltninger såsom grænsekontrol, overvågning, patruljering, tilbagesendelse osv. En samarbejdsordning mellem Bosnien-Hercegovinas sikkerhedsministerium og Det Europæiske Agentur for Grænse- og Kystbevogtning er også allerede på plads og omfatter navnlig regelmæssig deltagelse af repræsentanter fra sikkerhedsministeriets grænsepoliti som observatører på medlemsstaters område i fælles operationer koordineret af Det Europæiske Agentur for Grænse- og Kystbevogtning, hvilket sker efter aftale med værtsmedlemsstaten.</w:t>
      </w:r>
    </w:p>
    <w:p>
      <w:pPr>
        <w:spacing w:after="240"/>
        <w:rPr>
          <w:rFonts w:eastAsia="Arial Unicode MS"/>
          <w:b/>
          <w:noProof/>
        </w:rPr>
      </w:pPr>
      <w:r>
        <w:rPr>
          <w:b/>
          <w:noProof/>
          <w:color w:val="000000"/>
          <w:u w:color="000000"/>
          <w:bdr w:val="nil"/>
        </w:rPr>
        <w:t>•</w:t>
      </w:r>
      <w:r>
        <w:rPr>
          <w:noProof/>
        </w:rPr>
        <w:tab/>
      </w:r>
      <w:r>
        <w:rPr>
          <w:b/>
          <w:noProof/>
        </w:rPr>
        <w:t>Sammenhæng med Unionens politik på andre områder</w:t>
      </w:r>
    </w:p>
    <w:p>
      <w:pPr>
        <w:rPr>
          <w:b/>
          <w:noProof/>
          <w:szCs w:val="24"/>
        </w:rPr>
      </w:pPr>
      <w:r>
        <w:rPr>
          <w:noProof/>
        </w:rPr>
        <w:t>Den europæiske dagsorden for migration</w:t>
      </w:r>
      <w:r>
        <w:rPr>
          <w:rStyle w:val="FootnoteReference"/>
          <w:noProof/>
        </w:rPr>
        <w:footnoteReference w:id="2"/>
      </w:r>
      <w:r>
        <w:rPr>
          <w:noProof/>
        </w:rPr>
        <w:t xml:space="preserve"> bygger på fire søjler. En af disse er grænseforvaltning: dette indebærer en bedre forvaltning af EU's ydre grænser, navnlig gennem solidaritet med de medlemsstater, der befinder sig ved de ydre grænser, og en forbedret effektivitet ved grænsepassagerne. En styrket kontrol af Bosnien-Hercegovinas grænser vil også få en positiv indvirkning på EU's ydre grænser, navnlig Kroatiens ydre grænser samt Bosnien-Hercegovinas grænser. Yderligere styrkelse af sikkerheden ved de ydre grænser er også i overensstemmelse med den europæiske dagsorden om sikkerhed</w:t>
      </w:r>
      <w:r>
        <w:rPr>
          <w:rStyle w:val="FootnoteReference"/>
          <w:noProof/>
        </w:rPr>
        <w:footnoteReference w:id="3"/>
      </w:r>
      <w:r>
        <w:rPr>
          <w:noProof/>
        </w:rPr>
        <w:t xml:space="preserv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autoSpaceDE w:val="0"/>
        <w:autoSpaceDN w:val="0"/>
        <w:adjustRightInd w:val="0"/>
        <w:rPr>
          <w:noProof/>
          <w:szCs w:val="24"/>
        </w:rPr>
      </w:pPr>
      <w:r>
        <w:rPr>
          <w:noProof/>
        </w:rPr>
        <w:t xml:space="preserve">Retsgrundlaget for nærværende forslag til Rådets afgørelse er artikel 77, stk. 2, litra b) og d), og artikel 79, stk. 2, litra c), i TEUF sammenholdt med artikel 218, stk. 6, litra a), i TEUF. </w:t>
      </w:r>
    </w:p>
    <w:p>
      <w:pPr>
        <w:autoSpaceDE w:val="0"/>
        <w:autoSpaceDN w:val="0"/>
        <w:adjustRightInd w:val="0"/>
        <w:rPr>
          <w:noProof/>
          <w:szCs w:val="24"/>
        </w:rPr>
      </w:pPr>
      <w:r>
        <w:rPr>
          <w:noProof/>
        </w:rPr>
        <w:t xml:space="preserve">Den Europæiske Unions indgåelse af en statusaftale er udtrykkeligt fastsat i artikel 54, stk. 4, i forordning (EU) 2016/1624, hvoraf det fremgår, at i tilfælde, hvor der forudses indsættelse af hold fra den europæiske grænse- og kystbevogtning i tredjelande i tiltag, hvor holdmedlemmerne har udøvende beføjelser, eller hvor andre tiltag i tredjelande nødvendiggør det, indgås en statusaftale mellem Unionen og tredjelandet. </w:t>
      </w:r>
    </w:p>
    <w:p>
      <w:pPr>
        <w:autoSpaceDE w:val="0"/>
        <w:autoSpaceDN w:val="0"/>
        <w:adjustRightInd w:val="0"/>
        <w:rPr>
          <w:noProof/>
          <w:szCs w:val="24"/>
        </w:rPr>
      </w:pPr>
      <w:r>
        <w:rPr>
          <w:noProof/>
        </w:rPr>
        <w:t xml:space="preserve">I henhold til artikel 3, stk. 2, i TEUF har Unionen bl.a. enekompetence til at indgå internationale aftaler, når indgåelsen har hjemmel i en lovgivningsmæssig EU-retsakt. I henhold til artikel 54, stk. 4, i forordning (EU) 2016/1624 kan der indgås en statusaftale mellem Den Europæiske Union og det berørte tredjeland. Derfor henhører vedlagte aftale med Bosnien-Hercegovina under Den Europæiske Unions enekompetence. </w:t>
      </w:r>
    </w:p>
    <w:p>
      <w:pPr>
        <w:autoSpaceDE w:val="0"/>
        <w:autoSpaceDN w:val="0"/>
        <w:adjustRightInd w:val="0"/>
        <w:spacing w:after="240"/>
        <w:rPr>
          <w:noProof/>
          <w:szCs w:val="24"/>
        </w:rPr>
      </w:pPr>
      <w:r>
        <w:rPr>
          <w:noProof/>
        </w:rPr>
        <w:t xml:space="preserve">Europa-Parlamentets godkendelse er </w:t>
      </w:r>
      <w:r>
        <w:rPr>
          <w:noProof/>
          <w:color w:val="000000"/>
        </w:rPr>
        <w:t>påkrævet i forbindelse med indgåelsen af denne aftale i henhold til artikel 218, stk. 6, litra a), nr. v), i TEUF</w:t>
      </w:r>
      <w:r>
        <w:rPr>
          <w:noProof/>
        </w:rPr>
        <w:t>.</w:t>
      </w:r>
      <w:r>
        <w:rPr>
          <w:noProof/>
          <w:color w:val="000000"/>
        </w:rPr>
        <w:t xml:space="preserve">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Ikke relevant. </w:t>
      </w:r>
    </w:p>
    <w:p>
      <w:pPr>
        <w:pStyle w:val="ManualHeading2"/>
        <w:rPr>
          <w:rFonts w:eastAsia="Arial Unicode MS"/>
          <w:noProof/>
          <w:u w:color="000000"/>
          <w:bdr w:val="nil"/>
        </w:rPr>
      </w:pPr>
      <w:r>
        <w:rPr>
          <w:noProof/>
        </w:rPr>
        <w:t>•</w:t>
      </w:r>
      <w:r>
        <w:rPr>
          <w:noProof/>
        </w:rPr>
        <w:tab/>
        <w:t>Proportionalitetsprincippet</w:t>
      </w:r>
    </w:p>
    <w:p>
      <w:pPr>
        <w:spacing w:after="240"/>
        <w:rPr>
          <w:noProof/>
          <w:szCs w:val="24"/>
        </w:rPr>
      </w:pPr>
      <w:r>
        <w:rPr>
          <w:noProof/>
        </w:rPr>
        <w:t xml:space="preserve">I betragtning af at organiserede kriminelle netværk hurtigt tilpasser deres ruter og metoder for smugling af irregulære migranter, er det nødvendigt at inddrage EU for at forbedre kontrollen ved Bosnien-Hercegovinas grænser. Denne statusaftale er nødvendig for at sætte de ansvarlige myndigheder i Bosnien-Hercegovina og EU's medlemsstater i stand til hurtigt at reagere på sådanne eventuelle situationer under Det Europæiske Agentur for Grænse- og Kystbevogtnings koordinering. Det vil gøre det muligt for Det Europæiske Agentur for Grænse- og Kystbevogtning at indsætte europæiske grænse- og kystvagthold i Bosnien-Hercegovina i tilfælde af en pludselig tilstrømning af irregulære migranter.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 xml:space="preserve">Dette forslag er i overensstemmelse med artikel 218, stk. 6, litra a), i TEUF, hvorefter Rådet kan vedtage afgørelser om internationale aftaler efter Europa-Parlamentets godkendelse. Der eksisterer ingen andre retlige instrumenter, der kan anvendes til at nå det mål, der er omhandlet i forslaget.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szCs w:val="24"/>
        </w:rPr>
      </w:pPr>
      <w:r>
        <w:rPr>
          <w:noProof/>
        </w:rPr>
        <w:t xml:space="preserve">Der har ikke været brug for nogen konsekvensanalyse i forbindelse med forhandlingerne om statusaftalen. </w:t>
      </w:r>
    </w:p>
    <w:p>
      <w:pPr>
        <w:pStyle w:val="ManualHeading2"/>
        <w:rPr>
          <w:rFonts w:eastAsia="Arial Unicode MS"/>
          <w:noProof/>
          <w:u w:color="000000"/>
          <w:bdr w:val="nil"/>
        </w:rPr>
      </w:pPr>
      <w:r>
        <w:rPr>
          <w:noProof/>
        </w:rPr>
        <w:t>•</w:t>
      </w:r>
      <w:r>
        <w:rPr>
          <w:noProof/>
        </w:rPr>
        <w:tab/>
        <w:t>Målrettet regulering og forenkling</w:t>
      </w:r>
    </w:p>
    <w:p>
      <w:pPr>
        <w:pStyle w:val="ManualHeading2"/>
        <w:ind w:left="0" w:firstLine="0"/>
        <w:rPr>
          <w:rFonts w:eastAsia="Arial Unicode MS"/>
          <w:b w:val="0"/>
          <w:noProof/>
          <w:u w:color="000000"/>
          <w:bdr w:val="nil"/>
        </w:rPr>
      </w:pPr>
      <w:r>
        <w:rPr>
          <w:b w:val="0"/>
          <w:noProof/>
        </w:rPr>
        <w:t>Da dette vil være en ny aftale, har der ikke kunnet gennemføres evaluering eller kvalitetskontrol af eksisterende instrumenter.</w:t>
      </w:r>
    </w:p>
    <w:p>
      <w:pPr>
        <w:pStyle w:val="ManualHeading2"/>
        <w:ind w:left="0" w:firstLine="0"/>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after="240"/>
        <w:rPr>
          <w:noProof/>
          <w:szCs w:val="24"/>
        </w:rPr>
      </w:pPr>
      <w:r>
        <w:rPr>
          <w:noProof/>
        </w:rPr>
        <w:t>Statusaftalen indeholder bestemmelser, der sikrer, at de grundlæggende rettigheder for personer, der er berørt af foranstaltninger, som træffes af medlemmer af det hold, der deltager i et tiltag, som er koordineret af Det Europæiske Agentur for Grænse- og Kystbevogtning, er beskyttet.</w:t>
      </w:r>
    </w:p>
    <w:p>
      <w:pPr>
        <w:pBdr>
          <w:top w:val="nil"/>
          <w:left w:val="nil"/>
          <w:bottom w:val="nil"/>
          <w:right w:val="nil"/>
          <w:between w:val="nil"/>
          <w:bar w:val="nil"/>
        </w:pBdr>
        <w:spacing w:after="240"/>
        <w:rPr>
          <w:rFonts w:eastAsia="Arial Unicode MS"/>
          <w:noProof/>
        </w:rPr>
      </w:pPr>
      <w:r>
        <w:rPr>
          <w:noProof/>
        </w:rPr>
        <w:t xml:space="preserve">Bestemmelserne om de grundlæggende rettigheder er nærmere forklaret under punkt 5 "Andre forhold". </w:t>
      </w:r>
    </w:p>
    <w:p>
      <w:pPr>
        <w:pStyle w:val="ManualHeading1"/>
        <w:rPr>
          <w:noProof/>
        </w:rPr>
      </w:pPr>
      <w:r>
        <w:rPr>
          <w:noProof/>
        </w:rPr>
        <w:t>4.</w:t>
      </w:r>
      <w:r>
        <w:rPr>
          <w:noProof/>
        </w:rPr>
        <w:tab/>
        <w:t>VIRKNINGER FOR BUDGETTET</w:t>
      </w:r>
    </w:p>
    <w:p>
      <w:pPr>
        <w:autoSpaceDE w:val="0"/>
        <w:autoSpaceDN w:val="0"/>
        <w:rPr>
          <w:iCs/>
          <w:noProof/>
          <w:szCs w:val="24"/>
        </w:rPr>
      </w:pPr>
      <w:r>
        <w:rPr>
          <w:noProof/>
        </w:rPr>
        <w:t xml:space="preserve">Statusaftalen medfører ikke i sig selv finansielle konsekvenser. Det er den faktiske indsættelse af hold fra Det Europæiske Agentur for Grænse- og Kystbevogtning på grundlag af en operationel plan og relevant tilskudsaftale, der vil medføre omkostninger, som dækkes over budgettet for Det Europæiske Agentur for Grænse- og Kystbevogtning.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szCs w:val="24"/>
        </w:rPr>
      </w:pPr>
      <w:r>
        <w:rPr>
          <w:noProof/>
        </w:rPr>
        <w:t xml:space="preserve">Kommissionen vil sikre en passende overvågning af gennemførelsen af statusaftalen. </w:t>
      </w:r>
    </w:p>
    <w:p>
      <w:pPr>
        <w:rPr>
          <w:noProof/>
          <w:szCs w:val="24"/>
        </w:rPr>
      </w:pPr>
      <w:r>
        <w:rPr>
          <w:noProof/>
        </w:rPr>
        <w:t xml:space="preserve">Bosnien-Hercegovina og Det Europæiske Agentur for Grænse- og Kystbevogtning evaluerer i fællesskab hver enkelt fælles operation eller hurtige grænseintervention. </w:t>
      </w:r>
    </w:p>
    <w:p>
      <w:pPr>
        <w:spacing w:after="240"/>
        <w:rPr>
          <w:noProof/>
          <w:szCs w:val="24"/>
        </w:rPr>
      </w:pPr>
      <w:r>
        <w:rPr>
          <w:noProof/>
        </w:rPr>
        <w:t xml:space="preserve">Navnlig skal Det Europæiske Agentur for Grænse- og Kystbevogtning, Bosnien-Hercegovina og de medlemsstater, der deltager i et bestemt tiltag, ved afslutningen af hvert tiltag udarbejde en rapport om anvendelsen af aftalens bestemmelser, herunder om behandling af personoplysninger. </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spacing w:after="240"/>
        <w:rPr>
          <w:rFonts w:eastAsia="Arial Unicode MS"/>
          <w:noProof/>
          <w:u w:color="000000"/>
          <w:bdr w:val="nil"/>
        </w:rPr>
      </w:pPr>
      <w:r>
        <w:rPr>
          <w:noProof/>
        </w:rPr>
        <w:t>•</w:t>
      </w:r>
      <w:r>
        <w:rPr>
          <w:noProof/>
        </w:rPr>
        <w:tab/>
        <w:t>Nærmere redegørelse for de enkelte bestemmelser i forslaget</w:t>
      </w:r>
    </w:p>
    <w:p>
      <w:pPr>
        <w:rPr>
          <w:i/>
          <w:noProof/>
        </w:rPr>
      </w:pPr>
      <w:r>
        <w:rPr>
          <w:i/>
          <w:noProof/>
        </w:rPr>
        <w:t>Aftalens anvendelsesområde</w:t>
      </w:r>
    </w:p>
    <w:p>
      <w:pPr>
        <w:rPr>
          <w:rFonts w:eastAsia="Times New Roman"/>
          <w:noProof/>
        </w:rPr>
      </w:pPr>
      <w:r>
        <w:rPr>
          <w:noProof/>
        </w:rPr>
        <w:t>I henhold til denne aftale har Det Europæiske Agentur for Grænse- og Kystbevogtning mulighed for at udsende europæiske grænse- og kystvagthold med udøvende beføjelser i Bosnien-Hercegovina for at udføre fælles operationer og hurtige grænseinterventioner. Selv om denne aftale ikke udvider anvendelsesområdet for aftalen mellem Det Europæiske Fællesskab og Bosnien-Hercegovina om tilbagetagelse af personer, der er bosiddende uden tilladelse ("tilbagetagelsesaftalen mellem EF og Bosnien-Hercegovina")</w:t>
      </w:r>
      <w:r>
        <w:rPr>
          <w:rStyle w:val="FootnoteReference"/>
          <w:noProof/>
        </w:rPr>
        <w:footnoteReference w:id="4"/>
      </w:r>
      <w:r>
        <w:rPr>
          <w:noProof/>
        </w:rPr>
        <w:t>, er det også tilladt for hold fra Det Europæiske Agentur for Grænse- og Kystbevogtning i løbet af en specifik tilbagesendelsesoperation at bistå Bosnien-Hercegovina med at identificere de personer, som skal tilbagetages til Bosnien-Hercegovina i overensstemmelse med tilbagetagelsesaftalen mellem EF og Bosnien-Hercegovina</w:t>
      </w:r>
      <w:r>
        <w:rPr>
          <w:rStyle w:val="Hyperlink"/>
          <w:noProof/>
        </w:rPr>
        <w:t>.</w:t>
      </w:r>
    </w:p>
    <w:p>
      <w:pPr>
        <w:spacing w:after="240"/>
        <w:rPr>
          <w:rFonts w:eastAsia="Times New Roman"/>
          <w:noProof/>
        </w:rPr>
      </w:pPr>
      <w:r>
        <w:rPr>
          <w:noProof/>
        </w:rPr>
        <w:t>Hold fra den europæiske grænse- og kystvagt kan kun indsættes på Bosnien-Hercegovinas område i regioner, der grænser op til EU's ydre grænser, og medlemmer af holdet skal have udøvende beføjelser i disse områder af Bosnien-Hercegovina som fastlagt i den operationelle plan.</w:t>
      </w:r>
    </w:p>
    <w:p>
      <w:pPr>
        <w:rPr>
          <w:noProof/>
        </w:rPr>
      </w:pPr>
      <w:r>
        <w:rPr>
          <w:noProof/>
        </w:rPr>
        <w:t xml:space="preserve">Operationel plan </w:t>
      </w:r>
    </w:p>
    <w:p>
      <w:pPr>
        <w:rPr>
          <w:rFonts w:eastAsia="Times New Roman"/>
          <w:noProof/>
        </w:rPr>
      </w:pPr>
      <w:r>
        <w:rPr>
          <w:noProof/>
        </w:rPr>
        <w:t xml:space="preserve">Forud for hver fælles operation eller hurtig grænseindsats skal der træffes aftale om en operationel plan mellem agenturet og Bosnien-Hercegovina. Den eller de medlemsstater, der grænser op til indsatsområdet, skal også være enige i den operationelle plan. </w:t>
      </w:r>
    </w:p>
    <w:p>
      <w:pPr>
        <w:spacing w:after="240"/>
        <w:rPr>
          <w:rFonts w:eastAsia="Times New Roman"/>
          <w:noProof/>
        </w:rPr>
      </w:pPr>
      <w:r>
        <w:rPr>
          <w:noProof/>
        </w:rPr>
        <w:t xml:space="preserve">Planen skal indeholde en detaljeret redegørelse for de organisatoriske og proceduremæssige aspekter af den fælles operation eller den hurtige grænseindsats, herunder en beskrivelse af situationen og en vurdering af den, det operationelle mål og de operationelle målsætninger, den type teknisk udstyr, der skal anvendes, gennemførelsesplanen, samarbejdet med andre tredjelande, andre EU-agenturer og -organer eller internationale organisationer, bestemmelserne vedrørende de grundlæggende rettigheder, herunder beskyttelse af personoplysninger, koordinerings-, kommando-, kontrol-, kommunikations- og rapporteringsstrukturen, de organisatoriske og logistiske ordninger samt evalueringen og de finansielle aspekter af den fælles operation eller den hurtige grænseindsats. </w:t>
      </w:r>
    </w:p>
    <w:p>
      <w:pPr>
        <w:rPr>
          <w:rFonts w:eastAsia="Times New Roman"/>
          <w:i/>
          <w:noProof/>
        </w:rPr>
      </w:pPr>
      <w:r>
        <w:rPr>
          <w:i/>
          <w:noProof/>
        </w:rPr>
        <w:t>Holdmedlemmernes opgaver og beføjelser</w:t>
      </w:r>
    </w:p>
    <w:p>
      <w:pPr>
        <w:rPr>
          <w:rFonts w:eastAsia="Times New Roman"/>
          <w:noProof/>
        </w:rPr>
      </w:pPr>
      <w:r>
        <w:rPr>
          <w:noProof/>
        </w:rPr>
        <w:t>Som hovedregel skal holdene have bemyndigelse til at udføre de opgaver og udøve de beføjelser, der er nødvendige for grænsekontrol og tilbagesendelsesoperationer. De skal overholde Bosnien-Hercegovinas nationale lovgivning.</w:t>
      </w:r>
    </w:p>
    <w:p>
      <w:pPr>
        <w:rPr>
          <w:noProof/>
        </w:rPr>
      </w:pPr>
      <w:r>
        <w:rPr>
          <w:noProof/>
        </w:rPr>
        <w:t>Holdene må kun handle på Bosnien-Hercegovinas område efter instrukser fra og under tilstedeværelse af grænsevagter eller andre politifolk i Bosnien-Hercegovina.</w:t>
      </w:r>
    </w:p>
    <w:p>
      <w:pPr>
        <w:rPr>
          <w:rFonts w:eastAsia="Times New Roman"/>
          <w:noProof/>
        </w:rPr>
      </w:pPr>
      <w:r>
        <w:rPr>
          <w:noProof/>
        </w:rPr>
        <w:t>Holdmedlemmer skal efter omstændighederne bære deres egen uniform, synlig personlig identifikation og et blåt armbind med Den Europæiske Unions og agenturets insignier på deres uniform. De skal også bære et akkrediteringsdokument på sig, for at de nationale myndigheder i Bosnien-Hercegovina klart kan identificere dem.</w:t>
      </w:r>
    </w:p>
    <w:p>
      <w:pPr>
        <w:rPr>
          <w:rFonts w:eastAsia="Times New Roman"/>
          <w:noProof/>
        </w:rPr>
      </w:pPr>
      <w:r>
        <w:rPr>
          <w:noProof/>
        </w:rPr>
        <w:t xml:space="preserve">Holdmedlemmerne kan bære tjenestevåben, ammunition og udstyr, som er tilladt efter deres egen stats nationale lovgivning og Bosnien-Hercegovinas lovgivning. Agenturet skal på forhånd underrettes af Bosnien-Hercegovinas grænsepoliti om tilladte tjenestevåben, ammunition og udstyr samt om betingelserne for deres anvendelse. Agenturet forelægger på forhånd Bosnien-Hercegovinas grænsepoliti listen over holdmedlemmernes tjenestevåben (våbnenes type og serienummer, ammunitionens type og mængde). </w:t>
      </w:r>
    </w:p>
    <w:p>
      <w:pPr>
        <w:rPr>
          <w:rFonts w:eastAsia="Times New Roman"/>
          <w:noProof/>
        </w:rPr>
      </w:pPr>
      <w:r>
        <w:rPr>
          <w:noProof/>
        </w:rPr>
        <w:t xml:space="preserve">Holdmedlemmerne kan anvende magt, herunder tjenestevåben, ammunition og udstyr, med samtykke fra deres egen stat og fra Bosnien-Hercegovinas grænsepoliti under tilstedeværelse af grænsevagter eller andet relevant personale fra Bosnien-Hercegovina og i overensstemmelse med Bosnien-Hercegovinas nationale lovgivning. Bosnien-Hercegovinas grænsepoliti kan også bemyndige medlemmer af holdet til at anvende magt, når de ikke er til stede. </w:t>
      </w:r>
    </w:p>
    <w:p>
      <w:pPr>
        <w:spacing w:after="240"/>
        <w:rPr>
          <w:rFonts w:eastAsia="Times New Roman"/>
          <w:iCs/>
          <w:noProof/>
        </w:rPr>
      </w:pPr>
      <w:r>
        <w:rPr>
          <w:noProof/>
        </w:rPr>
        <w:t xml:space="preserve">Bosnien-Hercegovina kan efter anmodning videregive relevante oplysninger i nationale databaser til holdmedlemmerne, hvis det er nødvendigt for at nå de operationelle målsætninger. </w:t>
      </w:r>
    </w:p>
    <w:p>
      <w:pPr>
        <w:spacing w:line="288" w:lineRule="auto"/>
        <w:rPr>
          <w:rFonts w:eastAsia="Times New Roman"/>
          <w:i/>
          <w:noProof/>
          <w:color w:val="000000"/>
          <w:szCs w:val="24"/>
        </w:rPr>
      </w:pPr>
      <w:r>
        <w:rPr>
          <w:i/>
          <w:noProof/>
          <w:color w:val="000000"/>
        </w:rPr>
        <w:t>Holdmedlemmernes privilegier og immuniteter</w:t>
      </w:r>
    </w:p>
    <w:p>
      <w:pPr>
        <w:rPr>
          <w:rFonts w:eastAsia="Times New Roman"/>
          <w:noProof/>
          <w:color w:val="000000"/>
          <w:szCs w:val="24"/>
        </w:rPr>
      </w:pPr>
      <w:r>
        <w:rPr>
          <w:noProof/>
          <w:color w:val="000000"/>
        </w:rPr>
        <w:t>Holdmedlemmer nyder immunitet fra strafferetlig forfølgelse i</w:t>
      </w:r>
      <w:r>
        <w:rPr>
          <w:noProof/>
        </w:rPr>
        <w:t xml:space="preserve"> Bosnien-Hercegovina </w:t>
      </w:r>
      <w:r>
        <w:rPr>
          <w:noProof/>
          <w:color w:val="000000"/>
        </w:rPr>
        <w:t xml:space="preserve">med hensyn til handlinger, der foretages som led i udøvelsen af officielle funktioner ("i tjenesten"), men de nyder ikke immunitet for handlinger begået "uden for tjenesten". </w:t>
      </w:r>
    </w:p>
    <w:p>
      <w:pPr>
        <w:rPr>
          <w:rFonts w:eastAsia="Times New Roman"/>
          <w:noProof/>
          <w:color w:val="000000"/>
          <w:szCs w:val="24"/>
        </w:rPr>
      </w:pPr>
      <w:r>
        <w:rPr>
          <w:noProof/>
          <w:color w:val="000000"/>
        </w:rPr>
        <w:t xml:space="preserve">I den operationelle plan fastlægges præcist, hvilke handlinger der er omfattet af immunitet fra strafferetlig forfølgelse i </w:t>
      </w:r>
      <w:r>
        <w:rPr>
          <w:noProof/>
        </w:rPr>
        <w:t>Bosnien-Hercegovina.</w:t>
      </w:r>
      <w:r>
        <w:rPr>
          <w:noProof/>
          <w:color w:val="000000"/>
        </w:rPr>
        <w:t xml:space="preserve"> </w:t>
      </w:r>
    </w:p>
    <w:p>
      <w:pPr>
        <w:rPr>
          <w:rFonts w:eastAsia="Times New Roman"/>
          <w:noProof/>
          <w:color w:val="000000"/>
          <w:szCs w:val="24"/>
        </w:rPr>
      </w:pPr>
      <w:r>
        <w:rPr>
          <w:noProof/>
          <w:color w:val="000000"/>
        </w:rPr>
        <w:t>I tilfælde af at der fremsættes påstand om, at et holdmedlem har begået en strafbar handling, skal agenturets administrerende direktør – før sagen indledes ved domstolen – handle hurtigt og attestere, hvorvidt den pågældende handling blev udført under udøvelsen af deres officielle hverv eller ej. Agenturets administrerende direktør skal træffe sin afgørelse efter nøje overvejelse af eventuelle henvendelser fra den kompetente myndighed i den medlemsstat, som har udstationeret grænsevagten eller andet relevant personale, og fra Bosnien-Hercegovinas kompetente myndigheder.</w:t>
      </w:r>
    </w:p>
    <w:p>
      <w:pPr>
        <w:rPr>
          <w:rFonts w:eastAsia="Times New Roman"/>
          <w:noProof/>
          <w:color w:val="000000"/>
          <w:szCs w:val="24"/>
        </w:rPr>
      </w:pPr>
      <w:r>
        <w:rPr>
          <w:noProof/>
          <w:color w:val="000000"/>
        </w:rPr>
        <w:t xml:space="preserve">De privilegier, der gives til holdmedlemmer, og immunitet fra strafferetlig forfølgelse i Bosnien-Hercegovina fritager dem ikke fra oprindelsesmedlemsstatens jurisdiktion. </w:t>
      </w:r>
    </w:p>
    <w:p>
      <w:pPr>
        <w:rPr>
          <w:rFonts w:eastAsia="Times New Roman"/>
          <w:noProof/>
          <w:color w:val="000000"/>
          <w:szCs w:val="24"/>
        </w:rPr>
      </w:pPr>
      <w:r>
        <w:rPr>
          <w:noProof/>
          <w:color w:val="000000"/>
        </w:rPr>
        <w:t xml:space="preserve">Der skal gælde en tilsvarende ordning for holdmedlemmernes civile og administrative ansvar. </w:t>
      </w:r>
    </w:p>
    <w:p>
      <w:pPr>
        <w:rPr>
          <w:rFonts w:eastAsia="Times New Roman"/>
          <w:noProof/>
          <w:color w:val="000000"/>
          <w:szCs w:val="24"/>
        </w:rPr>
      </w:pPr>
      <w:r>
        <w:rPr>
          <w:noProof/>
          <w:color w:val="000000"/>
        </w:rPr>
        <w:t>Holdmedlemmers immunitet fra forfølgelse i Bosnien-Hercegovina kan ophæves af den medlemsstat, der har udstationeret den pågældende grænsevagt eller andet relevant personale. En sådan ophævelse skal altid være eksplicit.</w:t>
      </w:r>
    </w:p>
    <w:p>
      <w:pPr>
        <w:rPr>
          <w:rFonts w:eastAsia="Times New Roman"/>
          <w:noProof/>
          <w:color w:val="000000"/>
          <w:szCs w:val="24"/>
        </w:rPr>
      </w:pPr>
      <w:r>
        <w:rPr>
          <w:noProof/>
          <w:color w:val="000000"/>
        </w:rPr>
        <w:t xml:space="preserve">Aftalen indeholder bestemmelser om en mekanisme til at kompensere for skader. Kompensationsmekanismen er baseret på artikel 42 i forordning (EU) 2016/1624 om den europæiske grænse- og kystvagt. Hvis skaden er forårsaget af et holdmedlem "i tjenesten" er Bosnien-Hercegovina ansvarlig. Hvis skaderne er forvoldt "i tjenesten" af et medlem af et hold fra en deltagende medlemsstat som følge af grov uagtsomhed eller forsætlig forsømmelse, eller hvis handlingen blev begået "uden for tjenesten", kan Bosnien-Hercegovina via agenturets administrerende direktør anmode om, at den pågældende deltagende medlemsstat betaler kompensation. Hvis en af agenturets medarbejdere forvolder skaden, kan Bosnien-Hercegovina anmode om, at kompensationen betales af agenturet. </w:t>
      </w:r>
    </w:p>
    <w:p>
      <w:pPr>
        <w:rPr>
          <w:rFonts w:eastAsia="Times New Roman"/>
          <w:noProof/>
          <w:color w:val="000000"/>
          <w:szCs w:val="24"/>
        </w:rPr>
      </w:pPr>
      <w:r>
        <w:rPr>
          <w:noProof/>
          <w:color w:val="000000"/>
        </w:rPr>
        <w:t>Der må ikke træffes fuldbyrdelsesforanstaltninger over for holdmedlemmer, medmindre de sagsøges i en straffesag eller civil retssag, der ikke vedrører deres officielle funktioner.</w:t>
      </w:r>
    </w:p>
    <w:p>
      <w:pPr>
        <w:rPr>
          <w:rFonts w:eastAsia="Times New Roman"/>
          <w:noProof/>
          <w:color w:val="000000"/>
          <w:szCs w:val="24"/>
        </w:rPr>
      </w:pPr>
      <w:r>
        <w:rPr>
          <w:noProof/>
          <w:color w:val="000000"/>
        </w:rPr>
        <w:t>Holdmedlemmers ejendom, der er nødvendig for udførelsen af deres officielle funktioner, må ikke beslaglægges. I civile retssager må holdmedlemmer ikke underkastes nogen begrænsninger i deres personlige frihed eller nogen anden tvangsforanstaltning.</w:t>
      </w:r>
    </w:p>
    <w:p>
      <w:pPr>
        <w:rPr>
          <w:rFonts w:eastAsia="Times New Roman"/>
          <w:noProof/>
          <w:color w:val="000000"/>
          <w:szCs w:val="24"/>
        </w:rPr>
      </w:pPr>
      <w:r>
        <w:rPr>
          <w:noProof/>
          <w:color w:val="000000"/>
        </w:rPr>
        <w:t>Holdmedlemmer skal være fritaget for de bestemmelser om social sikring, der måtte gælde i Bosnien-Hercegovina, med hensyn til tjenesteydelser præsteret for agenturet. Holdmedlemmer er også fritaget for enhver form for beskatning i Bosnien-Hercegovina af de vederlag og honorarer, som agenturet eller oprindelsesmedlemsstaten betaler dem, samt af enhver indkomst, der modtages uden for Bosnien-Hercegovina.</w:t>
      </w:r>
    </w:p>
    <w:p>
      <w:pPr>
        <w:rPr>
          <w:rFonts w:eastAsia="Times New Roman"/>
          <w:noProof/>
          <w:color w:val="000000"/>
          <w:szCs w:val="24"/>
        </w:rPr>
      </w:pPr>
      <w:r>
        <w:rPr>
          <w:noProof/>
          <w:color w:val="000000"/>
        </w:rPr>
        <w:t xml:space="preserve">Bosnien-Hercegovinas myndigheder skal tillade import og eksport af genstande til holdmedlemmers personlige brug og fritage disse for al told, skatter og andre afgifter (bortset fra betaling for lager- og transportydelser samt tilsvarende ydelser) vedrørende disse genstande. </w:t>
      </w:r>
    </w:p>
    <w:p>
      <w:pPr>
        <w:spacing w:after="0"/>
        <w:rPr>
          <w:rFonts w:eastAsia="Times New Roman"/>
          <w:noProof/>
          <w:color w:val="000000"/>
          <w:szCs w:val="24"/>
        </w:rPr>
      </w:pPr>
      <w:r>
        <w:rPr>
          <w:noProof/>
          <w:color w:val="000000"/>
        </w:rPr>
        <w:t>Holdmedlemmers personlige bagage er fritaget for kontrol, medmindre der er begrundet formodning om, at den indeholder genstande, der ikke er til holdmedlemmernes personlige brug, eller genstande, hvis ind- eller udførsel er forbudt ved lov eller underlagt karantæneregler i Bosnien-Hercegovina. Kontrol af sådan personlig bagage må kun udføres i nærvær af det eller de berørte holdmedlemmer eller af en bemyndiget repræsentant for agenturet.</w:t>
      </w:r>
    </w:p>
    <w:p>
      <w:pPr>
        <w:rPr>
          <w:rFonts w:eastAsia="Times New Roman"/>
          <w:noProof/>
          <w:color w:val="000000"/>
          <w:szCs w:val="24"/>
        </w:rPr>
      </w:pPr>
      <w:r>
        <w:rPr>
          <w:noProof/>
          <w:color w:val="000000"/>
        </w:rPr>
        <w:t xml:space="preserve">Holdmedlemmers dokumenter, korrespondance og ejendom skal være ukrænkelige, medmindre der er tale om fuldbyrdelsesforanstaltninger. </w:t>
      </w:r>
    </w:p>
    <w:p>
      <w:pPr>
        <w:spacing w:after="240"/>
        <w:rPr>
          <w:rFonts w:eastAsia="Times New Roman"/>
          <w:noProof/>
          <w:color w:val="000000"/>
          <w:szCs w:val="24"/>
        </w:rPr>
      </w:pPr>
      <w:r>
        <w:rPr>
          <w:noProof/>
          <w:color w:val="000000"/>
        </w:rPr>
        <w:t>Bosnien-Hercegovinas kompetente myndigheder kan forpligte medlemmer af holdet, som er vidner, til at fremlægge beviser under fuld overholdelse af bestemmelserne om immunitet for så vidt angår strafferetlig, civilretlig og administrativ forfølgelse.</w:t>
      </w:r>
      <w:r>
        <w:rPr>
          <w:noProof/>
        </w:rPr>
        <w:t xml:space="preserve"> </w:t>
      </w:r>
    </w:p>
    <w:p>
      <w:pPr>
        <w:rPr>
          <w:i/>
          <w:noProof/>
        </w:rPr>
      </w:pPr>
      <w:r>
        <w:rPr>
          <w:i/>
          <w:noProof/>
        </w:rPr>
        <w:t xml:space="preserve">Akkrediteringsdokument </w:t>
      </w:r>
    </w:p>
    <w:p>
      <w:pPr>
        <w:spacing w:after="240"/>
        <w:rPr>
          <w:rFonts w:eastAsia="Times New Roman"/>
          <w:i/>
          <w:noProof/>
          <w:color w:val="000000"/>
          <w:szCs w:val="24"/>
        </w:rPr>
      </w:pPr>
      <w:r>
        <w:rPr>
          <w:noProof/>
          <w:color w:val="000000"/>
        </w:rPr>
        <w:t xml:space="preserve">Agenturet skal i samarbejde med Bosnien-Hercegovina udstede et akkrediteringsdokument til holdmedlemmer med henblik på identifikation over for Bosnien-Hercegovinas myndigheder som bevis for indehaverens ret til at udføre de opgaver og udøve de beføjelser, denne er tillagt i henhold til denne aftale og i den operationelle plan. Akkrediteringsdokumentet giver i kombination med et gyldigt rejsedokument holdmedlemmet adgang til Bosnien-Hercegovina uden visum eller forudgående tilladelse. Det afleveres til agenturet, når tiltaget afsluttes. </w:t>
      </w:r>
    </w:p>
    <w:p>
      <w:pPr>
        <w:rPr>
          <w:rFonts w:eastAsia="Times New Roman"/>
          <w:i/>
          <w:noProof/>
          <w:color w:val="000000"/>
          <w:szCs w:val="24"/>
        </w:rPr>
      </w:pPr>
      <w:r>
        <w:rPr>
          <w:i/>
          <w:noProof/>
          <w:color w:val="000000"/>
        </w:rPr>
        <w:t>Grundlæggende rettigheder</w:t>
      </w:r>
    </w:p>
    <w:p>
      <w:pPr>
        <w:rPr>
          <w:rFonts w:eastAsia="Times New Roman"/>
          <w:noProof/>
          <w:color w:val="000000"/>
          <w:szCs w:val="24"/>
        </w:rPr>
      </w:pPr>
      <w:r>
        <w:rPr>
          <w:noProof/>
          <w:color w:val="000000"/>
        </w:rPr>
        <w:t>Holdmedlemmer skal under udførelsen af deres opgaver og udøvelsen af deres beføjelser fuldt ud overholde de grundlæggende rettigheder og frihedsrettighederne, herunder for så vidt angår retten til adgang til asylprocedurer, principperne om menneskelig værdighed og forbuddet mod tortur og umenneskelig eller nedværdigende behandling, retten til frihed, princippet om nonrefoulement og forbuddet mod kollektive udvisninger, barnets rettigheder og retten til respekt for privatliv og familieliv. De må ikke øve nogen form for diskrimination mod personer, uanset grund, herunder køn, race eller etnisk oprindelse, religion eller tro, handicap, alder eller seksuel orientering. Eventuelle foranstaltninger, der griber ind i de grundlæggende rettigheder og frihedsrettighederne, skal stå i et rimeligt forhold til formålene med sådanne foranstaltninger og respektere kernen i disse rettigheder.</w:t>
      </w:r>
    </w:p>
    <w:p>
      <w:pPr>
        <w:spacing w:after="240"/>
        <w:rPr>
          <w:rFonts w:eastAsia="Times New Roman"/>
          <w:noProof/>
          <w:color w:val="000000"/>
          <w:szCs w:val="24"/>
        </w:rPr>
      </w:pPr>
      <w:r>
        <w:rPr>
          <w:noProof/>
          <w:color w:val="000000"/>
        </w:rPr>
        <w:t xml:space="preserve">Hver part skal have en klagemekanisme til behandling af påstande om deres personales tilsidesættelse af de grundlæggende rettigheder. Agenturet har oprettet den klagemekanisme, der er omhandlet i artikel 72 i forordning (EU) 2016/1624 om den europæiske grænse- og kystvagt, og lever derfor op til dette krav. Ombudsmændene i Bosnien-Hercegovina ("Ombudsmanden for menneskerettigheder i Bosnien-Hercegovina ") kan behandle sådanne påstande, medmindre Bosnien-Hercegovina beslutter at indføre en mekanisme, der specifikt har til opgave at behandle klager, der indgives i henhold til denne aftale.  </w:t>
      </w:r>
    </w:p>
    <w:p>
      <w:pPr>
        <w:rPr>
          <w:rFonts w:eastAsia="Times New Roman"/>
          <w:i/>
          <w:noProof/>
          <w:color w:val="000000"/>
          <w:szCs w:val="24"/>
        </w:rPr>
      </w:pPr>
      <w:r>
        <w:rPr>
          <w:i/>
          <w:noProof/>
          <w:color w:val="000000"/>
        </w:rPr>
        <w:t>Behandling af personoplysninger</w:t>
      </w:r>
    </w:p>
    <w:p>
      <w:pPr>
        <w:rPr>
          <w:rFonts w:eastAsia="Times New Roman"/>
          <w:i/>
          <w:noProof/>
          <w:color w:val="000000"/>
          <w:szCs w:val="24"/>
        </w:rPr>
      </w:pPr>
      <w:r>
        <w:rPr>
          <w:noProof/>
          <w:color w:val="000000"/>
        </w:rPr>
        <w:t>Holdmedlemmerne behandler personoplysninger, når det er nødvendigt – og står i et rimeligt forhold til vigtigheden heraf – i overensstemmelse med de gældende regler for agenturet og EU-medlemsstaterne. Bosnien-Hercegovinas myndigheders behandling af personoplysninger er underlagt landets nationale lovgivning.</w:t>
      </w:r>
    </w:p>
    <w:p>
      <w:pPr>
        <w:spacing w:after="240"/>
        <w:rPr>
          <w:rFonts w:eastAsia="Times New Roman"/>
          <w:i/>
          <w:noProof/>
          <w:color w:val="000000"/>
          <w:szCs w:val="24"/>
        </w:rPr>
      </w:pPr>
      <w:r>
        <w:rPr>
          <w:noProof/>
          <w:color w:val="000000"/>
        </w:rPr>
        <w:t>Agenturet, de deltagende medlemsstater og Bosnien-Hercegovinas myndigheder udarbejder en fælles rapport om holdmedlemmers behandling af personoplysninger ved det enkelte tiltags ophør. Rapporten sendes til agenturets ansvarlige for grundlæggende rettigheder og til dets databeskyttelsesansvarlige samt til de kompetente myndigheder i Bosnien-Hercegovina. Agenturets ansvarlige for de grundlæggende rettigheder og dets databeskyttelsesansvarlige aflægger rapport til agenturets administrerende direktør.</w:t>
      </w:r>
    </w:p>
    <w:p>
      <w:pPr>
        <w:rPr>
          <w:i/>
          <w:noProof/>
        </w:rPr>
      </w:pPr>
      <w:r>
        <w:rPr>
          <w:i/>
          <w:noProof/>
        </w:rPr>
        <w:t>Suspension eller ophør af tiltaget</w:t>
      </w:r>
    </w:p>
    <w:p>
      <w:pPr>
        <w:spacing w:after="240"/>
        <w:rPr>
          <w:rFonts w:eastAsia="Times New Roman"/>
          <w:noProof/>
        </w:rPr>
      </w:pPr>
      <w:r>
        <w:rPr>
          <w:noProof/>
        </w:rPr>
        <w:t xml:space="preserve">Både agenturet og Bosnien-Hercegovinas grænsepoliti kan suspendere tiltaget eller bringe det til ophør, hvis de finder, at bestemmelserne i aftalen eller i den operationelle plan ikke overholdes af den anden part. </w:t>
      </w:r>
    </w:p>
    <w:p>
      <w:pPr>
        <w:rPr>
          <w:rFonts w:eastAsia="Times New Roman"/>
          <w:i/>
          <w:noProof/>
          <w:color w:val="000000"/>
          <w:szCs w:val="24"/>
        </w:rPr>
      </w:pPr>
      <w:r>
        <w:rPr>
          <w:i/>
          <w:noProof/>
          <w:color w:val="000000"/>
        </w:rPr>
        <w:t>Tvister og fortolkning</w:t>
      </w:r>
    </w:p>
    <w:p>
      <w:pPr>
        <w:spacing w:before="0"/>
        <w:rPr>
          <w:rFonts w:eastAsia="Times New Roman"/>
          <w:noProof/>
          <w:color w:val="000000"/>
          <w:szCs w:val="24"/>
        </w:rPr>
      </w:pPr>
      <w:r>
        <w:rPr>
          <w:noProof/>
          <w:color w:val="000000"/>
        </w:rPr>
        <w:t xml:space="preserve">Alle spørgsmål, der opstår i forbindelse med anvendelsen af denne aftale, drøftes i fællesskab af repræsentanter for Bosnien-Hercegovinas grænsepoliti og repræsentanter for agenturet, som skal høre den eller de medlemsstater, der grænser op til Bosnien-Hercegovina. </w:t>
      </w:r>
    </w:p>
    <w:p>
      <w:pPr>
        <w:spacing w:before="0"/>
        <w:rPr>
          <w:rFonts w:eastAsia="Times New Roman"/>
          <w:iCs/>
          <w:noProof/>
        </w:rPr>
      </w:pPr>
      <w:r>
        <w:rPr>
          <w:noProof/>
        </w:rPr>
        <w:t>I mangel af forudgående bilæggelse løses tvister om fortolkning eller anvendelse af denne aftale udelukkende gennem forhandling mellem Bosnien-Hercegovina og Europa-Kommissionen, som konsulterer medlemsstater, der grænser op til Bosnien-Hercegovina.</w:t>
      </w:r>
    </w:p>
    <w:p>
      <w:pPr>
        <w:rPr>
          <w:rFonts w:eastAsia="Times New Roman"/>
          <w:i/>
          <w:noProof/>
          <w:color w:val="000000"/>
          <w:szCs w:val="24"/>
        </w:rPr>
      </w:pPr>
      <w:r>
        <w:rPr>
          <w:i/>
          <w:noProof/>
          <w:color w:val="000000"/>
        </w:rPr>
        <w:t>Fælles erklæringer</w:t>
      </w:r>
    </w:p>
    <w:p>
      <w:pPr>
        <w:rPr>
          <w:rFonts w:eastAsia="Times New Roman"/>
          <w:noProof/>
          <w:color w:val="000000"/>
          <w:szCs w:val="24"/>
        </w:rPr>
      </w:pPr>
      <w:r>
        <w:rPr>
          <w:noProof/>
          <w:color w:val="000000"/>
        </w:rPr>
        <w:t>Begge parterne noterer sig, at Det Europæiske Agentur for Grænse- og Kystbevogtning vil støtte Bosnien-Hercegovina med effektivt at kontrollere dets grænser med ethvert land, der ikke er medlem af Den Europæiske Union, på andre måder end gennem indsættelse af europæiske grænse- og kystvagthold med udøvende beføjelser.</w:t>
      </w:r>
    </w:p>
    <w:p>
      <w:pPr>
        <w:rPr>
          <w:noProof/>
          <w:szCs w:val="24"/>
        </w:rPr>
      </w:pPr>
      <w:r>
        <w:rPr>
          <w:noProof/>
        </w:rPr>
        <w:t>Norges, Islands, Schweiz' og Liechtensteins tætte associering i Schengenreglernes gennemførelse, anvendelse og udvikling fremgår af en fælleserklæring, der er knyttet til aftalen.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2019/0060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af aftalen mellem Den Europæiske Union og Bosnien-Hercegovina om tiltag, som gennemføres af Det Europæiske Agentur for Grænse- og Kystbevogtning i Bosnien-Hercegovina</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77, stk. 2, litra b) og d), og artikel 79, stk. 2, litra c), sammenholdt med artikel 218, stk. 6, litra a),</w:t>
      </w:r>
    </w:p>
    <w:p>
      <w:pPr>
        <w:rPr>
          <w:noProof/>
        </w:rPr>
      </w:pPr>
      <w:r>
        <w:rPr>
          <w:noProof/>
        </w:rPr>
        <w:t>under henvisning til forslag fra Europa-Kommissionen,</w:t>
      </w:r>
    </w:p>
    <w:p>
      <w:pPr>
        <w:rPr>
          <w:noProof/>
        </w:rPr>
      </w:pPr>
      <w:r>
        <w:rPr>
          <w:noProof/>
        </w:rPr>
        <w:t>under henvisning til godkendelse fra Europa-Parlamentet</w:t>
      </w:r>
      <w:r>
        <w:rPr>
          <w:rStyle w:val="FootnoteReference"/>
          <w:noProof/>
        </w:rPr>
        <w:footnoteReference w:id="5"/>
      </w:r>
      <w:r>
        <w:rPr>
          <w:noProof/>
        </w:rPr>
        <w:t>, og</w:t>
      </w:r>
    </w:p>
    <w:p>
      <w:pPr>
        <w:rPr>
          <w:noProof/>
        </w:rPr>
      </w:pPr>
      <w:r>
        <w:rPr>
          <w:noProof/>
        </w:rPr>
        <w:t>ud fra følgende betragtninger:</w:t>
      </w:r>
    </w:p>
    <w:p>
      <w:pPr>
        <w:pStyle w:val="ManualConsidrant"/>
        <w:rPr>
          <w:noProof/>
        </w:rPr>
      </w:pPr>
      <w:r>
        <w:t>(1)</w:t>
      </w:r>
      <w:r>
        <w:tab/>
      </w:r>
      <w:r>
        <w:rPr>
          <w:noProof/>
        </w:rPr>
        <w:t>I henhold til artikel 54, stk. 4, i Europa-Parlamentets og Rådets forordning (EU) 2016/1624</w:t>
      </w:r>
      <w:r>
        <w:rPr>
          <w:rStyle w:val="FootnoteReference"/>
          <w:noProof/>
        </w:rPr>
        <w:footnoteReference w:id="6"/>
      </w:r>
      <w:r>
        <w:rPr>
          <w:noProof/>
        </w:rPr>
        <w:t xml:space="preserve"> skal der i tilfælde, hvor der forudses indsættelse af hold fra den europæiske grænse- og kystvagt i tredjelande med henblik på gennemførelse af tiltag, hvor holdmedlemmerne har udøvende beføjelser, eller hvor andre tiltag i tredjelande nødvendiggør det, indgås en statusaftale mellem Unionen og tredjelandet. Statusaftalen bør omfatte alle aspekter, der er nødvendige for at gennemføre tiltagene. </w:t>
      </w:r>
    </w:p>
    <w:p>
      <w:pPr>
        <w:pStyle w:val="ManualConsidrant"/>
        <w:rPr>
          <w:noProof/>
        </w:rPr>
      </w:pPr>
      <w:r>
        <w:t>(2)</w:t>
      </w:r>
      <w:r>
        <w:tab/>
      </w:r>
      <w:r>
        <w:rPr>
          <w:noProof/>
        </w:rPr>
        <w:t>I overensstemmelse med Rådets afgørelse 2019/XXX af [...] blev en aftale mellem Den Europæiske Union og Bosnien-Hercegovina om tiltag, som gennemføres af Det Europæiske Agentur for Grænse- og Kystbevogtning i Bosnien-Hercegovina ("aftalen"), undertegnet af [...] den […] med forbehold af aftalens indgåelse.</w:t>
      </w:r>
    </w:p>
    <w:p>
      <w:pPr>
        <w:pStyle w:val="ManualConsidrant"/>
        <w:rPr>
          <w:noProof/>
        </w:rPr>
      </w:pPr>
      <w:r>
        <w:t>(3)</w:t>
      </w:r>
      <w:r>
        <w:tab/>
      </w:r>
      <w:r>
        <w:rPr>
          <w:noProof/>
        </w:rPr>
        <w:t xml:space="preserve">I henhold til denne aftale kan hold fra den europæiske grænse- og kystvagt i overensstemmelse med den operationelle plan hurtigt sættes ind på Bosnien-Hercegovinas område, reagere på aktuelle ændringer i migrationsstrømmene i retning af kystruten og bistå ved forvaltningen af de ydre grænser og bekæmpelsen af smugling af irregulære migranter. </w:t>
      </w:r>
    </w:p>
    <w:p>
      <w:pPr>
        <w:pStyle w:val="ManualConsidrant"/>
        <w:rPr>
          <w:noProof/>
          <w:szCs w:val="24"/>
        </w:rPr>
      </w:pPr>
      <w:r>
        <w:t>(4)</w:t>
      </w:r>
      <w:r>
        <w:tab/>
      </w:r>
      <w:r>
        <w:rPr>
          <w:noProof/>
        </w:rPr>
        <w:t>Denne afgørelse udgør en udvikling af bestemmelser i Schengenreglerne, som Det Forenede Kongerige ikke deltager i, jf. Rådets afgørelse 2000/365/EF</w:t>
      </w:r>
      <w:r>
        <w:rPr>
          <w:rStyle w:val="FootnoteReference"/>
          <w:noProof/>
        </w:rPr>
        <w:footnoteReference w:id="7"/>
      </w:r>
      <w:r>
        <w:rPr>
          <w:noProof/>
        </w:rPr>
        <w:t xml:space="preserve">; Det Forenede Kongerige deltager derfor ikke i vedtagelsen af denne afgørelse, som ikke er bindende for og ikke finder anvendelse i Det Forenede Kongerige. </w:t>
      </w:r>
    </w:p>
    <w:p>
      <w:pPr>
        <w:pStyle w:val="ManualConsidrant"/>
        <w:rPr>
          <w:noProof/>
          <w:szCs w:val="24"/>
        </w:rPr>
      </w:pPr>
      <w:r>
        <w:t>(5)</w:t>
      </w:r>
      <w:r>
        <w:tab/>
      </w:r>
      <w:r>
        <w:rPr>
          <w:noProof/>
        </w:rPr>
        <w:t>Denne afgørelse udgør en udvikling af bestemmelser i Schengenreglerne, som Irland ikke deltager i, jf. Rådets afgørelse 2002/192/EF</w:t>
      </w:r>
      <w:r>
        <w:rPr>
          <w:rStyle w:val="FootnoteReference"/>
          <w:noProof/>
        </w:rPr>
        <w:footnoteReference w:id="8"/>
      </w:r>
      <w:r>
        <w:rPr>
          <w:noProof/>
        </w:rPr>
        <w:t>; Irland deltager derfor ikke i vedtagelsen af denne afgørelse, som ikke er bindende for og ikke finder anvendelse i Irland.</w:t>
      </w:r>
    </w:p>
    <w:p>
      <w:pPr>
        <w:pStyle w:val="ManualConsidrant"/>
        <w:rPr>
          <w:noProof/>
        </w:rPr>
      </w:pPr>
      <w:r>
        <w:t>(6)</w:t>
      </w:r>
      <w:r>
        <w:tab/>
      </w:r>
      <w:r>
        <w:rPr>
          <w:noProof/>
        </w:rPr>
        <w:t>I medfør af artikel 1 og 2 i protokol nr. 22 om Danmarks stilling, der er knyttet som bilag til traktaten om Den Europæiske Union og til traktaten om Den Europæiske Unions funktionsmåde, deltager Danmark ikke i vedtagelsen af denne afgørelse, som ikke er bindende for og ikke finder anvendelse i Danmark.</w:t>
      </w:r>
    </w:p>
    <w:p>
      <w:pPr>
        <w:pStyle w:val="ManualConsidrant"/>
        <w:rPr>
          <w:noProof/>
        </w:rPr>
      </w:pPr>
      <w:r>
        <w:t>(7)</w:t>
      </w:r>
      <w:r>
        <w:tab/>
      </w:r>
      <w:r>
        <w:rPr>
          <w:noProof/>
        </w:rPr>
        <w:t>Aftalen bør derfor godkendes på Den Europæiske Unions vegne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Aftalen mellem Den Europæiske Union og Bosnien-Hercegovina om tiltag, som gennemføres af Det Europæiske Agentur for Grænse- og Kystbevogtning i Bosnien-Hercegovina ("aftalen"), godkendes hermed på Unionens vegne.</w:t>
      </w:r>
    </w:p>
    <w:p>
      <w:pPr>
        <w:rPr>
          <w:noProof/>
        </w:rPr>
      </w:pPr>
      <w:r>
        <w:rPr>
          <w:noProof/>
        </w:rPr>
        <w:t>Teksten til aftalen er knyttet til denne afgørelse.</w:t>
      </w:r>
    </w:p>
    <w:p>
      <w:pPr>
        <w:pStyle w:val="Titrearticle"/>
        <w:rPr>
          <w:noProof/>
        </w:rPr>
      </w:pPr>
      <w:r>
        <w:rPr>
          <w:noProof/>
        </w:rPr>
        <w:t>Artikel 2</w:t>
      </w:r>
    </w:p>
    <w:p>
      <w:pPr>
        <w:rPr>
          <w:noProof/>
        </w:rPr>
      </w:pPr>
      <w:r>
        <w:rPr>
          <w:noProof/>
        </w:rPr>
        <w:t>Formanden for Rådet udpeger den person, som på Den Europæiske Unions vegne er bemyndiget til at give meddelelse i henhold til aftalens artikel 11, stk. 3, med henblik på at udtrykke Den Europæiske Unions samtykke til at blive bundet af aftalen.</w:t>
      </w:r>
    </w:p>
    <w:p>
      <w:pPr>
        <w:pStyle w:val="Titrearticle"/>
        <w:rPr>
          <w:noProof/>
        </w:rPr>
      </w:pPr>
      <w:r>
        <w:rPr>
          <w:noProof/>
        </w:rPr>
        <w:t>Artikel 3</w:t>
      </w:r>
    </w:p>
    <w:p>
      <w:pPr>
        <w:keepLines/>
        <w:spacing w:after="240"/>
        <w:rPr>
          <w:noProof/>
        </w:rPr>
      </w:pPr>
      <w:r>
        <w:rPr>
          <w:noProof/>
        </w:rPr>
        <w:t xml:space="preserve">Denne afgørelse træder i kraft på dagen for vedtagelsen.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br/>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EUT L 251 af 16.9.2016, s. 1.</w:t>
      </w: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COM(2015) 185 final.</w:t>
      </w:r>
    </w:p>
  </w:footnote>
  <w:footnote w:id="4">
    <w:p>
      <w:pPr>
        <w:pStyle w:val="FootnoteText"/>
        <w:rPr>
          <w:lang w:val="pt-PT"/>
        </w:rPr>
      </w:pPr>
      <w:r>
        <w:rPr>
          <w:rStyle w:val="FootnoteReference"/>
        </w:rPr>
        <w:footnoteRef/>
      </w:r>
      <w:r>
        <w:rPr>
          <w:lang w:val="pt-PT"/>
        </w:rPr>
        <w:tab/>
        <w:t>EUT L 334 af 19.12.2007, s. 66.</w:t>
      </w:r>
    </w:p>
  </w:footnote>
  <w:footnote w:id="5">
    <w:p>
      <w:pPr>
        <w:pStyle w:val="FootnoteText"/>
      </w:pPr>
      <w:r>
        <w:rPr>
          <w:rStyle w:val="FootnoteReference"/>
        </w:rPr>
        <w:footnoteRef/>
      </w:r>
      <w:r>
        <w:tab/>
        <w:t xml:space="preserve">EUT C […] af […], s. […]. </w:t>
      </w:r>
    </w:p>
  </w:footnote>
  <w:footnote w:id="6">
    <w:p>
      <w:pPr>
        <w:pStyle w:val="FootnoteText"/>
      </w:pPr>
      <w:r>
        <w:rPr>
          <w:rStyle w:val="FootnoteReference"/>
        </w:rPr>
        <w:footnoteRef/>
      </w:r>
      <w:r>
        <w:tab/>
        <w:t>Europa-Parlamentets og Rådets forordning (EU) 2016/1624 af 14. september 2016 om den europæiske grænse- og kystvagt og om ændring af Europa-Parlamentets og Rådets forordning (EU) 2016/399 og om ophævelse af Europa-Parlamentets og Rådets forordning (EF) nr. 863/2007, Rådets forordning (EF) nr. 2007/2004, og Rådets beslutning 2005/267/EF (EUT L 251 af 16.9.2016, s. 1).</w:t>
      </w:r>
    </w:p>
  </w:footnote>
  <w:footnote w:id="7">
    <w:p>
      <w:pPr>
        <w:pStyle w:val="FootnoteText"/>
      </w:pPr>
      <w:r>
        <w:rPr>
          <w:rStyle w:val="FootnoteReference"/>
        </w:rPr>
        <w:footnoteRef/>
      </w:r>
      <w:r>
        <w:tab/>
        <w:t>Rådets afgørelse 2000/365/EF af 29. maj 2000 om anmodningen fra Det Forenede Kongerige Storbritannien og Nordirland om at deltage i visse bestemmelser i Schengenreglerne (EFT L 131 af 1.6.2000, s. 43).</w:t>
      </w:r>
    </w:p>
  </w:footnote>
  <w:footnote w:id="8">
    <w:p>
      <w:pPr>
        <w:pStyle w:val="FootnoteText"/>
      </w:pPr>
      <w:r>
        <w:rPr>
          <w:rStyle w:val="FootnoteReference"/>
        </w:rPr>
        <w:footnoteRef/>
      </w:r>
      <w:r>
        <w:tab/>
        <w:t>Rådets afgørelse 2002/192/EF af 28. februar 2002 om anmodningen fra Irland om at deltage i visse bestemmelser i Schengenreglerne (EFT L 64 af 7.3.2002, s.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5: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6CB1BE7-F58A-48EA-B5F1-FF2CEBB81FEC"/>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aftalen mellem Den Europæiske Union og Bosnien-Hercegovina om tiltag, som gennemføres af Det Europæiske Agentur for Grænse- og Kystbevogtning i Bosnien-Hercegovina"/>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C1C7D4-3CCF-4DE3-8510-A7B476F1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10</Pages>
  <Words>3314</Words>
  <Characters>21546</Characters>
  <Application>Microsoft Office Word</Application>
  <DocSecurity>0</DocSecurity>
  <Lines>353</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2019-02-18T14:58:00Z</dcterms:created>
  <dcterms:modified xsi:type="dcterms:W3CDTF">2019-02-19T16:25:00Z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