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67AB4BD-B8D4-4C6A-A306-11966753F57F" style="width:450.75pt;height:348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rPr>
          <w:noProof/>
          <w:szCs w:val="24"/>
        </w:rPr>
      </w:pPr>
      <w:bookmarkStart w:id="1" w:name="_GoBack"/>
      <w:bookmarkEnd w:id="1"/>
      <w:r>
        <w:rPr>
          <w:noProof/>
        </w:rPr>
        <w:lastRenderedPageBreak/>
        <w:t xml:space="preserve">Daħla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F’Diċembru 2015, il-Kummissjoni adottat Pjan ta’ Azzjoni għal Ekonomija Ċirkolari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18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biex tagħti spinta ġdida lill-impjiegi, lit-tkabbir u lill-investiment u biex tiżviluppa ekonomija newtrali f’termini ta’ emissjonijiet tal-karbonju, effiċjenti fir-riżorsi u kompetittiva. L-54 azzjoni skont dan il-pjan ta’ azzjoni issa tlestew jew qed jiġu implimentati, anke jekk il-ħidma fuq uħud minnhom se tkompli wara l-2019.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Il-Qafas ta’ Monitoraġġ għall-Ekonomija Ċirkolari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juri li t-tranżizzjoni għenet biex tqiegħed mill-ġdid lill-UE fit-triq tal-ħolqien tal-impjiegi. Fl-2016, is-setturi rilevanti għall-ekonomija ċirkolari impjegaw aktar minn erba’ miljun ħaddiem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>, jiġifieri żieda ta’ 6 % meta mqabbel mal-2012. Fis-snin li ġejjin huwa mistenni li se jinħolqu impjiegi addizzjonali sabiex tkun tista tiġi ssodisfata d-domanda ġġenerata minn swieq li jiffunzjonaw bis-sħiħ għall-materja prima sekondarja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Iċ-ċirkolarità tat ukoll opportunitajiet ta’ negozju ġodda, żiedet il-mudelli ta’ negozju ġodda u żviluppat swieq ġodda, kemm domestikament, kif ukoll barra mill-UE. Fl-2016, l-attivitajiet ċirkolari bħat-tiswija, l-użu mill-ġdid jew ir-riċiklaġġ iġġeneraw kważi EUR 147 biljun f’valur miżjud, waqt li kienu jgħoddu madwar EUR 17.5 biljun f’investimenti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Fl-Ewropa, ir-riċiklaġġ tal-iskart muniċipali matul il-perjodu bejn l-2008 u l-2016 żdied u l-kontribut ta’ materjali rriċiklati għad-domanda globali tal-materjali juri titjib kontinwu. Madankollu, bħala medja, il-materjali rriċiklati jissodisfaw biss anqas minn 12 % tad-domanda tal-UE għall-materjali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>. Dan jidher minn rapport riċenti tal-partijiet ikkonċernati li jissuġġerixxi li ċ-ċirkolarità sħiħa tapplika għal 9 %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 xml:space="preserve"> biss tal-ekonomija dinjija u b’hekk tħalli lok kbir għat-titjib.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Il-Qafas ta’ Monitoraġġ għall-Ekonomija Ċirkolari</w:t>
            </w:r>
            <w:r>
              <w:rPr>
                <w:rFonts w:ascii="Times New Roman" w:hAnsi="Times New Roman"/>
                <w:noProof/>
                <w:sz w:val="24"/>
              </w:rPr>
              <w:t xml:space="preserve"> tal-UE, ippreżentat mill-Kummissjoni fl-2018, jinkludi 10 indikaturi prinċipali li jkopru kull fażi taċ-ċiklu tal-ħajja tal-prodotti kif ukoll aspetti ta’ kompetittività. L-indikaturi kollha jiġu aġġornati regolarment u huma disponibbli fuq sit web iddedikat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9"/>
            </w:r>
            <w:r>
              <w:rPr>
                <w:rFonts w:ascii="Times New Roman" w:hAnsi="Times New Roman"/>
                <w:noProof/>
                <w:sz w:val="24"/>
              </w:rPr>
              <w:t xml:space="preserve">. </w:t>
            </w:r>
          </w:p>
          <w:p>
            <w:p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Xi Stati Membri żviluppaw indikaturi tal-ekonomija ċirkolari nazzjonali addizzjonali biex b’hekk tiġi kkomplimentata il-ħarsa ġenerali mogħtija mill-qafas tal-UE. Il-Parlament Ewropew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0"/>
            </w:r>
            <w:r>
              <w:rPr>
                <w:rFonts w:ascii="Times New Roman" w:hAnsi="Times New Roman"/>
                <w:noProof/>
                <w:sz w:val="24"/>
              </w:rPr>
              <w:t>, il-Kunsill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1"/>
            </w:r>
            <w:r>
              <w:rPr>
                <w:rFonts w:ascii="Times New Roman" w:hAnsi="Times New Roman"/>
                <w:noProof/>
                <w:sz w:val="24"/>
              </w:rPr>
              <w:t>, u l-Kumitat Ekonomiku u Soċjali Ewropew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2"/>
            </w:r>
            <w:r>
              <w:rPr>
                <w:rFonts w:ascii="Times New Roman" w:hAnsi="Times New Roman"/>
                <w:noProof/>
                <w:sz w:val="24"/>
              </w:rPr>
              <w:t xml:space="preserve"> enfasizzaw ukoll ir-rwol ta’ indikaturi oħra sabiex jidentifikaw aspetti neqsin tal-ekonomija ċirkolari, bħall-evalwazzjoni tal-flussi ta’ materjali f’simbjożi industrijali u r-responsabbiltà għall-kapital naturali.   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Għall-ewwel darba, il-pjan ta’ azzjoni ppromwova approċċ sistemiku tul katini ta’ valur sħaħ. Flimkien ma’ dan, il-Kummissjoni integrat prinċipji ċirkolari fil-produzzjoni u fil-konsum tal-plastik, fl-immaniġġjar tal-ilma, fis-sistemi tal-ikel u fl-immaniġġjar ta’ flussi ta’ skart speċifiċi. Dan kien possibbli bl-appoġġ b’saħħtu u bl-involviment tal-Istati Membri, tal-Parlament Ewropew, tal-komunità tan-negozju u taċ-ċittadini. Barra minn hekk, dan ikkontribwixxa wkoll għall-kisba tal-Aġenda 2030 għall-Iżvilupp Sostenibbli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120" w:after="120" w:line="240" w:lineRule="auto"/>
        <w:jc w:val="both"/>
        <w:rPr>
          <w:b/>
          <w:noProof/>
          <w:szCs w:val="24"/>
        </w:rPr>
      </w:pPr>
      <w:r>
        <w:rPr>
          <w:rFonts w:ascii="Times New Roman" w:hAnsi="Times New Roman"/>
          <w:noProof/>
          <w:sz w:val="24"/>
        </w:rPr>
        <w:t>Dan ir-rapport jippreżenta r-riżultati ewlenin tal-implimentazzjoni tal-pjan ta’ azzjoni. Huwa jiddeskrivi wkoll l-isfidi futuri biex tissawwar l-ekonomija tagħna u jkompli jinħoloq vantaġġ kompetittiv, filwaqt li jwitti t-triq lejn ekonomija newtrali għall-klima fejn titnaqqas il-pressjoni fuq ir-riżorsi naturali u tal-ilma ħelu, kif ukoll fuq l-ekosistemi. Ir-rapport tħejja bi tweġiba għal talba tal-Kunsill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biex “</w:t>
      </w:r>
      <w:r>
        <w:rPr>
          <w:rFonts w:ascii="Times New Roman" w:hAnsi="Times New Roman"/>
          <w:i/>
          <w:noProof/>
          <w:sz w:val="24"/>
        </w:rPr>
        <w:t>jingħata aġġornament annwali bil-miktub dwar il-progress li jkun sar fl-implimentazzjoni tal-pjan ta’ azzjoni</w:t>
      </w:r>
      <w:r>
        <w:rPr>
          <w:rFonts w:ascii="Times New Roman" w:hAnsi="Times New Roman"/>
          <w:noProof/>
          <w:sz w:val="24"/>
        </w:rPr>
        <w:t>” [traduzzjoni mhux uffiċjali], talba mtennija wkoll mill-Parlament Ewropew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>. Deskrizzjoni sħiħa tas-sitwazzjoni attwali tal-implimentazzjoni tal-pjan ta’ azzjoni hija ppreżentata fid-Dokument ta’ Ħidma tal-Persunal (SWD)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 xml:space="preserve"> ta’ akkumpanjament.</w:t>
      </w:r>
    </w:p>
    <w:p>
      <w:pPr>
        <w:pStyle w:val="Heading1"/>
        <w:rPr>
          <w:noProof/>
          <w:szCs w:val="24"/>
        </w:rPr>
      </w:pPr>
      <w:r>
        <w:rPr>
          <w:noProof/>
        </w:rPr>
        <w:t xml:space="preserve">Il-bini ta’ ekonomija ċirkolari </w:t>
      </w:r>
    </w:p>
    <w:p>
      <w:pPr>
        <w:pStyle w:val="Heading2"/>
        <w:rPr>
          <w:noProof/>
        </w:rPr>
      </w:pPr>
      <w:r>
        <w:rPr>
          <w:noProof/>
        </w:rPr>
        <w:t>Id-Disinn Ċirkolari u l-Proċessi tal-Produzzjoni</w:t>
      </w:r>
    </w:p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>
        <w:trPr>
          <w:trHeight w:val="2880"/>
        </w:trPr>
        <w:tc>
          <w:tcPr>
            <w:tcW w:w="9067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Id-disinn insibuh fil-bidu taċ-ċiklu tal-ħajja tal-prodotti u huwa essenzjali biex tiġi żgurata ċ-ċirkolarità. Bl-implimentazzjoni tal-Pjan ta’ Ħidma dwar l-Ekodisinn 2016-2019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7"/>
            </w:r>
            <w:r>
              <w:rPr>
                <w:rFonts w:ascii="Times New Roman" w:hAnsi="Times New Roman"/>
                <w:noProof/>
                <w:sz w:val="24"/>
              </w:rPr>
              <w:t xml:space="preserve">, il-Kummissjoni kompliet tippromwovi </w:t>
            </w:r>
            <w:r>
              <w:rPr>
                <w:rFonts w:ascii="Times New Roman" w:hAnsi="Times New Roman"/>
                <w:b/>
                <w:noProof/>
                <w:sz w:val="24"/>
              </w:rPr>
              <w:t>d-disinn ċirkolari tal-prodotti</w:t>
            </w:r>
            <w:r>
              <w:rPr>
                <w:rFonts w:ascii="Times New Roman" w:hAnsi="Times New Roman"/>
                <w:noProof/>
                <w:sz w:val="24"/>
              </w:rPr>
              <w:t>, flimkien mal-objettivi tal-effiċjenza fl-enerġija.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Il-miżuri tal-Ekodisinn u tat-Tikkettar tal-Enerġija għal diversi prodotti issa jinkludu regoli dwar rekwiżiti tal-effiċjenza materjali bħad-disponibbiltà ta’ spare parts, il-faċilità tat-tiswija, u l-iffaċilitar tat-trattament tat-tmiem tal-ħajja </w:t>
            </w:r>
          </w:p>
          <w:p>
            <w:pPr>
              <w:pStyle w:val="ListParagraph"/>
              <w:numPr>
                <w:ilvl w:val="0"/>
                <w:numId w:val="44"/>
              </w:numPr>
              <w:spacing w:before="120" w:after="120"/>
              <w:ind w:right="36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Il-Kummissjoni inkarigat lill-Organizzazzjonijiet Ewropej tal-Istandardizzazzjoni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18"/>
            </w:r>
            <w:r>
              <w:rPr>
                <w:rFonts w:ascii="Times New Roman" w:hAnsi="Times New Roman"/>
                <w:noProof/>
                <w:sz w:val="24"/>
              </w:rPr>
              <w:t xml:space="preserve"> bl-iżvilupp ta’ kriterji orizzontali sabiex jitkejlu d-durabbiltà, l-użu mill-ġdid, il-possibbiltà ta’ tiswija, ir-riċiklabbiltà u l-preżenza ta’ materja prima kritika. Dawn il-kriterji jenħtieġ li jiġu applikati fi standards eżistenti u ġodda.</w:t>
            </w:r>
          </w:p>
        </w:tc>
      </w:tr>
    </w:tbl>
    <w:p>
      <w:pPr>
        <w:pStyle w:val="NormalWeb"/>
        <w:spacing w:before="120"/>
        <w:jc w:val="both"/>
        <w:rPr>
          <w:noProof/>
        </w:rPr>
      </w:pPr>
      <w:r>
        <w:rPr>
          <w:noProof/>
        </w:rPr>
        <w:t>Il-prodotti u s-servizzi ddisinjati b’mod ċirkolari jistgħu jimminimizzaw l-użu tar-riżorsi u jrawmu l-użu mill-ġdid, l-irkupru u r-riċiklabbiltà tal-materjali fil-ġejjieni. Diversi politiki tal-UE diġà jindirizzaw l-effiċjenza fir-riżorsi: lil hinn mid-Direttiva dwar l-Ekodisinn u r-Regolament dwar it-Tikkettar tal-Enerġija, dawn il-politiki jinkludu wkoll għodod volontarji, bħall-Ekotikketta tal-UE jew il-kriterji dwar l-Akkwist Pubbliku Ekoloġiku. L-SWD dwar politiki relatati mal-prodotti</w:t>
      </w:r>
      <w:r>
        <w:rPr>
          <w:rStyle w:val="FootnoteReference"/>
          <w:noProof/>
        </w:rPr>
        <w:footnoteReference w:id="19"/>
      </w:r>
      <w:r>
        <w:rPr>
          <w:noProof/>
        </w:rPr>
        <w:t>, ippubblikat flimkien ma’ dan ir-rapport, jeżamina għażliet biex jiġu spjegati aħjar id-diversi għodod ta’ politika tal-prodotti eżistenti fil-livell tal-UE u l-kontribut tagħhom għall-ekonomija ċirkolari. Dan jinkludi konsiderazzjoni tal-espansjoni tal-politika dwar l-Ekodisinn, li kienet ta’ suċċess għal prodotti relatati mal-enerġija, għal gruppi ta’ prodotti mhux relatati mal-enerġija, u għal appoġġ ulterjuri tas-settur tat-tiswija fl-UE. Id-dokument janalizza wkoll opportunitajiet possibbli f’setturi addizzjonali, pereżempju l-imballaġġ, it-tessuti u l-għamara. Għaddejja ħidma biex jiġu rieżaminati r-rekwiżiti essenzjali għall-imballaġġ, li għandha l-għan li ttejjeb id-disinn għall-użu mill-ġdid u r-riċiklaġġ ta’ kwalità għolja tal-imballaġġ.</w:t>
      </w:r>
    </w:p>
    <w:p>
      <w:pPr>
        <w:pStyle w:val="NormalWeb"/>
        <w:jc w:val="both"/>
        <w:rPr>
          <w:noProof/>
        </w:rPr>
      </w:pPr>
      <w:r>
        <w:rPr>
          <w:noProof/>
        </w:rPr>
        <w:t>Iċ-ċirkolarità tfisser ukoll l-adattament ta’ proċessi industrijali. Il-Kummissjoni introduċiet aspetti ta’ ċirkolarità (konsum tal-enerġija u użu materjali, prevenzjoni tal-iskart, riċiklaġġ u tnaqqis tas-sustanzi kimiċi perikolużi) f’Dokumenti ta’ Referenza speċifiċi dwar l-Aħjar Tekniki Disponibbli (BREFs)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skont id-Direttiva dwar l-Emissjonijiet Industrijali</w:t>
      </w:r>
      <w:r>
        <w:rPr>
          <w:rStyle w:val="FootnoteReference"/>
          <w:noProof/>
        </w:rPr>
        <w:footnoteReference w:id="21"/>
      </w:r>
      <w:r>
        <w:rPr>
          <w:noProof/>
        </w:rPr>
        <w:t>, u bidlithom fi standards ta’ referenza għall-Istati Membri meta jagħtu permessi għal impjanti industrijali. Barra minn hekk, ir-riżultat tal-kontroll tal-idoneità tal-Iskema ta’ Ġestjoni u Verifika Ambjentali (EMAS) ikkonferma l-potenzjal tagħha li ttejjeb il-prestazzjoni ambjentali tal-organizzazzjonijiet.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L-intrapriżi żgħar u ta’ daqs medju (SMEs) jinsabu fil-qalba tat-tranżizzjoni. Huma jistgħu jaċċessaw il-pariri tan-Netwerk Enterprise Europe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 xml:space="preserve"> u ċ-Ċentru Ewropew tal-Għarfien tal-Effiċjenza fir-Riżorsi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sabiex itejbu l-effiċjenza fir-riżorsi u l-proċessi tal-produzzjoni tagħhom. Barra minn hekk, il-Kummissjoni waqqfet netwerk pan-Ewropew iddedikat għat-teknoloġiji tal-manifattura innovattivi u avvanzati u qed tiżviluppa bażi ta’ għarfien għas-sostituzzjoni ta’ sustanzi perikolużi ta’ tħassib. L-SMEs jibbenefikaw ukoll mill-programm pilota Verifika tat-Teknoloġija Ambjentali, programm għall-iżviluppaturi tat-teknoloġija biex jippruvaw l-asserzjonijiet tal-prestazzjoni dwar teknoloġiji innovattivi u jiksbu kredibbiltà fi swieq ġodda.</w:t>
      </w:r>
    </w:p>
    <w:p>
      <w:pPr>
        <w:pStyle w:val="Heading2"/>
        <w:rPr>
          <w:noProof/>
        </w:rPr>
      </w:pPr>
      <w:r>
        <w:rPr>
          <w:noProof/>
        </w:rPr>
        <w:t>L-għoti tas-setgħa lill-Konsumaturi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It-tranżizzjoni lejn ekonomija aktar ċirkolari tirrikjedi l-involviment attiv taċ-ċittadini fit-tibdil tax-xejriet tal-konsum. Għal dan l-għan, id-dokument ta’ akkumpanjament dwar politiki relatati mal-prodotti jelabora dwar approċċ strateġiku sabiex tiżdied l-effettività tal-Ekotikketta tal-UE biex il-konsumaturi jingħataw informazzjoni ambjentali preċiża, f’konformità mar-rakkomandazzjonijiet tal-kontroll tal-idoneità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 xml:space="preserve">. Jippreżenta wkoll evalwazzjoni ddettaljata tal-fażi pilota tal-Impronta Ambjentali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Il-metodi tal-Impronta Ambjentali tal-Prodott (PEF) u tal-Impronta Ambjentali tal-Organizzazzjoni (OEF) żviluppati mill-Kummissjoni, jistgħu jippermettu lill-kumpaniji </w:t>
            </w:r>
            <w:r>
              <w:rPr>
                <w:rFonts w:ascii="Times New Roman" w:hAnsi="Times New Roman"/>
                <w:b/>
                <w:noProof/>
                <w:sz w:val="24"/>
              </w:rPr>
              <w:t>jagħmlu asserzjonijiet ambjentali affidabbli, riproduċibbli u komparabbli</w:t>
            </w:r>
            <w:r>
              <w:rPr>
                <w:rFonts w:ascii="Times New Roman" w:hAnsi="Times New Roman"/>
                <w:noProof/>
                <w:sz w:val="24"/>
              </w:rPr>
              <w:t>. Il-metodi jippermettu l-identifikazzjoni ta’ hotspots ambjentali u jappoġġaw lill-kumpaniji fl-ekoloġizzazzjoni tal-katina ta’ provvista tagħhom u biex isiru aktar sostenibbli u ċirkolari. Il-konsumaturi se jkunu jistgħu wkoll jagħmlu għażliet informati bbażati fuq informazzjoni affidabbli.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Madwar 300 kumpanija minn 27 settur differenti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5"/>
            </w:r>
            <w:r>
              <w:rPr>
                <w:rFonts w:ascii="Times New Roman" w:hAnsi="Times New Roman"/>
                <w:noProof/>
                <w:sz w:val="24"/>
              </w:rPr>
              <w:t xml:space="preserve"> u aktar minn 2 000 parti kkonċernata, ħadmu għal ħames snin biex jittestjaw dawn il-metodi li huma jqisu bħala l-aħjar prattika fil-Valutazzjoni taċ-Ċiklu tal-Ħajja.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L-informazzjoni dwar id-durabbiltà u l-probabbiltà ta’ tiswija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 xml:space="preserve"> tal-prodotti tista’ wkoll tibdel id-deċiżjonijiet dwar ix-xiri għal għażliet aktar sostenibbli. Billi tibni fuq l-esperjenza pożittiva miksuba skont ir-Regolament dwar it-Tikkettar tal-Enerġija, il-Kummissjoni qed tiżviluppa sistema ta’ punteġġ dwar il-probabbiltà ta’ tiswija ta’ prodott. Barra minn hekk, sabiex tipproteġi lill-konsumaturi kontra prodotti difettużi, il-proposta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 xml:space="preserve"> dwar ċerti aspetti rigward kuntratti għall-bejgħ ta’ oġġetti, li bħalissa għaddejja mill-fażijiet finali fil-proċess leġiżlattiv, testendi t-treġġigħ lura tal-perjodu tal-oneru tal-provi, li se jgħin lill-konsumaturi japplikaw il-garanzija legali għad-drittijiet tagħhom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minn hekk, il-Kummissjoni pproponiet li l-protezzjoni tal-konsumaturi kontra asserzjonijiet ambjentali foloz u prattiki ta’ obsolexxenza prematura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>, tissaħħaħ permezz ta’ opportunitajiet aħjar għall-individwi u rimedju kollettiv kontra prattiki kummerċjali inġusti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>. Dan jikkomplimenta l-informazzjoni pprovduta fil-gwida riveduta biex tiġi applikata u implimentata d-Direttiva dwar il-Prattiki Kummerċjali Inġusti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tisfrutta l-potenzjal tal-awtoritajiet pubbliċi li jagħtu spinta lis-swieq għall-prodotti u s-servizzi ċirkolari, il-Kummissjoni adottat kriterji ġodda u riveduti ta’ Akkwist Pubbliku Ekoloġiku tal-UE, inklużi aspetti tal-ekonomija ċirkolari u ppromwoviet l-użu tagħhom permezz ta’ dokumenti ta’ gwida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 u sessjonijiet ta’ taħriġ. Il-Kummissjoni qed tkun ta’ eżempju fl-akkwist tagħha stess. Is-servizzi tal-Kummissjoni fi Brussell użaw il-kriterji tal-akkwist pubbliku ekoloġiku fi 93 % tal-kuntratti kollha tagħhom li huma akbar minn EUR 60 000.</w:t>
      </w:r>
      <w:r>
        <w:rPr>
          <w:rFonts w:ascii="Times New Roman" w:hAnsi="Times New Roman"/>
          <w:noProof/>
          <w:sz w:val="24"/>
          <w:vertAlign w:val="superscript"/>
        </w:rPr>
        <w:footnoteReference w:id="33"/>
      </w:r>
      <w:r>
        <w:rPr>
          <w:rFonts w:ascii="PT Sans" w:hAnsi="PT Sans"/>
          <w:noProof/>
          <w:color w:val="525352"/>
        </w:rPr>
        <w:t xml:space="preserve">  </w:t>
      </w:r>
    </w:p>
    <w:p>
      <w:pPr>
        <w:pStyle w:val="Heading2"/>
        <w:rPr>
          <w:noProof/>
        </w:rPr>
      </w:pPr>
      <w:r>
        <w:rPr>
          <w:noProof/>
        </w:rPr>
        <w:t>It-tibdil tal-Iskart f’Riżorsi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Sistemi tal-immaniġġjar tal-iskart tajbin u effiċjenti huma element kostitwenti essenzjali għal ekonomija ċirkolari. Sabiex fl-Unjoni jiġu mmodernizzati s-sistemi tal-immaniġġjar tal-iskart u sabiex il-mudell Ewropew jiġi kkonsolidat bħala wieħed mill-aktar effettivi fid-dinja, f’Lulju 2018 daħal fis-seħħ </w:t>
            </w:r>
            <w:r>
              <w:rPr>
                <w:rFonts w:ascii="Times New Roman" w:hAnsi="Times New Roman"/>
                <w:b/>
                <w:noProof/>
                <w:sz w:val="24"/>
              </w:rPr>
              <w:t>qafas leġiżlattiv rivedut dwar l-iskart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4"/>
              </w:rPr>
              <w:footnoteReference w:id="34"/>
            </w:r>
            <w:r>
              <w:rPr>
                <w:rFonts w:ascii="Times New Roman" w:hAnsi="Times New Roman"/>
                <w:noProof/>
                <w:sz w:val="24"/>
              </w:rPr>
              <w:t>. Dan jinkludi:</w:t>
            </w:r>
          </w:p>
          <w:p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rati ta’ riċiklaġġ ġodda, ambizzjużi iżda realistiċi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35"/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is-simplifikazzjoni u l-armonizzazzjoni ta’ definizzjonijiet u metodi ta’ kalkolu u l-istatus ġuridiku kkjarifikat għall-materjali rriċiklati u l-prodotti sekondarji; </w:t>
            </w:r>
          </w:p>
          <w:p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regoli rinfurzati u obbligi ġodda dwar ġbir separat (bijoskart, skart tat-tessuti u dak perikoluż prodott mill-unitajiet domestiċi, skart tal-kostruzzjoni u tad-demolizzjoni);</w:t>
            </w:r>
          </w:p>
          <w:p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rekwiżiti minimi għar-Responsabbiltà Estiża tal-Produttur;</w:t>
            </w:r>
          </w:p>
          <w:p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miżuri tal-prevenzjoni tal-iskart u tal-immaniġġjar tal-iskart imsaħħa, inklużi għall-iskart tal-baħar, il-ħela tal-ikel, u l-prodotti li fihom materja prima kritika;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qed tappoġġa u tinvolvi ruħha mal-Istati Membri fl-implimentazzjoni tal-leġiżlazzjoni dwar l-iskart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biex iżżid il-viżibbiltà u l-fehim tal-opportunitajiet tal-ekonomija ċirkolari f’dawk l-Istati Membri li għandhom l-akbar sfidi biex jilħqu l-miri tar-riċiklaġġ tagħhom. Permezz ta’ żjarat immirati fil-pajjiżi mmexxija mill-Kummissarji, esperti minn Stati Membri differenti se jaqsmu l-esperjenzi u jagħtu pariri dwar liema hu l-aħjar mod biex jintlaħqu l-objettivi tal-politiki dwar l-iskart.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Il-Kummissjoni kkjarifikat ir-relazzjoni u r-rilevanza tal-proċessi tal-irkupru enerġetiku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differenti bl-għan li jiġi evitat it-telf mhux meħtieġ ta’ riżorsi prezzjużi permezz tar-rimi f’landfill u l-inċinerazzjoni. Barra minn hekk, l-Istati Membri ġew imħeġġa jidentifikaw teknoloġiji ta’ rkupru effiċjenti fl-enerġija u fil-materjali, sabiex isir użu aħjar mill-istrumenti ekonomiċi u jittejjeb l-ippjanar biex tiġi evitata l-kapaċità żejda tal-inċinerazzjoni.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L-immaniġġjar ambjentalment tajjeb tal-iskart, fl-UE u barra minnha, huwa importanti biex tinkiseb ekonomija aktar ċirkolari. L-operaturi tal-iskart u l-uffiċjali doganali bbenefikaw minn ċarezza akbar miġjuba mill-Kodiċi Doganali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 xml:space="preserve"> biex ikunu jistgħu jidentifikaw il-flussi tal-iskart b’mod aktar faċli. L-iskambju mtejjeb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elettronika kkontribwixxa wkoll għal infurzar aħjar tar-Regolament dwar Vjeġġi ta’ Skart</w:t>
      </w:r>
      <w:r>
        <w:rPr>
          <w:rStyle w:val="FootnoteReference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>.  Fl-aħħar nett, obbligi proposti sabiex l-iskart minn bastimenti li jżuru l-portijiet tal-UE jinġabar separatament, jiffaċilitaw l-immaniġġjar aħjar tal-iskart</w:t>
      </w:r>
      <w:r>
        <w:rPr>
          <w:rStyle w:val="FootnoteReference"/>
          <w:rFonts w:ascii="Times New Roman" w:hAnsi="Times New Roman"/>
          <w:noProof/>
          <w:sz w:val="24"/>
        </w:rPr>
        <w:footnoteReference w:id="40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Heading2"/>
        <w:rPr>
          <w:noProof/>
        </w:rPr>
      </w:pPr>
      <w:r>
        <w:rPr>
          <w:noProof/>
        </w:rPr>
        <w:t>L-għeluq ta’ ċirkwiti ta’ materjali rkuprati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Ir-</w:t>
            </w:r>
            <w:r>
              <w:rPr>
                <w:rFonts w:ascii="Times New Roman" w:hAnsi="Times New Roman"/>
                <w:b/>
                <w:noProof/>
                <w:sz w:val="24"/>
              </w:rPr>
              <w:t>Regolament il-ġdid dwar il-Prodotti ta’ Fertilizzazzjoni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41"/>
            </w:r>
            <w:r>
              <w:rPr>
                <w:rFonts w:ascii="Times New Roman" w:hAnsi="Times New Roman"/>
                <w:noProof/>
                <w:sz w:val="24"/>
              </w:rPr>
              <w:t>, li għaddej mill-aħħar passi tal-proċess leġiżlattiv, jintroduċi regoli armonizzanti għall-fertilizzanti organiċi manifatturati minn materja prima sekondarja bħal prodotti sekondarji agrikoli u bijoskart irkuprat. Ir-regolament il-ġdid: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se jnaqqas sostanzjalment l-ostakoli sinifikanti għad-dħul fis-suq għal prodotti aktar sostenibbli u ċirkolari;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jinkludi limiti ġodda dwar sustanzi perikolużi għall-fertilizzanti kollha, inkluż materja prima verġni, li jnaqqsu r-riskju ta’ ċikli materjali li fihom livelli perikolużi ta’ ċerti elementi tossiċi;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jinkludi kriterji tat-tmiem tal-istadju tal-iskart, u b’hekk jikkontribwixxi għal funzjonament mingħajr xkiel tal-interfaċċa bejn il-leġiżlazzjoni dwar is-sustanzi kimiċi, il-prodotti u l-iskart, u jagħti lill-investituri ċertezza tad-dritt akbar.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Wieħed mill-objettivi tal-pjan ta’ azzjoni għal ekonomija ċirkolari huwa li tingħata spinta lill-użu tal-materja prima sekondarja (SRMs). Huwa jirrikjedi l-fehim tal-isfidi ewlenin li jħabbtu wiċċhom magħhom l-operaturi tas-suq u jenħtieġ li jiddependi fuq Suq Uniku b’saħħtu u effettiv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. Is-Sistema ta’ Informazzjoni dwar il-Materja Prima</w:t>
      </w:r>
      <w:r>
        <w:rPr>
          <w:rStyle w:val="FootnoteReference"/>
          <w:rFonts w:ascii="Times New Roman" w:hAnsi="Times New Roman"/>
          <w:noProof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 xml:space="preserve"> li tnediet fl-2017, tidentifika l-ħtiġijiet tal-għarfien għas-setturi industrijali strateġiċi, b’enfasi fuq il-monitiraġġ tar-riċiklaġġ ta’ materjali rilevanti u d-disponibbiltà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f’setturi ewlenin</w:t>
      </w:r>
      <w:r>
        <w:rPr>
          <w:rStyle w:val="FootnoteReference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Il-Komunikazzjoni dwar l-interfaċċa bejn il-leġiżlazzjoni dwar is-sustanzi kimiċi, il-prodotti u l-iskart</w:t>
      </w:r>
      <w:r>
        <w:rPr>
          <w:rFonts w:ascii="Times New Roman" w:hAnsi="Times New Roman"/>
          <w:noProof/>
          <w:sz w:val="24"/>
          <w:vertAlign w:val="superscript"/>
        </w:rPr>
        <w:footnoteReference w:id="45"/>
      </w:r>
      <w:r>
        <w:rPr>
          <w:rFonts w:ascii="Times New Roman" w:hAnsi="Times New Roman"/>
          <w:noProof/>
          <w:sz w:val="24"/>
        </w:rPr>
        <w:t>, nediet dibattitu wiesa’ dwar il-mod kif jiġu indirizzati l-erba’ ostakoli ewlenin li jxekklu l-adozzjoni sikura tal-SRMs.</w:t>
      </w:r>
      <w:r>
        <w:rPr>
          <w:rFonts w:ascii="Times New Roman" w:hAnsi="Times New Roman"/>
          <w:noProof/>
          <w:sz w:val="24"/>
          <w:vertAlign w:val="superscript"/>
        </w:rPr>
        <w:t xml:space="preserve">  </w:t>
      </w:r>
      <w:r>
        <w:rPr>
          <w:rFonts w:ascii="Times New Roman" w:hAnsi="Times New Roman"/>
          <w:noProof/>
          <w:sz w:val="24"/>
        </w:rPr>
        <w:t>Analiżi preliminari tar-riżultati tal-konsultazzjoni</w:t>
      </w:r>
      <w:r>
        <w:rPr>
          <w:rFonts w:ascii="Times New Roman" w:hAnsi="Times New Roman"/>
          <w:noProof/>
          <w:sz w:val="24"/>
          <w:vertAlign w:val="superscript"/>
        </w:rPr>
        <w:footnoteReference w:id="46"/>
      </w:r>
      <w:r>
        <w:rPr>
          <w:rFonts w:ascii="Times New Roman" w:hAnsi="Times New Roman"/>
          <w:noProof/>
          <w:sz w:val="24"/>
        </w:rPr>
        <w:t xml:space="preserve"> tikkonferma ftehim ġenerali fost il-partijiet ikkonċernati dwar ir-rilevanza tal-kwistjonijiet identifikati. Din turi appoġġ b’saħħtu għat-titjib tat-traċċabbiltà tas-sustanzi u l-flussi tal-informazzjoni; infurzar u użu aħjar ta’ miżuri oħra sabiex jiġu żgurati kundizzjonijiet ekwi bejn l-operaturi tal-UE u dawk mhux tal-UE; titjib fl-armonizzazzjoni u r-rikonoxximent reċiproku tal-kriterji tat-tmiem tal-istadju tal-iskart; u appoġġ għar-rinfurzar ta’ aspetti tal-ekonomija ċirkolari fi strumenti bħad-Direttiva dwar l-Ekodisinn. Barra minn hekk, tnedew tliet studji dwar aspetti differenti tal-interfaċċa u aktar informazzjoni rilevanti se tingħata fl-2019 u fil-bidu tal-2020.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L-aċċess għall-informazzjoni dwar il-preżenza u l-kompożizzjoni ta’ sustanzi perikolużi fil-fluss ta’ skart huwa fundamentali biex jittejbu t-tekniki ta’ żmantellar u ta’ dekontaminazzjoni, li jiffaċilitaw l-irkupru tal-iskart. L-Aġenzija Ewropea għas-Sustanzi Kimiċi qed toħloq bażi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biex tiġbor l-informazzjoni u ttejjeb l-għarfien dwar sustanzi ta’ tħassib fil-prodotti u fil-prodotti meta jsiru skart. Barra minn hekk, il-pjattaforma tal-UE “Informazzjoni għar-Riċiklaturi”</w:t>
      </w:r>
      <w:r>
        <w:rPr>
          <w:rStyle w:val="FootnoteReference"/>
          <w:rFonts w:ascii="Times New Roman" w:hAnsi="Times New Roman"/>
          <w:noProof/>
          <w:sz w:val="24"/>
        </w:rPr>
        <w:footnoteReference w:id="47"/>
      </w:r>
      <w:r>
        <w:rPr>
          <w:rFonts w:ascii="Times New Roman" w:hAnsi="Times New Roman"/>
          <w:noProof/>
          <w:sz w:val="24"/>
        </w:rPr>
        <w:t xml:space="preserve"> qed tiġbor u taqsam informazzjoni dwar it-tħejjija għall-użu mill-ġdid u t-trattament ta’ tagħmir ġdid imqiegħed għall-ewwel darba fis-suq tal-Unjoni. 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L-informazzjoni dwar il-kompożizzjoni tal-iskart tista’ tintuża wkoll biex tippermetti 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l-irkupru effiċjenti ta’ materja prima kritika </w:t>
      </w:r>
      <w:r>
        <w:rPr>
          <w:rFonts w:ascii="Times New Roman" w:hAnsi="Times New Roman"/>
          <w:noProof/>
          <w:sz w:val="24"/>
        </w:rPr>
        <w:t xml:space="preserve">(CRMs). Ir-rapport tal-Kummissjoni </w:t>
      </w:r>
      <w:r>
        <w:rPr>
          <w:rFonts w:ascii="Times New Roman" w:hAnsi="Times New Roman"/>
          <w:i/>
          <w:noProof/>
          <w:sz w:val="24"/>
        </w:rPr>
        <w:t>“Critical Raw Materials and the Circular Economy”</w:t>
      </w:r>
      <w:r>
        <w:rPr>
          <w:rStyle w:val="FootnoteReference"/>
          <w:rFonts w:ascii="Times New Roman" w:hAnsi="Times New Roman"/>
          <w:noProof/>
          <w:sz w:val="24"/>
        </w:rPr>
        <w:footnoteReference w:id="48"/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>jidentifika azzjonijiet ewlenin meħtieġa biex jiġu sfruttati dawn il-benefiċċji potenzjali – l-estrazzjoni fit-tmiem tal-ħajja ta’ komponenti ewlenin, it-titjib tal-immaniġġjar tad-</w:t>
      </w:r>
      <w:r>
        <w:rPr>
          <w:rFonts w:ascii="Times New Roman" w:hAnsi="Times New Roman"/>
          <w:i/>
          <w:noProof/>
          <w:color w:val="000000" w:themeColor="text1"/>
          <w:sz w:val="24"/>
        </w:rPr>
        <w:t>data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dwar l-iskart tal-minjieri u l-mobilizzazzjoni tal-finanzjament. Madanakollu, ir-rapport wera wkoll</w:t>
      </w:r>
      <w:r>
        <w:rPr>
          <w:rFonts w:ascii="Times New Roman" w:hAnsi="Times New Roman"/>
          <w:noProof/>
          <w:sz w:val="24"/>
        </w:rPr>
        <w:t xml:space="preserve"> li hemm lok sinifikanti biex ir-riċiklaġġ jittejjeb u biex jiġi żgurat li s-CRMs jibqgħu fl-Ewropa.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Sabiex tgħin il-bini tal-fiduċja fil-materja prima sekondarja, il-Kummissjoni, flimkien mal-Organizzazzjonijiet Ewropej ta’ Standardizzazzjoni, bdiet proċess ta’ standardizzazzjoni u bħala l-ewwel pass nediet analiżi komprensiva ta’ attivitajiet ta’ standardizzazzjoni relatati. L-organizzazzjonijiet ta’ standardizzazzjoni qed jaħdmu wkoll fuq standards possibbli għal riċiklaġġ effiċjenti fl-użu tal-materjali u ta’ kwalità għolja ta’ CRMs minn skart ta’ batteriji, skart ta’ tagħmir elettriku u elettroniku u prodotti kumplessi oħra fit-tmiem tal-ħajja.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Il-pjan ta’ azzjoni jfittex ukoll li jagħti spinta lis-suq għall-ilma użat mill-ġdid, sabiex tiġi indirizzata l-iskarsezza tal-ilma fl-UE. Il-Kummissjoni pproponiet leġiżlazzjoni ddedikata li tistabbilixxi rekwiżiti minimi għall-ilma użat mill-ġdid għat-tisqija agrikola</w:t>
      </w:r>
      <w:r>
        <w:rPr>
          <w:rStyle w:val="FootnoteReference"/>
          <w:rFonts w:ascii="Times New Roman" w:hAnsi="Times New Roman"/>
          <w:noProof/>
          <w:sz w:val="24"/>
        </w:rPr>
        <w:footnoteReference w:id="49"/>
      </w:r>
      <w:r>
        <w:rPr>
          <w:rFonts w:ascii="Times New Roman" w:hAnsi="Times New Roman"/>
          <w:noProof/>
          <w:sz w:val="24"/>
        </w:rPr>
        <w:t>. Barra minn hekk, prattiki dwar l-użu mill-ġdid tal-ilma huma integrati fl-ippjanar u fl-immaniġġjar tal-ilma</w:t>
      </w:r>
      <w:r>
        <w:rPr>
          <w:rStyle w:val="FootnoteReference"/>
          <w:rFonts w:ascii="Times New Roman" w:hAnsi="Times New Roman"/>
          <w:noProof/>
          <w:sz w:val="24"/>
        </w:rPr>
        <w:footnoteReference w:id="50"/>
      </w:r>
      <w:r>
        <w:rPr>
          <w:rFonts w:ascii="Times New Roman" w:hAnsi="Times New Roman"/>
          <w:noProof/>
          <w:sz w:val="24"/>
        </w:rPr>
        <w:t xml:space="preserve"> jew fir-rieżami tal-BREFs rilevanti. </w:t>
      </w:r>
    </w:p>
    <w:p>
      <w:pPr>
        <w:pStyle w:val="Heading2"/>
        <w:rPr>
          <w:noProof/>
        </w:rPr>
      </w:pPr>
      <w:r>
        <w:rPr>
          <w:noProof/>
        </w:rPr>
        <w:t>Approċċ Sistemiku: l-Istrateġija tal-UE għall-Plastiks f’Ekonomija Ċirkolari</w:t>
      </w:r>
    </w:p>
    <w:p>
      <w:pPr>
        <w:spacing w:before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L-Istrateġija tal-UE għall-Plastiks f’Ekonomija Ċirkolari</w:t>
      </w:r>
      <w:r>
        <w:rPr>
          <w:rStyle w:val="FootnoteReference"/>
          <w:rFonts w:ascii="Times New Roman" w:hAnsi="Times New Roman"/>
          <w:noProof/>
          <w:sz w:val="24"/>
        </w:rPr>
        <w:footnoteReference w:id="51"/>
      </w:r>
      <w:r>
        <w:rPr>
          <w:rFonts w:ascii="Times New Roman" w:hAnsi="Times New Roman"/>
          <w:noProof/>
          <w:sz w:val="24"/>
        </w:rPr>
        <w:t xml:space="preserve"> hija l-ewwel qafas ta’ politika mal-UE kollha li tadotta approċċ ta’ </w:t>
      </w:r>
      <w:r>
        <w:rPr>
          <w:rFonts w:ascii="Times New Roman" w:hAnsi="Times New Roman"/>
          <w:b/>
          <w:noProof/>
          <w:sz w:val="24"/>
        </w:rPr>
        <w:t xml:space="preserve">ċiklu tal-ħajja speċifiku għall-materjali </w:t>
      </w:r>
      <w:r>
        <w:rPr>
          <w:rFonts w:ascii="Times New Roman" w:hAnsi="Times New Roman"/>
          <w:noProof/>
          <w:sz w:val="24"/>
        </w:rPr>
        <w:t>biex jiġu integrati l-attivitajiet tad-disinn ċirkolari, tal-użu, tal-użu mill-ġdid u tar-riċiklaġġ fil-katini ta’ valur tal-plastik. Għalhekk, hija katalista għall-azzjoni. L-istrateġija tistabbilixxi viżjoni ċara b’objettivi kkwantifikati fil-livell tal-UE, biex fost l-oħrajn, sal-2030, l-imballaġġi tal-plastik kollha mqiegħda fis-suq tal-UE jkunu jistgħu jintużaw mill-ġdid jew ikunu riċiklabbli.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L-istrateġija tidentifika wkoll azzjonijiet ewlenin li </w:t>
      </w:r>
      <w:r>
        <w:rPr>
          <w:rFonts w:ascii="Times New Roman" w:hAnsi="Times New Roman"/>
          <w:b/>
          <w:noProof/>
          <w:sz w:val="24"/>
        </w:rPr>
        <w:t>jippermettu l-involviment ta’ partijiet ikkonċernati multipli</w:t>
      </w:r>
      <w:r>
        <w:rPr>
          <w:rFonts w:ascii="Times New Roman" w:hAnsi="Times New Roman"/>
          <w:noProof/>
          <w:sz w:val="24"/>
        </w:rPr>
        <w:t xml:space="preserve"> u l-kollaborazzjoni tul il-katina ta’ valur. Pereżempju, is-sejħa mill-Kummissjoni biex il-partijiet ikkonċernati jagħmlu wegħdiet volontarji skattat momentum b’saħħtu fl-industrija biex tingħata spinta l-adozzjoni ta’ plastik irriċiklat fil-prodotti. Madankollu, kif identifikat fid-dokument ta’ akkumpanjament li jivvaluta dawn il-wegħdiet</w:t>
      </w:r>
      <w:r>
        <w:rPr>
          <w:rStyle w:val="FootnoteReference"/>
          <w:rFonts w:ascii="Times New Roman" w:hAnsi="Times New Roman"/>
          <w:noProof/>
          <w:sz w:val="24"/>
        </w:rPr>
        <w:footnoteReference w:id="52"/>
      </w:r>
      <w:r>
        <w:rPr>
          <w:rFonts w:ascii="Times New Roman" w:hAnsi="Times New Roman"/>
          <w:noProof/>
          <w:sz w:val="24"/>
        </w:rPr>
        <w:t>, hemm bżonn ta’ aktar sforzi biex jintlaħaq l-objettiv stabbilit fl-istrateġija, jiġifieri li jiġi żgurat li sal-2025, 10 miljun tunnellata ta’ plastik irriċiklat isib ruħu fi prodotti ġodda. Filwaqt li l-wegħdiet li waslu mingħand il-fornituri ta’ plastik irriċiklat, jissodisfaw din il-mira jekk jiġu implimentati kif mistenni, id-domanda għall-plastik irriċiklat abbażi tal-wegħdiet tal-industrija tammonta għal madwar 6.2 miljun tunnellata fis-sena sal-2025. L-Alleanza Ċirkolari dwar il-Plastik</w:t>
      </w:r>
      <w:r>
        <w:rPr>
          <w:rStyle w:val="FootnoteReference"/>
          <w:rFonts w:ascii="Times New Roman" w:hAnsi="Times New Roman"/>
          <w:noProof/>
          <w:sz w:val="24"/>
        </w:rPr>
        <w:footnoteReference w:id="53"/>
      </w:r>
      <w:r>
        <w:rPr>
          <w:rFonts w:ascii="Times New Roman" w:hAnsi="Times New Roman"/>
          <w:noProof/>
          <w:sz w:val="24"/>
        </w:rPr>
        <w:t xml:space="preserve"> li ġiet stabbilita reċentement, se tiffaċilita l-passi li jmiss min-negozji biex titneħħa din id-diskrepanza u tgħin biex tinkiseb il-mira msemmija hawn fuq f’konformità mal-objettiv tal-istrateġija biex tittejjeb il-kwalità u l-ekonomija tar-riċiklaġġ tal-plastik fl-Ewropa.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Diġà ntlaħqu stadji importanti ewlenin biex tinkiseb kwalità  ogħla ta’ riċiklaġġ tal-plastik. Dawn jinkludu l-mira tar-riċiklaġġ ġdida għall-imballaġġ tal-plastik, stabbilita għal 55 % fl-2030, l-obbligi għall-ġbir separat u t-titjib fl-iskemi tar-Responsabbiltà Estiża tal-Produttur (EPR). Dawn tal-aħħar huma mistennija li se jiffaċilitaw id-disinn għar-riċiklabbiltà permezz tat-tariffi tal-“ekomodulazzjoni” tal-produtturi. Titjib futur se joriġina mir-rieżami tar-rekwiżiti essenzjali għall-imballaġġ ppjanata għal tmiem l-2020.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L-istrateġija toħloq </w:t>
      </w:r>
      <w:r>
        <w:rPr>
          <w:rFonts w:ascii="Times New Roman" w:hAnsi="Times New Roman"/>
          <w:b/>
          <w:noProof/>
          <w:sz w:val="24"/>
        </w:rPr>
        <w:t>sinerġiji bejn l-għanijiet ekonomiċi u ambjentali</w:t>
      </w:r>
      <w:r>
        <w:rPr>
          <w:rFonts w:ascii="Times New Roman" w:hAnsi="Times New Roman"/>
          <w:noProof/>
          <w:sz w:val="24"/>
        </w:rPr>
        <w:t>. Evidenza ta’ riskji ambjentali u tas-saħħa potenzjali ta’ tniġġis mill-mikroplastik tiġġustifika r-restrizzjoni fl-użu ta’ mikroplastik miżjud intenzjonalment u biex jinġabar għarfien dwar il-kejl u t-tikkettar fil-każ ta’ mikroplastik li jirriżulta minn rilaxx mhux intenzjonat. Il-Kummissjoni impenjat ruħha wkoll li tiżviluppa qafas dwar il-bijodegradabbiltà tal-plastik, biex tiżgura li l-iżvilupp u l-użu ta’ tali prodotti tal-plastik jiġu mħeġġa biss meta jkunu ta’ benefiċċju għall-ambjent u ma jkunux ta’ tfixkil għas-sistemi tal-immaniġġjar tal-iskart jew jikkompromettu s-sikurezza alimentari. Azzjonijiet f’dan ir-rigward jinkludu l-għoti ta’ informazzjoni dwar kif għandhom jiġu ttrattati fl-istadju tat-tmiem tal-ħajja (eż. l-immarkar tal-basktijiet tal-plastik kompostabbli tad-djar). Barra minn hekk, qed jiġu esplorati wkoll sinerġiji ta’ politika ulterjuri flimkien mal-ħtiġijiet ta’ riċerka fir-rapport ippubblikat reċentement dwar l-ekonomija ċirkolari tal-plastik</w:t>
      </w:r>
      <w:r>
        <w:rPr>
          <w:rStyle w:val="FootnoteReference"/>
          <w:rFonts w:ascii="Times New Roman" w:hAnsi="Times New Roman"/>
          <w:noProof/>
          <w:sz w:val="24"/>
        </w:rPr>
        <w:footnoteReference w:id="54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noProof/>
          <w:sz w:val="24"/>
        </w:rPr>
        <w:t xml:space="preserve">L-istrateġija </w:t>
      </w:r>
      <w:r>
        <w:rPr>
          <w:rFonts w:ascii="Times New Roman" w:hAnsi="Times New Roman"/>
          <w:b/>
          <w:noProof/>
          <w:sz w:val="24"/>
        </w:rPr>
        <w:t>tixpruna l-bidla lil hinn mill-fruntiera tal-Ewropa</w:t>
      </w:r>
      <w:r>
        <w:rPr>
          <w:rFonts w:ascii="Times New Roman" w:hAnsi="Times New Roman"/>
          <w:noProof/>
          <w:sz w:val="24"/>
        </w:rPr>
        <w:t xml:space="preserve">. Billi bniet fuq azzjonijiet eżemplari, b’mod partikolari dwar il-Plastik li Jintuża Darba Biss, it-tmexxija tal-UE f’fora bilaterali u multilaterali kienet strumentali biex jinżamm ir-ritmu internazzjonali rigward l-aġenda dwar il-plastik, kif jidher minn inizjattivi bħall-Pjattaforma tal-Plastik Globali man-NU għall-Ambjent u s-Sħubija Internazzjonali li ġejja dwar l-Iskart mill-Plastik fil-kuntest tal-Konvenzjoni ta’ Basilea. B’mod parallel, l-UE qed tappoġġa lill-pajjiżi fil-fażi tal-iżvilupp fl-isforzi tagħhom biex jindirizzaw it-tniġġis mill-plastik.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Ir-regoli dwar l-oġġetti u l-irkaptu tas-sajd</w:t>
            </w:r>
            <w:r>
              <w:rPr>
                <w:noProof/>
                <w:vertAlign w:val="superscript"/>
              </w:rPr>
              <w:footnoteReference w:id="55"/>
            </w:r>
            <w:r>
              <w:rPr>
                <w:rFonts w:ascii="Times New Roman" w:hAnsi="Times New Roman"/>
                <w:noProof/>
                <w:sz w:val="24"/>
              </w:rPr>
              <w:t xml:space="preserve"> magħmula minn </w:t>
            </w:r>
            <w:r>
              <w:rPr>
                <w:rFonts w:ascii="Times New Roman" w:hAnsi="Times New Roman"/>
                <w:b/>
                <w:noProof/>
                <w:sz w:val="24"/>
              </w:rPr>
              <w:t>Plastik Li Jintuża Darba Biss</w:t>
            </w:r>
            <w:r>
              <w:rPr>
                <w:rFonts w:ascii="Times New Roman" w:hAnsi="Times New Roman"/>
                <w:noProof/>
                <w:sz w:val="24"/>
              </w:rPr>
              <w:t>, l-indirizzar tal-għaxar oġġetti li jinstabu l-aktar fil-bajjiet tal-UE, il-</w:t>
            </w:r>
            <w:r>
              <w:rPr>
                <w:rFonts w:ascii="Times New Roman" w:hAnsi="Times New Roman"/>
                <w:b/>
                <w:noProof/>
                <w:sz w:val="24"/>
              </w:rPr>
              <w:t>faċilitajiet portwarji ta’ akkoljenza</w:t>
            </w:r>
            <w:r>
              <w:rPr>
                <w:rFonts w:ascii="Times New Roman" w:hAnsi="Times New Roman"/>
                <w:noProof/>
                <w:sz w:val="24"/>
              </w:rPr>
              <w:t xml:space="preserve"> u l-proposti tal-Kummissjoni dwar </w:t>
            </w:r>
            <w:r>
              <w:rPr>
                <w:rFonts w:ascii="Times New Roman" w:hAnsi="Times New Roman"/>
                <w:b/>
                <w:noProof/>
                <w:sz w:val="24"/>
              </w:rPr>
              <w:t>il-kontroll tas-sajd</w:t>
            </w:r>
            <w:r>
              <w:rPr>
                <w:rStyle w:val="FootnoteReference"/>
                <w:noProof/>
              </w:rPr>
              <w:footnoteReference w:id="56"/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 xml:space="preserve">iqiegħdu lill-UE fuq quddiem nett tal-ġlieda globali kontra l-iskart tal-baħar, wieħed mit-tħassib ewlieni taċ-ċittadini tal-UE rigward it-tniġġis mill-plastik. Dawn ir-regoli jagħtu opportunitajiet lill-kumpaniji tal-UE biex jinnovaw il-prodotti, il-materjali, it-teknoloġiji u l-mudelli tan-negozju, filwaqt li jqisu l-imġiba tal-konsumaturi u l-alternattivi disponibbli. 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Dawn is-settijiet ta’ miżuri mfassla apposta, li għaddejjin mill-aħħar passi tal-proċedura leġiżlattiva, jinkludu: 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Projbizzjoni ta’ prodotti li jintużaw darba biss magħmula mill-plastik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57"/>
            </w:r>
            <w:r>
              <w:rPr>
                <w:rFonts w:ascii="Times New Roman" w:hAnsi="Times New Roman"/>
                <w:noProof/>
                <w:sz w:val="24"/>
              </w:rPr>
              <w:t xml:space="preserve"> u ta’ plastik ossodegradabbli.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Miżuri biex jitnaqqas il-konsum tal-kontenituri tal-ikel u tal-kikkri tax-xorb magħmula mill-plastik u l-immarkar u t-tikkettar speċifiċi ta’ ċerti prodotti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58"/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Mira biex mill-2030, fil-fliexken tax-xorb jiġi inkorporat 30 % ta’ plastik irriċiklat, u 25 % għall-fliexken tal-PET mill-2025, kif ukoll mira ta’ 90 % ta’ ġbir separat ta’ fliexken tal-plastik sal-2029 u l-introduzzjoni tar-rekwiżiti tad-disinn għat-twaħħil tat-tappijiet mal-fliexken.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Skemi tal-EPR li jkopru l-kost għat-tindif tal-iskart, applikati għal prodotti bħal filtri tat-tabakk u rkaptu tas-sajd. 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Miżuri li għandhom l-għan li jnaqqsu l-iskart tal-plastik mill-bastimenti bħall-istabbiliment ta’ tariffa fissa għall-iskart mill-bastimenti. </w:t>
            </w:r>
          </w:p>
          <w:p>
            <w:pPr>
              <w:pStyle w:val="ListParagraph"/>
              <w:numPr>
                <w:ilvl w:val="0"/>
                <w:numId w:val="40"/>
              </w:numPr>
              <w:spacing w:before="120" w:after="120"/>
              <w:jc w:val="both"/>
              <w:rPr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Titjib fl-obbligi ta’ rappurtar għal irkaptu tas-sajd mitluf u obbligi għall-immarkar u għall-kontroll tal-irkaptu tas-sajd għas-sajd rikreazzjonali. </w:t>
            </w:r>
          </w:p>
        </w:tc>
      </w:tr>
    </w:tbl>
    <w:p>
      <w:pPr>
        <w:pStyle w:val="Heading1"/>
        <w:rPr>
          <w:noProof/>
        </w:rPr>
      </w:pPr>
      <w:r>
        <w:rPr>
          <w:noProof/>
        </w:rPr>
        <w:t xml:space="preserve">L-aċċellerazzjoni tat-Tranżizzjoni </w:t>
      </w:r>
    </w:p>
    <w:p>
      <w:pPr>
        <w:pStyle w:val="Heading2"/>
        <w:rPr>
          <w:noProof/>
        </w:rPr>
      </w:pPr>
      <w:r>
        <w:rPr>
          <w:noProof/>
        </w:rPr>
        <w:t>Innovazzjoni u Investimenti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Sabiex tiġi aċċellerata t-tranżizzjoni lejn ekonomija ċirkolari, huwa neċċessarju li jsir investiment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59"/>
            </w:r>
            <w:r>
              <w:rPr>
                <w:rFonts w:ascii="Times New Roman" w:hAnsi="Times New Roman"/>
                <w:noProof/>
                <w:sz w:val="24"/>
              </w:rPr>
              <w:t xml:space="preserve"> fl-innovazzjoni u li jiġi pprovdut appoġġ għall-adattament tal-bażi industrijali. Matul il-perjodu bejn l-2016 u l-2020, il-Kummissjoni saħħet l-isforzi tagħha fiż-żewġ direzzjonijiet </w:t>
            </w:r>
            <w:r>
              <w:rPr>
                <w:rFonts w:ascii="Times New Roman" w:hAnsi="Times New Roman"/>
                <w:b/>
                <w:noProof/>
                <w:sz w:val="24"/>
              </w:rPr>
              <w:t>għat-total ta’ aktar minn EUR 10 biljun</w:t>
            </w:r>
            <w:r>
              <w:rPr>
                <w:rFonts w:ascii="Times New Roman" w:hAnsi="Times New Roman"/>
                <w:noProof/>
                <w:sz w:val="24"/>
              </w:rPr>
              <w:t xml:space="preserve"> f’finanzjament pubbliku għat-tranżizzjoni. Dan jinkludi:</w:t>
            </w:r>
          </w:p>
          <w:p>
            <w:pPr>
              <w:pStyle w:val="ListParagraph"/>
              <w:numPr>
                <w:ilvl w:val="0"/>
                <w:numId w:val="43"/>
              </w:numPr>
              <w:spacing w:before="120" w:after="120"/>
              <w:ind w:left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EUR 1.4 biljun minn Orizzont 2020 sal-2018 (f’oqsma bħall-industriji tal-proċess sostenibbli, l-immaniġġjar tal-iskart u tar-riżorsi, is-sistemi tal-manifattura ta’ ċirkwit magħluq jew il-bijoekonomija ċirkolari), li minnhom EUR 350 miljun huma allokati biex il-plastik isir ċirkolari. Il-Kummissjoni ppubblikat inventarju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60"/>
            </w:r>
            <w:r>
              <w:rPr>
                <w:rFonts w:ascii="Times New Roman" w:hAnsi="Times New Roman"/>
                <w:noProof/>
                <w:sz w:val="24"/>
              </w:rPr>
              <w:t xml:space="preserve"> tal-proġetti rilevanti għall-ekonomija ċirkolari ffinanzjati skont l-H2020 bejn l-2016 u l-2018.</w:t>
            </w:r>
          </w:p>
          <w:p>
            <w:pPr>
              <w:pStyle w:val="ListParagraph"/>
              <w:numPr>
                <w:ilvl w:val="0"/>
                <w:numId w:val="43"/>
              </w:num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Mill-anqas EUR 7.1 biljun mill-Politika ta’ Koeżjoni (EUR 1.8 biljun għall-adozzjoni ta’ teknoloġiji ekoinnovattivi fost l-SMEs u EUR 5.3 biljun b’appoġġ għall-implimentazzjoni tal-leġiżlazzjoni tal-UE dwar l-iskart); barra minn hekk, appoġġ sinifikanti huwa disponibbli permezz tal-ispeċjalizzazzjoni intelliġenti għall-innovazzjoni u l-iskjerament immexxija mis-suq.</w:t>
            </w:r>
          </w:p>
          <w:p>
            <w:pPr>
              <w:pStyle w:val="ListParagraph"/>
              <w:numPr>
                <w:ilvl w:val="0"/>
                <w:numId w:val="43"/>
              </w:num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EUR 2.1 biljun permezz ta’ faċilitajiet ta’ finanzjament bħall-Fond Ewropew għall-Investimenti Strateġiċi u l-Innovfin.</w:t>
            </w:r>
          </w:p>
          <w:p>
            <w:pPr>
              <w:pStyle w:val="ListParagraph"/>
              <w:numPr>
                <w:ilvl w:val="0"/>
                <w:numId w:val="43"/>
              </w:numPr>
              <w:spacing w:before="120" w:after="120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Mill-anqas EUR 100 miljun investiti permezz ta’ LIFE f’akar minn 80 proġett li jikkontribwixxu għal ekonomija ċirkolari.</w:t>
            </w:r>
          </w:p>
        </w:tc>
      </w:tr>
    </w:tbl>
    <w:p>
      <w:pPr>
        <w:spacing w:before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tistimola investimenti ulterjuri, il-Pjattaforma ta’ Appoġġ għall-Finanzjament tal-Ekonomija Ċirkolari fasslet rakkomandazzjonijiet</w:t>
      </w:r>
      <w:r>
        <w:rPr>
          <w:rStyle w:val="FootnoteReference"/>
          <w:rFonts w:ascii="Times New Roman" w:hAnsi="Times New Roman"/>
          <w:noProof/>
          <w:sz w:val="24"/>
        </w:rPr>
        <w:footnoteReference w:id="61"/>
      </w:r>
      <w:r>
        <w:rPr>
          <w:rFonts w:ascii="Times New Roman" w:hAnsi="Times New Roman"/>
          <w:noProof/>
          <w:sz w:val="24"/>
        </w:rPr>
        <w:t xml:space="preserve"> biex ittejjeb il-bankabbiltà tal-proġetti ta’ ekonomija ċirkolari, tikkoordina attivitajiet ta’ finanzjament u taqsam prattiki tajba</w:t>
      </w:r>
      <w:r>
        <w:rPr>
          <w:rStyle w:val="FootnoteReference"/>
          <w:rFonts w:ascii="Times New Roman" w:hAnsi="Times New Roman"/>
          <w:noProof/>
          <w:sz w:val="24"/>
        </w:rPr>
        <w:footnoteReference w:id="62"/>
      </w:r>
      <w:r>
        <w:rPr>
          <w:rFonts w:ascii="Times New Roman" w:hAnsi="Times New Roman"/>
          <w:noProof/>
          <w:sz w:val="24"/>
        </w:rPr>
        <w:t>. Il-pjattaforma se taħdem mal-Bank Ewropew tal-Investiment biex tipprovdi assistenza finanzjarja u tisfrutta sinerġiji bil-pjan ta’ azzjoni dwar il-finanzjament ta’ tkabbir sostenibbli</w:t>
      </w:r>
      <w:r>
        <w:rPr>
          <w:rStyle w:val="FootnoteReference"/>
          <w:rFonts w:ascii="Times New Roman" w:hAnsi="Times New Roman"/>
          <w:noProof/>
          <w:sz w:val="24"/>
        </w:rPr>
        <w:footnoteReference w:id="6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Barra mill-finanzjament tat-tranżizzjoni, il-Kummissjoni indirizzat ukoll ostakoli regolatorji li jistgħu jfixklu l-innovazzjoni ċirkolari b’żewġ Ftehimiet pilota għall-Innovazzjoni li tnedew fl-2016</w:t>
      </w:r>
      <w:r>
        <w:rPr>
          <w:rStyle w:val="FootnoteReference"/>
          <w:rFonts w:ascii="Times New Roman" w:hAnsi="Times New Roman"/>
          <w:noProof/>
          <w:sz w:val="24"/>
        </w:rPr>
        <w:footnoteReference w:id="64"/>
      </w:r>
      <w:r>
        <w:rPr>
          <w:rFonts w:ascii="Times New Roman" w:hAnsi="Times New Roman"/>
          <w:noProof/>
          <w:sz w:val="24"/>
        </w:rPr>
        <w:t>. Abbażi tal-esperjenza ta’ dawn iż-żewġ ftehimiet pilota, il-Kummissjoni issa qed tħares lejn l-ittestjar tal-approċċ f’setturi oħra.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Jenħtieġ li ċ-ċirkolarità tibqa’ pilastru tal-Politika ta’ Koeżjoni matul il-perjodu ta’ programmazzjoni bejn l-2021 u l-2027. Il-proposta tal-Kummissjoni għal Fond Ewropew għall-Iżvilupp Reġjonali u Fond ta’ Koeżjoni ġodda</w:t>
      </w:r>
      <w:r>
        <w:rPr>
          <w:rStyle w:val="FootnoteReference"/>
          <w:rFonts w:ascii="Times New Roman" w:hAnsi="Times New Roman"/>
          <w:noProof/>
          <w:sz w:val="24"/>
        </w:rPr>
        <w:footnoteReference w:id="65"/>
      </w:r>
      <w:r>
        <w:rPr>
          <w:rFonts w:ascii="Times New Roman" w:hAnsi="Times New Roman"/>
          <w:noProof/>
          <w:sz w:val="24"/>
        </w:rPr>
        <w:t>, tqiegħed l-ekonomija ċirkolari bħala prijorità fl-isforzi tal-UE biex tinkiseb Ewropa aktar ekoloġika u intelliġenti u teskludi l-investimenti f’landfills u faċilitajiet għat-trattament tal-iskart residwu, f’konformità mal-ġerarkija tal-iskart.</w:t>
      </w:r>
    </w:p>
    <w:p>
      <w:pPr>
        <w:pStyle w:val="Heading2"/>
        <w:rPr>
          <w:noProof/>
        </w:rPr>
      </w:pPr>
      <w:r>
        <w:rPr>
          <w:noProof/>
        </w:rPr>
        <w:t xml:space="preserve"> Involviment b’saħħtu tal-partijiet ikkonċernati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  <w:shd w:val="clear" w:color="auto" w:fill="F2F2F2" w:themeFill="background1" w:themeFillShade="F2"/>
          </w:tcPr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L-involviment tal-partijiet ikkonċernati huwa vitali għat-tranżizzjoni. L-approċċ sistemiku tal-pjan ta’ azzjoni ta lill-awtoritajiet pubbliċi, lill-atturi ekonomiċi u lis-soċjetà ċivili qafas biex jirreplikaw ħalli jrawmu s-sħubiji bejn is-setturi u tul katini ta’ valur. 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L-azzjonijiet tal-UE nebbħu dibattiti nazzjonali dwar l-ekonomija ċirkolari u l-maġġoranza tal-Istati Membri adottaw jew qegħdin fil-proċess li jadottaw strateġiji nazzjonali għat-tranżizzjoni lejn ekonomija ċirkolari. Dawn l-oqfsa spiss jiġu rreplikati fil-livell reġjonali u lokali, u b’hekk iġibu l-ekonomija ċirkolari eqreb taċ-ċittadini u tan-negozji. Ir-rwol tal-Kummissjoni fil-promozzjoni ta’ dan l-approċċ sistemiku u fit-tqegħid tal-ekonomija ċirkolari fl-aġendi Ewropej u internazzjonali, kien rikonoxxut ukoll fil-Forum Ekonomiku Dinji għall-2019, fejn il-Kummissjoni rċeviet il-premju taċ-Ċirkolari</w:t>
            </w:r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66"/>
            </w:r>
            <w:r>
              <w:rPr>
                <w:rFonts w:ascii="Times New Roman" w:hAnsi="Times New Roman"/>
                <w:noProof/>
                <w:sz w:val="24"/>
              </w:rPr>
              <w:t xml:space="preserve"> fil-Kategorija tas-Settur Pubbliku. </w:t>
            </w:r>
          </w:p>
          <w:p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Il-Pjattaforma Ewropea tal-Partijiet Ikkonċernati tal-Ekonomija Ċirkolari tlaqqa’ flimkien għadd ta’ netwerks u inizjattivi dwar l-ekonomija ċirkolari. Hija taġixxi bħala multiplikatur għall-aħjar prattiki mis-settur pubbliku u dak privat. Fl-ewwel sena ta’ attività tagħha</w:t>
            </w:r>
            <w:r>
              <w:rPr>
                <w:rFonts w:ascii="Times New Roman" w:hAnsi="Times New Roman"/>
                <w:noProof/>
                <w:sz w:val="24"/>
              </w:rPr>
              <w:footnoteReference w:id="67"/>
            </w:r>
            <w:r>
              <w:rPr>
                <w:rFonts w:ascii="Times New Roman" w:hAnsi="Times New Roman"/>
                <w:noProof/>
                <w:sz w:val="24"/>
              </w:rPr>
              <w:t>, il-Pjattaforma ġabret u xerrdet aktar minn 300 eżempju tal-aħjar prattiki, strateġiji u rapporti.</w:t>
            </w:r>
          </w:p>
        </w:tc>
      </w:tr>
    </w:tbl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Il-partijiet ikkonċernati qed jixprunaw it-tranżizzjoni f’setturi differenti. Pereżempju, l-involviment tal-industrija wassal għall-adozzjoni tal-Protokoll u tal-Linji Gwida tal-UE dwar l-Iskart mill-Kostruzzjoni u mid-Demolizzjoni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68"/>
      </w:r>
      <w:r>
        <w:rPr>
          <w:rFonts w:ascii="Times New Roman" w:hAnsi="Times New Roman"/>
          <w:noProof/>
          <w:sz w:val="24"/>
        </w:rPr>
        <w:t>, bl-objettiv finali li tiżdied il-fiduċja fil-proċess tal-immaniġġjar tal-iskart u fil-kwalità tal-materjali rriċiklati fis-settur. Barra minn hekk, in-negozji impenjaw ruħhom biex itejbu l-prestazzjoni tar-riżorsi tal-bini u qed jittestjaw Livell(i)</w:t>
      </w:r>
      <w:r>
        <w:rPr>
          <w:rStyle w:val="FootnoteReference"/>
          <w:rFonts w:ascii="Times New Roman" w:hAnsi="Times New Roman"/>
          <w:noProof/>
          <w:sz w:val="24"/>
        </w:rPr>
        <w:footnoteReference w:id="69"/>
      </w:r>
      <w:r>
        <w:rPr>
          <w:rFonts w:ascii="Times New Roman" w:hAnsi="Times New Roman"/>
          <w:noProof/>
          <w:sz w:val="24"/>
        </w:rPr>
        <w:t xml:space="preserve">, l-ewwel qafas ta’ indikaturi għall-kejl tas-sostenibbiltà fis-settur, f’aktar minn 130 proġett madwar l-Ewropa.  </w:t>
      </w:r>
    </w:p>
    <w:p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Bl-istess mod, atturi ewlenin mis-settur pubbliku u privat tul il-katina ta’ valur alimentari, qed jaħdmu flimkien fil-Pjattaforma tal-UE dwar it-Telf u l-Ħela tal-Ikel sabiex jaċċelleraw il-progress tal-UE lejn il-mira tal-Għan ta’ Żvilupp Sostenibbli li sal-2030, l-iskart tal-ikel per capita jitnaqqas bin-nofs. Il-Pjattaforma ppermettiet lill-Kummissjoni tagħmel progress importanti fl-implimentazzjoni ta’ azzjonijiet ta’ prevenzjoni tal-iskart tal-ikel, inklużi linji gwida biex tiġi ffaċilitata d-donazzjoni tal-ikel, l-iżvilupp ta’ metodoloġija ta’ kejl tal-iskart tal-ikel u t-titjib ta’ prattiki tal-immarkar tad-data. </w:t>
      </w:r>
    </w:p>
    <w:p>
      <w:pPr>
        <w:pStyle w:val="Defaul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Il-partijiet ikkonċernati qegħdin jesportaw ukoll it-tranżizzjoni barra mill-Ewropa. Il-kumpaniji Ewropej regolarment jinvolvu ruħhom f’missjonijiet konġunti dwar l-ekonomija ċirkolari</w:t>
      </w:r>
      <w:r>
        <w:rPr>
          <w:rStyle w:val="FootnoteReference"/>
          <w:rFonts w:ascii="Times New Roman" w:hAnsi="Times New Roman"/>
          <w:noProof/>
        </w:rPr>
        <w:footnoteReference w:id="70"/>
      </w:r>
      <w:r>
        <w:rPr>
          <w:rFonts w:ascii="Times New Roman" w:hAnsi="Times New Roman"/>
          <w:noProof/>
        </w:rPr>
        <w:t xml:space="preserve">, u b’hekk isaħħu r-rabtiet bejn l-istituzzjonijiet Ewropej, l-NGOs, il-kumpaniji u l-partijiet ikkonċernati rilevanti f’pajjiżi terzi. </w:t>
      </w:r>
    </w:p>
    <w:p>
      <w:pPr>
        <w:pStyle w:val="Heading1"/>
        <w:rPr>
          <w:noProof/>
        </w:rPr>
      </w:pPr>
      <w:r>
        <w:rPr>
          <w:noProof/>
        </w:rPr>
        <w:t xml:space="preserve"> Sfidi Miftuħa</w:t>
      </w:r>
    </w:p>
    <w:p>
      <w:pPr>
        <w:spacing w:before="120" w:after="12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L-ekonomija ċirkolari issa hija tendenza kbira ħafna, irriversibbli u globali. Madankollu, għad hemm ħafna xi jsir biex tiżdied l-azzjoni fil-livell tal-UE u globali, tiġi eliminata kompletament id-diskrepanza u jiġi sfruttat il-vantaġġ kompetittiv li din iġġib magħha lin-negozji tal-UE. L-interazzjoni mal-partijiet ikkonċernati tissuġġerixxi li l-oqsma li mhumiex koperti mill-pjan ta’ azzjoni, jistgħu jiġu investigati sabiex titlesta l-aġenda ċirkolari.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Azzjonijiet ġodda se jkunu meħtieġa jekk l-UE tixtieq iżżomm it-tmexxija tagħha fid-disinn u l-produzzjoni ta’ prodotti u servizzi ċirkolari u biex tagħti iktar setgħa lill-konsumaturi ħalli jadattaw stili ta’ ħajja iktar sostenibbli. Kif issuġġerit fid-Dokument ta’ Riflessjoni, Lejn Ewropa Sostenibbli sal-2030</w:t>
      </w:r>
      <w:r>
        <w:rPr>
          <w:rStyle w:val="FootnoteReference"/>
          <w:rFonts w:ascii="Times New Roman" w:hAnsi="Times New Roman"/>
          <w:noProof/>
          <w:sz w:val="24"/>
        </w:rPr>
        <w:footnoteReference w:id="71"/>
      </w:r>
      <w:r>
        <w:rPr>
          <w:rFonts w:ascii="Times New Roman" w:hAnsi="Times New Roman"/>
          <w:noProof/>
          <w:sz w:val="24"/>
        </w:rPr>
        <w:t xml:space="preserve">, jenħtieġ li l-ekonomija ċirkolari tkun l-ispina tal-istrateġija industrijali tal-UE biex b’hekk tiġi permessa ċ-ċirkolarità f’oqsma u setturi ġodda, il-valutazzjonijiet taċ-ċiklu tal-ħajja tal-prodotti jenħtieġ li jsiru n-norma u l-qafas tal-ekodisinn jenħtieġ li jitwessa’ kemm jista’ jkun. Ix-xogħol li beda fir-rigward tal-kimiċi, l-ambjent mhux tossiku, l-ekodisinn u l-ekoinnovazzjoni, il-materja prima kritika u l-fertilizzanti, jeħtieġ li jiġi aċċellerat jekk l-UE trid tisfrutta l-benefiċċji kollha ta’ tranżizzjoni lejn ekonomija ċirkolari. Bl-istess mod, jenħtieġ li l-konsumaturi jingħataw is-setgħa biex jagħmlu għażliet informati u jeħtieġ li s-settur pubbliku jsaħħaħ l-isforzi permezz ta’ akkwist pubbliku sostenibbli.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Bl-appoġġ tal-Kummissjoni, l-Istati Membri – b’mod partikolari fir-reġjuni identifikati li qegħdin fir-riskju li ma jilħqux il-miri tar-riċiklaġġ għall-2020 jew li qed iħabbtu wiċċhom ma’ sfidi speċifiċi</w:t>
      </w:r>
      <w:r>
        <w:rPr>
          <w:rStyle w:val="FootnoteReference"/>
          <w:rFonts w:ascii="Times New Roman" w:hAnsi="Times New Roman"/>
          <w:noProof/>
          <w:sz w:val="24"/>
        </w:rPr>
        <w:footnoteReference w:id="72"/>
      </w:r>
      <w:r>
        <w:rPr>
          <w:rFonts w:ascii="Times New Roman" w:hAnsi="Times New Roman"/>
          <w:noProof/>
          <w:sz w:val="24"/>
        </w:rPr>
        <w:t xml:space="preserve"> ‒ u n-negozji se jkollhom iżidu l-isforzi tagħhom biex jimplimentaw il-leġiżlazzjoni riveduta dwar l-iskart u jiżviluppaw swieq għal materja prima sekondarja. L-objettiv huwa li jiġi żgurat li l-materjali li jmorru lura fl-ekonomija, ikunu kosteffettivi u sikuri għaċ-ċittadini u għall-ambjent.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L-UE għandha tkompli tappoġġa wkoll ir-riċerka, l-innovazzjoni u l-investiment fis-setturi ta’ prijorità identifikati</w:t>
      </w:r>
      <w:r>
        <w:rPr>
          <w:rStyle w:val="FootnoteReference"/>
          <w:rFonts w:ascii="Times New Roman" w:hAnsi="Times New Roman"/>
          <w:noProof/>
          <w:sz w:val="24"/>
        </w:rPr>
        <w:footnoteReference w:id="73"/>
      </w:r>
      <w:r>
        <w:rPr>
          <w:rFonts w:ascii="Times New Roman" w:hAnsi="Times New Roman"/>
          <w:noProof/>
          <w:sz w:val="24"/>
        </w:rPr>
        <w:t xml:space="preserve"> fil-pjan ta’ azzjoni. Filwaqt li jibnu fuq l-eżempju tal-Istrateġija Ewropea għall-Plastik f’Ekonomija Ċirkolari, ħafna setturi oħra b’impatt ambjentali għoli u b’potenzjal kbir għaċ-ċirkolarità, bħall-IT, l-elettronika, il-mobbiltà, l-ambjent mibni, il-minjieri, l-għamara, l-ikel u x-xorb jew it-tessuti, jistgħu jibbenefikaw minn approċċ olistiku simili biex isiru ċirkolari. S’issa, l-ebda minnhom għadu ma sfrutta l-potenzjal tas-Suq Uniku tal-UE</w:t>
      </w:r>
      <w:r>
        <w:rPr>
          <w:rStyle w:val="FootnoteReference"/>
          <w:rFonts w:ascii="Times New Roman" w:hAnsi="Times New Roman"/>
          <w:noProof/>
          <w:sz w:val="24"/>
        </w:rPr>
        <w:footnoteReference w:id="74"/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L-implimentazzjoni tal-Istrateġija dwar il-Bijoekonomija</w:t>
      </w:r>
      <w:r>
        <w:rPr>
          <w:rStyle w:val="FootnoteReference"/>
          <w:rFonts w:ascii="Times New Roman" w:hAnsi="Times New Roman"/>
          <w:noProof/>
          <w:sz w:val="24"/>
        </w:rPr>
        <w:footnoteReference w:id="75"/>
      </w:r>
      <w:r>
        <w:rPr>
          <w:rFonts w:ascii="Times New Roman" w:hAnsi="Times New Roman"/>
          <w:noProof/>
          <w:sz w:val="24"/>
        </w:rPr>
        <w:t xml:space="preserve"> li ġiet aġġornata reċentement u l-qafas rivedut dwar l-enerġija rinnovabbli</w:t>
      </w:r>
      <w:r>
        <w:rPr>
          <w:rStyle w:val="FootnoteReference"/>
          <w:rFonts w:ascii="Times New Roman" w:hAnsi="Times New Roman"/>
          <w:noProof/>
          <w:sz w:val="24"/>
        </w:rPr>
        <w:footnoteReference w:id="76"/>
      </w:r>
      <w:r>
        <w:rPr>
          <w:rFonts w:ascii="Times New Roman" w:hAnsi="Times New Roman"/>
          <w:noProof/>
          <w:sz w:val="24"/>
        </w:rPr>
        <w:t xml:space="preserve">, se jkunu passi ulterjuri lejn l-użu ta’ riżorsi bijoloġiċi b’mod ċirkolari, filwaqt li jiġu rispettati l-fruntieri ekoloġiċi u jsir kontribut lejn it-twaqqif tat-telf tal-bijodiversità.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Kif ġie ddikjarat fl-istrateġija ta’ viżjoni strateġika fit-tul għal ekonomija prospera, moderna, kompetittiva u newtrali għall-klima sal-2050</w:t>
      </w:r>
      <w:r>
        <w:rPr>
          <w:rStyle w:val="FootnoteReference"/>
          <w:rFonts w:ascii="Times New Roman" w:hAnsi="Times New Roman"/>
          <w:noProof/>
          <w:sz w:val="24"/>
        </w:rPr>
        <w:footnoteReference w:id="77"/>
      </w:r>
      <w:r>
        <w:rPr>
          <w:rFonts w:ascii="Times New Roman" w:hAnsi="Times New Roman"/>
          <w:noProof/>
          <w:sz w:val="24"/>
        </w:rPr>
        <w:t>, it-tranżizzjoni lejn ekonomija ċirkolari u ekonomija newtrali għall-klima għandha tiġi segwita flimkien, abbażi ta’ ambizzjoni industrijali b’saħħitha u billi jiġi sfruttat il-vantaġġ tal-innovatur f’dawn l-oqsma</w:t>
      </w:r>
      <w:r>
        <w:rPr>
          <w:rStyle w:val="FootnoteReference"/>
          <w:rFonts w:ascii="Times New Roman" w:hAnsi="Times New Roman"/>
          <w:noProof/>
          <w:sz w:val="24"/>
        </w:rPr>
        <w:footnoteReference w:id="78"/>
      </w:r>
      <w:r>
        <w:rPr>
          <w:rFonts w:ascii="Times New Roman" w:hAnsi="Times New Roman"/>
          <w:noProof/>
          <w:sz w:val="24"/>
        </w:rPr>
        <w:t xml:space="preserve">. Mudelli ta’ negozju ċirkolari ġodda, ir-riċiklaġġ, l-effiċjenza fl-enerġija u fil-materjali u mudelli ta’ konsum ġodda, għandhom potenzjal sinifikanti biex inaqqsu l-emissjonijiet globali ta’ gass serra. Il-promozzjoni ta’ dan l-approċċ konġunt fil-kumpaniji – inklużi l-SMEs – u fil-komunitajiet, fl-istess ħin tista’ tnaqqas il-kostijiet ta’ produzzjoni u tappoġġa forom ġodda ta’ interazzjoni tan-negozju, bħas-simbjożi industrijali. Barra minn hekk, iċ-ċirkolarità u s-sostenibbiltà fil-kisba, fl-użu u fit-trattament ta’ materja prima (b’mod partikolari dik kritika) se jkunu fundamentali biex tiġi żgurata s-sigurtà meħtieġa tal-provvisti, il-kundizzjonijiet ekwi ma’ kompetituri industrijali u t-tmexxija globali tal-UE fil-produzzjoni ta’ teknoloġiji ewlenin abilitanti u b’użu baxx ta’ karbonju.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L-intelliġenza artifiċjali u d-diġitalizzazzjoni</w:t>
      </w:r>
      <w:r>
        <w:rPr>
          <w:rStyle w:val="FootnoteReference"/>
          <w:rFonts w:ascii="Times New Roman" w:hAnsi="Times New Roman"/>
          <w:noProof/>
          <w:sz w:val="24"/>
        </w:rPr>
        <w:footnoteReference w:id="79"/>
      </w:r>
      <w:r>
        <w:rPr>
          <w:rFonts w:ascii="Times New Roman" w:hAnsi="Times New Roman"/>
          <w:noProof/>
          <w:sz w:val="24"/>
        </w:rPr>
        <w:t xml:space="preserve"> għandhom il-potenzjal li jottimizzaw l-użu tal-enerġija u tar-riżorsi u li jagħmlu l-informazzjoni disponibbli b’appoġġ għall-mudelli tan-negozju ċirkolari u għażliet ta’ konsum responsabbli. Madanakollu, ekonomija diġitali ċirkolari jrid ikollha impatt tar-riżorsi nett pożittiv u tindirizza sfidi sostanzjali, inkluż ir-riskju li tistimola mudelli ta’ konsum mhux sostenibbli, li tqassar id-durabbiltà ta’ prodotti intelliġenti u li tikkomprometti s-sigurtà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tan-negozju sensittiva. </w:t>
      </w:r>
    </w:p>
    <w:p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Fuq kollox, it-tranżizzjoni tal-ekonomija ċirkolari ssaħħaħ il-koeżjoni soċjali u territorjali u tiffavorixxi distribuzzjoni bbilanċjata tal-impjiegi li jissodisfaw l-istandards tas-saħħa u tas-sigurtà, u b’hekk tiġi permessa l-ġenerazzjoni ta’ tkabbir ġust u sostenibbli. </w:t>
      </w:r>
    </w:p>
    <w:p>
      <w:pPr>
        <w:pStyle w:val="Heading1"/>
        <w:rPr>
          <w:noProof/>
        </w:rPr>
      </w:pPr>
      <w:r>
        <w:rPr>
          <w:noProof/>
        </w:rPr>
        <w:t>Konklużjonijiet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L-implimentazzjoni ta’ Pjan ta’ Azzjoni għal Ekonomija Ċirkolari, aċċellarat it-tranżizzjoni lejn ekonomija ċirkolari fl-Ewropa. Fl-istess ħin, viżjoni aktar b’saħħitha u kondiviża tal-ekonomija ċirkolari tista’ biss tagħti spinta lill-isforzi kontinwi biex il-bażi industrijali tal-UE tiġi mmodernizzata ħalli tiżgura l-vantaġġ kompetittiv globali tagħha u biex il-kapital naturali tal-UE jiġi ppreservat u rkuprat. 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Dawn l-elementi u l-azzjonijiet ta’ suċċess mill-Pjan ta’ Azzjoni kif imsemmija f’dan ir-rapport, jistgħu jgħinu u jiggwidaw ix-xogħol fil-ġejjieni tal-istituzzjonijiet Ewropej, l-Istati Membri, in-negozji u s-sħab soċjali.</w:t>
      </w:r>
    </w:p>
    <w:p>
      <w:pPr>
        <w:spacing w:before="120" w:after="120" w:line="240" w:lineRule="auto"/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6D078" w16cid:durableId="20072FC2"/>
  <w16cid:commentId w16cid:paraId="6FE27B1F" w16cid:durableId="20072FC3"/>
  <w16cid:commentId w16cid:paraId="34B024F4" w16cid:durableId="20072FC4"/>
  <w16cid:commentId w16cid:paraId="2C5CD9FF" w16cid:durableId="20072FC5"/>
  <w16cid:commentId w16cid:paraId="1A5B58D3" w16cid:durableId="200730E4"/>
  <w16cid:commentId w16cid:paraId="58392055" w16cid:durableId="20072FC6"/>
  <w16cid:commentId w16cid:paraId="34E4B6AB" w16cid:durableId="20072FC7"/>
  <w16cid:commentId w16cid:paraId="2AB3E623" w16cid:durableId="20072FC8"/>
  <w16cid:commentId w16cid:paraId="66B49953" w16cid:durableId="20072FC9"/>
  <w16cid:commentId w16cid:paraId="1B3068A0" w16cid:durableId="20072FCA"/>
  <w16cid:commentId w16cid:paraId="2D43551A" w16cid:durableId="20073494"/>
  <w16cid:commentId w16cid:paraId="77E9E758" w16cid:durableId="20072F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k">
    <w:altName w:val="Robot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COM (2015) 614</w:t>
      </w:r>
    </w:p>
  </w:footnote>
  <w:footnote w:id="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COM (2018) 29 final </w:t>
      </w:r>
    </w:p>
  </w:footnote>
  <w:footnote w:id="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https://ec.europa.eu/eurostat/tgm/refreshTableAction.do?tab=table&amp;plugin=1&amp;pcode=cei_cie010&amp;language=en</w:t>
      </w:r>
    </w:p>
  </w:footnote>
  <w:footnote w:id="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tab/>
      </w:r>
      <w:r>
        <w:rPr>
          <w:rFonts w:ascii="Times New Roman" w:hAnsi="Times New Roman"/>
          <w:sz w:val="18"/>
        </w:rPr>
        <w:t xml:space="preserve">Il-Kummissjoni Ewropea, </w:t>
      </w:r>
      <w:r>
        <w:rPr>
          <w:rFonts w:ascii="Times New Roman" w:hAnsi="Times New Roman"/>
          <w:i/>
          <w:sz w:val="18"/>
        </w:rPr>
        <w:t>Impacts of circular economy policies on the labour market</w:t>
      </w:r>
      <w:r>
        <w:rPr>
          <w:rFonts w:ascii="Times New Roman" w:hAnsi="Times New Roman"/>
          <w:sz w:val="18"/>
        </w:rPr>
        <w:t>, April 2018</w:t>
      </w:r>
    </w:p>
  </w:footnote>
  <w:footnote w:id="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hyperlink r:id="rId1">
        <w:r>
          <w:rPr>
            <w:rStyle w:val="Hyperlink"/>
            <w:rFonts w:ascii="Times New Roman" w:hAnsi="Times New Roman"/>
            <w:sz w:val="18"/>
          </w:rPr>
          <w:t>https://ec.europa.eu/eurostat/tgm/refreshTableAction.do?tab=table&amp;plugin=1&amp;pcode=cei_cie010&amp;language=en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7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 </w:t>
      </w:r>
      <w:hyperlink r:id="rId2">
        <w:r>
          <w:rPr>
            <w:rStyle w:val="Hyperlink"/>
            <w:rFonts w:ascii="Times New Roman" w:hAnsi="Times New Roman"/>
            <w:sz w:val="18"/>
          </w:rPr>
          <w:t>https://ec.europa.eu/eurostat/tgm/table.do?tab=table&amp;init=1&amp;language=en&amp;pcode=cei_srm030&amp;plugin=1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 xml:space="preserve">Ekonomija Ċirkolari, </w:t>
      </w:r>
      <w:r>
        <w:rPr>
          <w:rFonts w:ascii="Times New Roman" w:hAnsi="Times New Roman"/>
          <w:i/>
          <w:sz w:val="18"/>
        </w:rPr>
        <w:t>The Circularity Gap Report,</w:t>
      </w:r>
      <w:r>
        <w:rPr>
          <w:rFonts w:ascii="Times New Roman" w:hAnsi="Times New Roman"/>
          <w:sz w:val="18"/>
        </w:rPr>
        <w:t xml:space="preserve"> Jannar 2018</w:t>
      </w:r>
    </w:p>
  </w:footnote>
  <w:footnote w:id="9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hyperlink r:id="rId3">
        <w:r>
          <w:rPr>
            <w:rStyle w:val="Hyperlink"/>
            <w:rFonts w:ascii="Times New Roman" w:hAnsi="Times New Roman"/>
            <w:sz w:val="18"/>
          </w:rPr>
          <w:t>https://ec.europa.eu/eurostat/web/circular-economy</w:t>
        </w:r>
      </w:hyperlink>
    </w:p>
  </w:footnote>
  <w:footnote w:id="1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tab/>
      </w:r>
      <w:r>
        <w:rPr>
          <w:rFonts w:ascii="Times New Roman" w:hAnsi="Times New Roman"/>
          <w:sz w:val="18"/>
        </w:rPr>
        <w:t>Mistoqsija għat-tweġiba orali O-000087/2018</w:t>
      </w:r>
    </w:p>
  </w:footnote>
  <w:footnote w:id="1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10447/18 - It-twettiq tal-Pjan ta’ Azzjoni tal-UE għall-Ekonomija Ċirkolari - Konklużjonijiet tal-Kunsill</w:t>
      </w:r>
    </w:p>
  </w:footnote>
  <w:footnote w:id="1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NAT/722-EESC-2018-00464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</w:footnote>
  <w:footnote w:id="1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Eż. L-SDGs 2 (promozzjoni tal-użu mill-ġdid tal-ilma u fertilizzanti organiċi, l-iffaċilitar tad-donazzjoni tal-ikel), 3 (indirizzar tal-mikroplastiċi), 8 u 9 (spinta lill-innovazzjoni, lill-impjiegi u lill-valur miżjud, 12 (appoġġ lill-prevenzjoni tal-iskart u l-immaniġġjar responsabbli tal-iskart u tas-sustanzi kimiċi, indirizzar tal-ħela tal-ikel u appoġġ lill-Akkwist Pubbliku Ekoloġiku), 13 (potenzjal tal-effiċjenza materjali biex jitnaqqsu l-emissjonijiet tad-CO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sz w:val="18"/>
        </w:rPr>
        <w:t>), 14 (azzjonijiet deċiżivi biex jiġi miġġieled l-iskart tal-baħar)</w:t>
      </w:r>
    </w:p>
  </w:footnote>
  <w:footnote w:id="1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10518/16 L-għeluq taċ-ċirku - Pjan ta’ azzjoni tal-UE għall-Ekonomija Ċirkolari;  15159/17 L-Ekoinnovazzjoni: biex tkun tista’ ssir tranżizzjoni lejn ekonomija ċirkolari; 10447/18 - It-twettiq tal-Pjan ta’ Azzjoni tal-UE għall-Ekonomija Ċirkolari</w:t>
      </w:r>
    </w:p>
  </w:footnote>
  <w:footnote w:id="1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4">
        <w:r>
          <w:rPr>
            <w:rStyle w:val="Hyperlink"/>
            <w:rFonts w:ascii="Times New Roman" w:hAnsi="Times New Roman"/>
            <w:sz w:val="18"/>
          </w:rPr>
          <w:t>http://www.europarl.europa.eu/cmsdata/103519/06%2007%20-%20Coordinators%20Results.pdf</w:t>
        </w:r>
      </w:hyperlink>
    </w:p>
  </w:footnote>
  <w:footnote w:id="16">
    <w:p>
      <w:pPr>
        <w:pStyle w:val="FootnoteTex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SWD (2019) 90</w:t>
      </w:r>
    </w:p>
  </w:footnote>
  <w:footnote w:id="1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(2016) 773 final</w:t>
      </w:r>
    </w:p>
  </w:footnote>
  <w:footnote w:id="18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F’Marzu 2020 huma mistennija 12-il standard ġeneriku.</w:t>
      </w:r>
    </w:p>
  </w:footnote>
  <w:footnote w:id="19">
    <w:p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SWD (2019) 91</w:t>
      </w:r>
    </w:p>
  </w:footnote>
  <w:footnote w:id="20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Sistemi Komuni tat-Trattament / tal-Immaniġġjar tal-Ilma Mormi u tal-Gass ta’ Skart fis-settur tal-kimika (6/2016), Trobbija Intensiva tal-Pollam jew tal-Majjali (7/2017), Impjanti Kbar tal-Kombustjoni (7/2017), Produzzjoni ta’ Volum Kbir ta’ Sustanzi Kimiċi Organiċi (12/2017) u Trattament tal-Iskart (8/2018) </w:t>
      </w:r>
    </w:p>
  </w:footnote>
  <w:footnote w:id="2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Id-Direttiva 2010/75/UE</w:t>
      </w:r>
    </w:p>
  </w:footnote>
  <w:footnote w:id="2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https://een.ec.europa.eu/</w:t>
      </w:r>
    </w:p>
  </w:footnote>
  <w:footnote w:id="2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www.resource-efficient.eu</w:t>
      </w:r>
    </w:p>
  </w:footnote>
  <w:footnote w:id="2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(2017) 355 final</w:t>
      </w:r>
    </w:p>
  </w:footnote>
  <w:footnote w:id="2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Jirrappreżentaw madwar żewġ terzi tas-suq Ewropew fuq bażi ta’ konsum</w:t>
      </w:r>
    </w:p>
  </w:footnote>
  <w:footnote w:id="2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Il-Kummissjoni Ewropea, </w:t>
      </w:r>
      <w:r>
        <w:rPr>
          <w:rFonts w:ascii="Times New Roman" w:hAnsi="Times New Roman"/>
          <w:i/>
          <w:sz w:val="18"/>
        </w:rPr>
        <w:t>Behavioural Study on Consumers’ Engagement in the Circular Economy</w:t>
      </w:r>
      <w:r>
        <w:rPr>
          <w:rFonts w:ascii="Times New Roman" w:hAnsi="Times New Roman"/>
          <w:sz w:val="18"/>
        </w:rPr>
        <w:t>, Ottubru 2018</w:t>
      </w:r>
    </w:p>
  </w:footnote>
  <w:footnote w:id="27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(2017) 637 final - 2015/0288 (COD), Ftehim politiku li ntlaħaq fid-29 ta’ Jannar 2019 http://europa.eu/rapid/press-release_STATEMENT-19-742_mt.htm</w:t>
      </w:r>
    </w:p>
  </w:footnote>
  <w:footnote w:id="2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Il-proposta inizjali ppreżentata f’Diċembru 2015 u emendata fl-2017 sabiex jiġi estiż il-kamp ta’ applikazzjoni tagħha għall-bejgħ offline. </w:t>
      </w:r>
    </w:p>
  </w:footnote>
  <w:footnote w:id="29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Aktar għarfien dwar in-natura ta’ prattiki ta’ obsollexenza prematura kif ukoll dwar kif dawn jiġu indirizzati, se jinġabar permezz ta’ programm ta’ ttestjar indipendenti ta’ Orizzont 2020 mifrux fuq erba’ snin u li se jdum għaddej sal-2023.  </w:t>
      </w:r>
    </w:p>
  </w:footnote>
  <w:footnote w:id="3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Ir-Reviżjoni tar-Regolament dwar il-Kooperazzjoni tal-Protezzjoni tal-Konsumatur u l-proposti leġiżlattivi skont il-Patt il-Ġdid għall-Konsumaturi.  </w:t>
      </w:r>
    </w:p>
  </w:footnote>
  <w:footnote w:id="3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Id-Direttiva 2005/29/KE </w:t>
      </w:r>
    </w:p>
  </w:footnote>
  <w:footnote w:id="3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5">
        <w:r>
          <w:rPr>
            <w:rStyle w:val="Hyperlink"/>
            <w:rFonts w:ascii="Times New Roman" w:hAnsi="Times New Roman"/>
            <w:sz w:val="18"/>
          </w:rPr>
          <w:t>http://ec.europa.eu/environment/gpp/pubs_en.htm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6">
        <w:r>
          <w:rPr>
            <w:rStyle w:val="Hyperlink"/>
            <w:rFonts w:ascii="Times New Roman" w:hAnsi="Times New Roman"/>
            <w:sz w:val="18"/>
          </w:rPr>
          <w:t>http://ec.europa.eu/environment/emas/pdf/other/2018%2012%2007_ES%202018_Consolidated%20Volume.pdf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3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ĠU, 14.6.2018, L 150, p 93, 100, 109,141. Id-Direttiva 2008/98/KE dwar l-iskart, id-Direttiva 1999/31/KE dwar ir-rimi ta’ skart f’ladfill, id-Direttiva 94/62/KE dwar l-imballaġġ u l-iskart mill-imballaġġ, id-Direttiva 2000/53/KE dwar vetturi li m’għadhomx jintużaw, id-Direttiva 2006/66/KE dwar batteriji u akkumulaturi u skart ta’ batteriji u ta’ akkumulaturi, id-Direttiva 2012/19/UE dwar skart ta’ tagħmir elettriku u elettroniku (WEEE)</w:t>
      </w:r>
    </w:p>
  </w:footnote>
  <w:footnote w:id="3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Il-leġiżlazzjoni riveduta dwar l-iskart tirrikjedi li sal-2030, 70 % tal-iskart kollu mill-imballaġġ għandu jiġi rriċiklat, u sal-2035, 65 % tal-iskart muniċipali għandu jiġi rriċiklat, filwaqt li r-rimi f’landfill ta’ skart muniċipali jitnaqqas għal 10 %. Estensjoni ta’ ħames snin ingħatat lill-Greċja, lill-Kroazja, lil Ċipru, lil-Latvja, lil-Litwanja, lill-Ungerija, lil Malta, lir-Rumanija, lis-Slovakkja u lill-Bulgarija.</w:t>
      </w:r>
    </w:p>
  </w:footnote>
  <w:footnote w:id="3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Rapport ta’ twissija bikrija COM (2018) 656 final</w:t>
      </w:r>
    </w:p>
  </w:footnote>
  <w:footnote w:id="3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(2017) 34 final, Ir-rwol tal-enerġija mill-iskart fl-ekonomija ċirkolari</w:t>
      </w:r>
    </w:p>
  </w:footnote>
  <w:footnote w:id="3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 952/2013</w:t>
      </w:r>
    </w:p>
  </w:footnote>
  <w:footnote w:id="39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Ir-Regolament 1013/2006</w:t>
      </w:r>
    </w:p>
  </w:footnote>
  <w:footnote w:id="40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COM (2018) 033 - 2018/012 (COD), Ftehim politiku li ntlaħaq fid-12 ta’ Diċembru 2018, http://europa.eu/rapid/press-release_IP-18-6867_mt.htm</w:t>
      </w:r>
    </w:p>
  </w:footnote>
  <w:footnote w:id="4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(2016) 157 - 2016/0084 (COD), Ftehim politiku li ntlaħaq fit-12 ta’ Diċembru 2018, http://europa.eu/rapid/press-release_IP-18-6161_en.htm</w:t>
      </w:r>
    </w:p>
  </w:footnote>
  <w:footnote w:id="4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 772</w:t>
      </w:r>
    </w:p>
  </w:footnote>
  <w:footnote w:id="4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7">
        <w:r>
          <w:rPr>
            <w:rStyle w:val="Hyperlink"/>
            <w:rFonts w:ascii="Times New Roman" w:hAnsi="Times New Roman"/>
            <w:sz w:val="18"/>
          </w:rPr>
          <w:t>http://rmis.jrc.ec.europa.eu/</w:t>
        </w:r>
      </w:hyperlink>
    </w:p>
  </w:footnote>
  <w:footnote w:id="4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8">
        <w:r>
          <w:rPr>
            <w:rStyle w:val="Hyperlink"/>
            <w:rFonts w:ascii="Times New Roman" w:hAnsi="Times New Roman"/>
            <w:sz w:val="18"/>
          </w:rPr>
          <w:t>http://rmis.jrc.ec.europa.eu/?page=contributions-of-h2020-projects-236032</w:t>
        </w:r>
      </w:hyperlink>
    </w:p>
  </w:footnote>
  <w:footnote w:id="4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 (2018) 32</w:t>
      </w:r>
    </w:p>
  </w:footnote>
  <w:footnote w:id="4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Il-konsultazzjoni pubblika ntemmet f’Ottubru 2018 u rċeviet 460 tweġiba. Rapport ta’ sinopsi dwar ir-riżultati tagħha se jinħareġ fil-bidu tal-2019.</w:t>
      </w:r>
    </w:p>
  </w:footnote>
  <w:footnote w:id="4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https://i4r-platform.eu/</w:t>
      </w:r>
    </w:p>
  </w:footnote>
  <w:footnote w:id="4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en-IE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SWD (2018) 36 final</w:t>
      </w:r>
    </w:p>
  </w:footnote>
  <w:footnote w:id="49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 337 final, 2018/0169 (COD)</w:t>
      </w:r>
    </w:p>
  </w:footnote>
  <w:footnote w:id="5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9">
        <w:r>
          <w:rPr>
            <w:rStyle w:val="Hyperlink"/>
            <w:rFonts w:ascii="Times New Roman" w:hAnsi="Times New Roman"/>
            <w:sz w:val="18"/>
          </w:rPr>
          <w:t>http://ec.europa.eu/environment/water/pdf/Guidelines_on_water_reuse.pdf</w:t>
        </w:r>
      </w:hyperlink>
    </w:p>
  </w:footnote>
  <w:footnote w:id="5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 28</w:t>
      </w:r>
    </w:p>
  </w:footnote>
  <w:footnote w:id="52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highlight w:val="yellow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SWD (2019) 92</w:t>
      </w:r>
    </w:p>
  </w:footnote>
  <w:footnote w:id="5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0">
        <w:r>
          <w:rPr>
            <w:rStyle w:val="Hyperlink"/>
            <w:rFonts w:ascii="Times New Roman" w:hAnsi="Times New Roman"/>
            <w:sz w:val="18"/>
          </w:rPr>
          <w:t>http://europa.eu/rapid/press-release_IP-18-6728_en.htm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54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hyperlink r:id="rId11">
        <w:r>
          <w:rPr>
            <w:rStyle w:val="Hyperlink"/>
            <w:rFonts w:ascii="Times New Roman" w:hAnsi="Times New Roman"/>
            <w:sz w:val="18"/>
          </w:rPr>
          <w:t>https://ec.europa.eu/info/publications/circular-economy-plastics-insights-research-and-innovation-inform-policy-and-funding-decisions_en</w:t>
        </w:r>
      </w:hyperlink>
    </w:p>
  </w:footnote>
  <w:footnote w:id="55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 340 final 2018/0172 (COD), Ftehim politiku preliminari li ntlaħaq fid-19 ta’ Diċembru 2018: </w:t>
      </w:r>
      <w:hyperlink r:id="rId12">
        <w:r>
          <w:rPr>
            <w:rStyle w:val="Hyperlink"/>
            <w:rFonts w:ascii="Times New Roman" w:hAnsi="Times New Roman"/>
            <w:sz w:val="18"/>
          </w:rPr>
          <w:t>http://europa.eu/rapid/press-release_IP-18-6867_mt.htm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56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 368 final, 2018/0193 (COD) </w:t>
      </w:r>
    </w:p>
  </w:footnote>
  <w:footnote w:id="57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Pożati, platti, straws, stikek li jintużaw biex iħawdu x-xorb, stikek tal-bżieżaq, kontenituri tal-ikel u tax-xorb tal-plastik u kikkri għax-xorb magħmula mill-polistiren espandut, stikek tal-cotton buds magħmula mill-plastik. </w:t>
      </w:r>
    </w:p>
  </w:footnote>
  <w:footnote w:id="58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Oġġetti sanitarji, wet wipes, kikkri għax-xorb u prodotti tat-tabakk bil-filtri</w:t>
      </w:r>
    </w:p>
  </w:footnote>
  <w:footnote w:id="59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Skont ir-rapport,</w:t>
      </w:r>
      <w:r>
        <w:rPr>
          <w:rFonts w:ascii="Times New Roman" w:hAnsi="Times New Roman"/>
          <w:i/>
          <w:sz w:val="18"/>
        </w:rPr>
        <w:t xml:space="preserve"> Achieving Growth Within,</w:t>
      </w:r>
      <w:r>
        <w:rPr>
          <w:rFonts w:ascii="Times New Roman" w:hAnsi="Times New Roman"/>
          <w:color w:val="333333"/>
          <w:sz w:val="21"/>
        </w:rPr>
        <w:t xml:space="preserve"> </w:t>
      </w:r>
      <w:r>
        <w:rPr>
          <w:rFonts w:ascii="Times New Roman" w:hAnsi="Times New Roman"/>
          <w:sz w:val="18"/>
        </w:rPr>
        <w:t xml:space="preserve">(SYSTEMIQ f’kollaborazzjoni mal-Fondazzjoni Ellen MacArthur), id-diskrepanza fl-investiment hija stmata għal EUR 320 biljun sal-2025. </w:t>
      </w:r>
    </w:p>
  </w:footnote>
  <w:footnote w:id="60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3">
        <w:r>
          <w:rPr>
            <w:rStyle w:val="Hyperlink"/>
            <w:rFonts w:ascii="Times New Roman" w:hAnsi="Times New Roman"/>
            <w:sz w:val="18"/>
          </w:rPr>
          <w:t>https://ec.europa.eu/research/environment/index.cfm?pg=output&amp;pubs=thematic</w:t>
        </w:r>
      </w:hyperlink>
    </w:p>
  </w:footnote>
  <w:footnote w:id="61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4">
        <w:r>
          <w:rPr>
            <w:rStyle w:val="Hyperlink"/>
            <w:rFonts w:ascii="Times New Roman" w:hAnsi="Times New Roman"/>
            <w:sz w:val="18"/>
          </w:rPr>
          <w:t>https://ec.europa.eu/info/publications/accelerating-transition-circular-economy_en</w:t>
        </w:r>
      </w:hyperlink>
    </w:p>
  </w:footnote>
  <w:footnote w:id="62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5">
        <w:r>
          <w:rPr>
            <w:rStyle w:val="Hyperlink"/>
            <w:rFonts w:ascii="Times New Roman" w:hAnsi="Times New Roman"/>
            <w:sz w:val="18"/>
          </w:rPr>
          <w:t>http://ec.europa.eu/transparency/regexpert/index.cfm?do=groupDetail.groupDetail&amp;groupID=3517&amp;Lang=MT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6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 (2018) 97 </w:t>
      </w:r>
    </w:p>
  </w:footnote>
  <w:footnote w:id="6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tab/>
      </w:r>
      <w:r>
        <w:rPr>
          <w:rFonts w:ascii="Times New Roman" w:hAnsi="Times New Roman"/>
          <w:sz w:val="18"/>
        </w:rPr>
        <w:t>Iż-żewġ ftehimiet ikopru t-teknoloġija tal-membrana anaerobika għall-użu mill-ġdid tal-ilma mormi fl-agrikoltura u l-użu mill-ġdid tal-batteriji ta’ propulsjoni fit-tmiem tal-ħajja bħala ħżin tal-enerġija stazzjonarju. https://ec.europa.eu/info/research-and-innovation/law-and-regulations/innovation-friendly-legislation/identifying-barriers_en</w:t>
      </w:r>
    </w:p>
  </w:footnote>
  <w:footnote w:id="65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 372 final - 2018/0197 (COD)</w:t>
      </w:r>
    </w:p>
  </w:footnote>
  <w:footnote w:id="66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6">
        <w:r>
          <w:rPr>
            <w:rStyle w:val="Hyperlink"/>
            <w:rFonts w:ascii="Times New Roman" w:hAnsi="Times New Roman"/>
            <w:sz w:val="18"/>
          </w:rPr>
          <w:t>https://thecirculars.org/our-finalists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67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7">
        <w:r>
          <w:rPr>
            <w:rStyle w:val="Hyperlink"/>
            <w:rFonts w:ascii="Times New Roman" w:hAnsi="Times New Roman"/>
            <w:sz w:val="18"/>
          </w:rPr>
          <w:t>https://circulareconomy.europa.eu/platform/sites/default/files/ecesp_annual_report_2018.pdf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6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8">
        <w:r>
          <w:rPr>
            <w:rStyle w:val="Hyperlink"/>
            <w:rFonts w:ascii="Times New Roman" w:hAnsi="Times New Roman"/>
            <w:sz w:val="18"/>
          </w:rPr>
          <w:t>https://ec.europa.eu/growth/content/eu-construction-and-demolition-waste-protocol-0_en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69">
    <w:p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hyperlink r:id="rId19">
        <w:r>
          <w:rPr>
            <w:rStyle w:val="Hyperlink"/>
            <w:rFonts w:ascii="Times New Roman" w:hAnsi="Times New Roman"/>
            <w:sz w:val="18"/>
          </w:rPr>
          <w:t>http://ec.europa.eu/environment/eussd/buildings.htm</w:t>
        </w:r>
      </w:hyperlink>
      <w:r>
        <w:rPr>
          <w:rFonts w:ascii="Times New Roman" w:hAnsi="Times New Roman"/>
          <w:sz w:val="18"/>
        </w:rPr>
        <w:t xml:space="preserve"> </w:t>
      </w:r>
    </w:p>
  </w:footnote>
  <w:footnote w:id="70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Missjonijiet dwar l-Ekonomija Ċirkolari fiċ-Ċilì u fiċ-Ċina (2016), fl-Afrika t’Isfel u fil-Kolombja (2017), fil-Ġappun u fl-Indonesja u fl-Indja (2018)</w:t>
      </w:r>
    </w:p>
  </w:footnote>
  <w:footnote w:id="71">
    <w:p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COM (2019) 22</w:t>
      </w:r>
      <w:r>
        <w:t xml:space="preserve"> </w:t>
      </w:r>
    </w:p>
  </w:footnote>
  <w:footnote w:id="72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Biex jitħaffef l-iżvilupp tal-ekonomija ċirkolari, jenħtieġ li tingħata attenzjoni speċifika lir-reġjuni b’karatteristiċi speċifiċi li jwasslu għal sfidi ambjentali u għar-riżorsi konsiderevoli, pereżempju fil-qasam tal-immaniġġjar tal-iskart, bħall-gżejjer jew ir-reġjuni ultraperiferiċi tal-UE. </w:t>
      </w:r>
    </w:p>
  </w:footnote>
  <w:footnote w:id="73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Il-plastik, l-iskart tal-ikel, il-materja prima kritika, il-kostruzzjoni u id-demolizzjoni, il-bijomassa u l-prodotti b’bażi bijoloġika</w:t>
      </w:r>
    </w:p>
  </w:footnote>
  <w:footnote w:id="74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 772</w:t>
      </w:r>
    </w:p>
  </w:footnote>
  <w:footnote w:id="75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 673 final</w:t>
      </w:r>
    </w:p>
  </w:footnote>
  <w:footnote w:id="76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ĠU, L328, 21.12.2018, p 82. Id-Direttiva 2018/2001 dwar il-promozzjoni tal-użu tal-enerġija minn sorsi rinnovabbli</w:t>
      </w:r>
    </w:p>
  </w:footnote>
  <w:footnote w:id="77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(2018) 773 final</w:t>
      </w:r>
    </w:p>
  </w:footnote>
  <w:footnote w:id="78">
    <w:p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(2017) 479 final, Ninvestu f’Industrija intelliġenti, innovattiva u sostenibbli Strateġija mġedda għall-Politika Industrijali tal-UE</w:t>
      </w:r>
    </w:p>
  </w:footnote>
  <w:footnote w:id="79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COM (2015) 192 final, Strateġija għal Suq Uniku Diġitali għall-Ewropa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D7"/>
    <w:multiLevelType w:val="multilevel"/>
    <w:tmpl w:val="82941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8770A"/>
    <w:multiLevelType w:val="hybridMultilevel"/>
    <w:tmpl w:val="3E8A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2F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A372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7432D9D"/>
    <w:multiLevelType w:val="hybridMultilevel"/>
    <w:tmpl w:val="3702C548"/>
    <w:lvl w:ilvl="0" w:tplc="19A4F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315AD"/>
    <w:multiLevelType w:val="hybridMultilevel"/>
    <w:tmpl w:val="F49A3F54"/>
    <w:lvl w:ilvl="0" w:tplc="37985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47AD0"/>
    <w:multiLevelType w:val="hybridMultilevel"/>
    <w:tmpl w:val="ACBAF5FC"/>
    <w:lvl w:ilvl="0" w:tplc="19A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A6280"/>
    <w:multiLevelType w:val="hybridMultilevel"/>
    <w:tmpl w:val="47F28882"/>
    <w:lvl w:ilvl="0" w:tplc="F3DA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D404E"/>
    <w:multiLevelType w:val="hybridMultilevel"/>
    <w:tmpl w:val="49188170"/>
    <w:lvl w:ilvl="0" w:tplc="19A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34B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A307A"/>
    <w:multiLevelType w:val="hybridMultilevel"/>
    <w:tmpl w:val="D0E0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F33D2"/>
    <w:multiLevelType w:val="hybridMultilevel"/>
    <w:tmpl w:val="9B1A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702B9"/>
    <w:multiLevelType w:val="hybridMultilevel"/>
    <w:tmpl w:val="0DA6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57A4"/>
    <w:multiLevelType w:val="hybridMultilevel"/>
    <w:tmpl w:val="9FB0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41883"/>
    <w:multiLevelType w:val="hybridMultilevel"/>
    <w:tmpl w:val="FE7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33C8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BA231D1"/>
    <w:multiLevelType w:val="hybridMultilevel"/>
    <w:tmpl w:val="B558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94738"/>
    <w:multiLevelType w:val="hybridMultilevel"/>
    <w:tmpl w:val="0BECBE0E"/>
    <w:lvl w:ilvl="0" w:tplc="5F28F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F42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060B83"/>
    <w:multiLevelType w:val="hybridMultilevel"/>
    <w:tmpl w:val="39B67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C59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5E65CC"/>
    <w:multiLevelType w:val="hybridMultilevel"/>
    <w:tmpl w:val="B9DA5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05F3"/>
    <w:multiLevelType w:val="hybridMultilevel"/>
    <w:tmpl w:val="C22A7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95795"/>
    <w:multiLevelType w:val="hybridMultilevel"/>
    <w:tmpl w:val="5348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D1029"/>
    <w:multiLevelType w:val="hybridMultilevel"/>
    <w:tmpl w:val="56881FB8"/>
    <w:lvl w:ilvl="0" w:tplc="19A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F031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8B64198"/>
    <w:multiLevelType w:val="hybridMultilevel"/>
    <w:tmpl w:val="69E4CE76"/>
    <w:lvl w:ilvl="0" w:tplc="F3DAA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96560"/>
    <w:multiLevelType w:val="hybridMultilevel"/>
    <w:tmpl w:val="DF0EBF2A"/>
    <w:lvl w:ilvl="0" w:tplc="5F28F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A68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DF1948"/>
    <w:multiLevelType w:val="hybridMultilevel"/>
    <w:tmpl w:val="2D5C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22EA6"/>
    <w:multiLevelType w:val="hybridMultilevel"/>
    <w:tmpl w:val="4D2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A0D94"/>
    <w:multiLevelType w:val="hybridMultilevel"/>
    <w:tmpl w:val="DA989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E53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AF392E"/>
    <w:multiLevelType w:val="hybridMultilevel"/>
    <w:tmpl w:val="C0588E1A"/>
    <w:lvl w:ilvl="0" w:tplc="276E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4EEC">
      <w:start w:val="27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6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6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0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A4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A6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3002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1D65D3"/>
    <w:multiLevelType w:val="hybridMultilevel"/>
    <w:tmpl w:val="4E4AD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2726E1"/>
    <w:multiLevelType w:val="hybridMultilevel"/>
    <w:tmpl w:val="7C8206E0"/>
    <w:lvl w:ilvl="0" w:tplc="19A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E392D"/>
    <w:multiLevelType w:val="hybridMultilevel"/>
    <w:tmpl w:val="1652C288"/>
    <w:lvl w:ilvl="0" w:tplc="78E0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C2997"/>
    <w:multiLevelType w:val="hybridMultilevel"/>
    <w:tmpl w:val="7E86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42A8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1121FB1"/>
    <w:multiLevelType w:val="hybridMultilevel"/>
    <w:tmpl w:val="1C6E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80474"/>
    <w:multiLevelType w:val="hybridMultilevel"/>
    <w:tmpl w:val="E8BE5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A0CEF"/>
    <w:multiLevelType w:val="multilevel"/>
    <w:tmpl w:val="A2D69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C2326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E56BCD"/>
    <w:multiLevelType w:val="hybridMultilevel"/>
    <w:tmpl w:val="CAA4B4BE"/>
    <w:lvl w:ilvl="0" w:tplc="19A4F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42"/>
  </w:num>
  <w:num w:numId="4">
    <w:abstractNumId w:val="12"/>
  </w:num>
  <w:num w:numId="5">
    <w:abstractNumId w:val="11"/>
  </w:num>
  <w:num w:numId="6">
    <w:abstractNumId w:val="1"/>
  </w:num>
  <w:num w:numId="7">
    <w:abstractNumId w:val="44"/>
  </w:num>
  <w:num w:numId="8">
    <w:abstractNumId w:val="21"/>
  </w:num>
  <w:num w:numId="9">
    <w:abstractNumId w:val="3"/>
  </w:num>
  <w:num w:numId="10">
    <w:abstractNumId w:val="33"/>
  </w:num>
  <w:num w:numId="11">
    <w:abstractNumId w:val="32"/>
  </w:num>
  <w:num w:numId="12">
    <w:abstractNumId w:val="43"/>
  </w:num>
  <w:num w:numId="13">
    <w:abstractNumId w:val="4"/>
  </w:num>
  <w:num w:numId="14">
    <w:abstractNumId w:val="24"/>
  </w:num>
  <w:num w:numId="15">
    <w:abstractNumId w:val="34"/>
  </w:num>
  <w:num w:numId="16">
    <w:abstractNumId w:val="38"/>
  </w:num>
  <w:num w:numId="17">
    <w:abstractNumId w:val="27"/>
  </w:num>
  <w:num w:numId="18">
    <w:abstractNumId w:val="8"/>
  </w:num>
  <w:num w:numId="19">
    <w:abstractNumId w:val="15"/>
  </w:num>
  <w:num w:numId="20">
    <w:abstractNumId w:val="35"/>
  </w:num>
  <w:num w:numId="21">
    <w:abstractNumId w:val="26"/>
  </w:num>
  <w:num w:numId="22">
    <w:abstractNumId w:val="29"/>
  </w:num>
  <w:num w:numId="23">
    <w:abstractNumId w:val="19"/>
  </w:num>
  <w:num w:numId="24">
    <w:abstractNumId w:val="23"/>
  </w:num>
  <w:num w:numId="25">
    <w:abstractNumId w:val="36"/>
  </w:num>
  <w:num w:numId="26">
    <w:abstractNumId w:val="20"/>
  </w:num>
  <w:num w:numId="27">
    <w:abstractNumId w:val="10"/>
  </w:num>
  <w:num w:numId="28">
    <w:abstractNumId w:val="31"/>
  </w:num>
  <w:num w:numId="29">
    <w:abstractNumId w:val="0"/>
  </w:num>
  <w:num w:numId="30">
    <w:abstractNumId w:val="40"/>
  </w:num>
  <w:num w:numId="31">
    <w:abstractNumId w:val="13"/>
  </w:num>
  <w:num w:numId="32">
    <w:abstractNumId w:val="18"/>
  </w:num>
  <w:num w:numId="33">
    <w:abstractNumId w:val="22"/>
  </w:num>
  <w:num w:numId="34">
    <w:abstractNumId w:val="16"/>
  </w:num>
  <w:num w:numId="35">
    <w:abstractNumId w:val="39"/>
  </w:num>
  <w:num w:numId="36">
    <w:abstractNumId w:val="17"/>
  </w:num>
  <w:num w:numId="37">
    <w:abstractNumId w:val="41"/>
  </w:num>
  <w:num w:numId="38">
    <w:abstractNumId w:val="14"/>
  </w:num>
  <w:num w:numId="39">
    <w:abstractNumId w:val="45"/>
  </w:num>
  <w:num w:numId="40">
    <w:abstractNumId w:val="7"/>
  </w:num>
  <w:num w:numId="41">
    <w:abstractNumId w:val="25"/>
  </w:num>
  <w:num w:numId="42">
    <w:abstractNumId w:val="5"/>
  </w:num>
  <w:num w:numId="43">
    <w:abstractNumId w:val="9"/>
  </w:num>
  <w:num w:numId="44">
    <w:abstractNumId w:val="37"/>
  </w:num>
  <w:num w:numId="45">
    <w:abstractNumId w:val="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67AB4BD-B8D4-4C6A-A306-11966753F57F"/>
    <w:docVar w:name="LW_COVERPAGE_TYPE" w:val="1"/>
    <w:docVar w:name="LW_CROSSREFERENCE" w:val="{SWD(2019) 90 final}"/>
    <w:docVar w:name="LW_DocType" w:val="NORMAL"/>
    <w:docVar w:name="LW_EMISSION" w:val="4.3.2019"/>
    <w:docVar w:name="LW_EMISSION_ISODATE" w:val="2019-03-04"/>
    <w:docVar w:name="LW_EMISSION_LOCATION" w:val="BRX"/>
    <w:docVar w:name="LW_EMISSION_PREFIX" w:val="Brussell, "/>
    <w:docVar w:name="LW_EMISSION_SUFFIX" w:val=" "/>
    <w:docVar w:name="LW_ID_DOCTYPE_NONLW" w:val="CP-008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dwar l-implimentazzjoni tal-Pjan ta\u8217? Azzjoni g\u295?al Ekonomija \u266?irkolari&lt;FMT:Font=Calibri&gt;_x000d__x000d__x000d_&lt;/FMT&gt;_x000d__x000d__x000b_&lt;FMT:Font=Calibri&gt; &lt;/FMT&gt;"/>
    <w:docVar w:name="LW_TYPE.DOC.CP" w:val="RAPPORT TAL-KUMMISSJONI LILL-PARLAMENT EWROPEW, LILL-KUNSILL, LILL-KUMITAT EKONOMIKU U SO\u266?JALI EWROPEW U LILL-KUMITAT TAR-RE\u288?JU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0"/>
    <w:qFormat/>
    <w:pPr>
      <w:keepNext/>
      <w:numPr>
        <w:numId w:val="3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0"/>
    <w:qFormat/>
    <w:pPr>
      <w:keepNext/>
      <w:numPr>
        <w:ilvl w:val="1"/>
        <w:numId w:val="3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numPr>
        <w:ilvl w:val="2"/>
        <w:numId w:val="3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,ft,Fußnote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ußnote Char"/>
    <w:basedOn w:val="DefaultParagraphFont"/>
    <w:link w:val="FootnoteText"/>
    <w:uiPriority w:val="99"/>
    <w:qFormat/>
    <w:rPr>
      <w:sz w:val="20"/>
      <w:szCs w:val="20"/>
      <w:lang w:val="mt-MT"/>
    </w:rPr>
  </w:style>
  <w:style w:type="character" w:styleId="FootnoteReference">
    <w:name w:val="footnote reference"/>
    <w:aliases w:val="Footnote Reference Superscript,BVI fnr,Footnote symbol,Footnote reference number,number,note TESI,SUPERS,EN Footnote Reference,Times 10 Point,Exposant 3 Point,Footnote Reference_LVL6,Footnote,Footnote number, BVI fnr,Nota,Ref,o"/>
    <w:basedOn w:val="DefaultParagraphFont"/>
    <w:uiPriority w:val="99"/>
    <w:unhideWhenUsed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0">
    <w:name w:val="footnotereference"/>
    <w:basedOn w:val="DefaultParagraphFont"/>
  </w:style>
  <w:style w:type="paragraph" w:styleId="ListBullet">
    <w:name w:val="List Bullet"/>
    <w:basedOn w:val="Normal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0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4"/>
      <w:szCs w:val="20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val="mt-MT" w:eastAsia="mt-MT"/>
    </w:rPr>
  </w:style>
  <w:style w:type="paragraph" w:customStyle="1" w:styleId="Briefinglist1">
    <w:name w:val="Briefing list 1"/>
    <w:basedOn w:val="Normal"/>
    <w:link w:val="Briefinglist1Char"/>
    <w:qFormat/>
    <w:pPr>
      <w:keepLines/>
      <w:numPr>
        <w:numId w:val="13"/>
      </w:numPr>
      <w:spacing w:after="12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list1Char">
    <w:name w:val="Briefing list 1 Char"/>
    <w:link w:val="Briefinglist1"/>
    <w:locked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Roboto Bk" w:hAnsi="Roboto Bk" w:cs="Roboto B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0"/>
    <w:qFormat/>
    <w:pPr>
      <w:keepNext/>
      <w:numPr>
        <w:numId w:val="3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0"/>
    <w:qFormat/>
    <w:pPr>
      <w:keepNext/>
      <w:numPr>
        <w:ilvl w:val="1"/>
        <w:numId w:val="3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0"/>
    <w:qFormat/>
    <w:pPr>
      <w:keepNext/>
      <w:numPr>
        <w:ilvl w:val="2"/>
        <w:numId w:val="3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aliases w:val="Footnote text,fn,Schriftart: 9 pt,Schriftart: 10 pt,Schriftart: 8 pt,WB-Fußnotentext,Voetnoottekst Char,Voetnoottekst Char1,Voetnoottekst Char2 Char Char,Voetnoottekst Char Char1 Char Char,Voetnoottekst Char1 Char Char Char Char,ft,Fußnote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ußnote Char"/>
    <w:basedOn w:val="DefaultParagraphFont"/>
    <w:link w:val="FootnoteText"/>
    <w:uiPriority w:val="99"/>
    <w:qFormat/>
    <w:rPr>
      <w:sz w:val="20"/>
      <w:szCs w:val="20"/>
      <w:lang w:val="mt-MT"/>
    </w:rPr>
  </w:style>
  <w:style w:type="character" w:styleId="FootnoteReference">
    <w:name w:val="footnote reference"/>
    <w:aliases w:val="Footnote Reference Superscript,BVI fnr,Footnote symbol,Footnote reference number,number,note TESI,SUPERS,EN Footnote Reference,Times 10 Point,Exposant 3 Point,Footnote Reference_LVL6,Footnote,Footnote number, BVI fnr,Nota,Ref,o"/>
    <w:basedOn w:val="DefaultParagraphFont"/>
    <w:uiPriority w:val="99"/>
    <w:unhideWhenUsed/>
    <w:qFormat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0">
    <w:name w:val="footnotereference"/>
    <w:basedOn w:val="DefaultParagraphFont"/>
  </w:style>
  <w:style w:type="paragraph" w:styleId="ListBullet">
    <w:name w:val="List Bullet"/>
    <w:basedOn w:val="Normal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0"/>
      <w:lang w:val="mt-MT" w:eastAsia="mt-MT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4"/>
      <w:szCs w:val="20"/>
      <w:lang w:val="mt-MT" w:eastAsia="mt-MT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i/>
      <w:sz w:val="24"/>
      <w:szCs w:val="20"/>
      <w:lang w:val="mt-MT" w:eastAsia="mt-MT"/>
    </w:rPr>
  </w:style>
  <w:style w:type="paragraph" w:customStyle="1" w:styleId="Briefinglist1">
    <w:name w:val="Briefing list 1"/>
    <w:basedOn w:val="Normal"/>
    <w:link w:val="Briefinglist1Char"/>
    <w:qFormat/>
    <w:pPr>
      <w:keepLines/>
      <w:numPr>
        <w:numId w:val="13"/>
      </w:numPr>
      <w:spacing w:after="12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list1Char">
    <w:name w:val="Briefing list 1 Char"/>
    <w:link w:val="Briefinglist1"/>
    <w:locked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iPriority w:val="99"/>
    <w:unhideWhenUsed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Briefingtext">
    <w:name w:val="Briefing text"/>
    <w:basedOn w:val="Normal"/>
    <w:link w:val="BriefingtextChar"/>
    <w:pPr>
      <w:spacing w:after="24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riefingtextChar">
    <w:name w:val="Briefing text Char"/>
    <w:link w:val="Briefingtext"/>
    <w:rPr>
      <w:rFonts w:ascii="Arial" w:eastAsia="Times New Roman" w:hAnsi="Arial" w:cs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Roboto Bk" w:hAnsi="Roboto Bk" w:cs="Roboto B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mis.jrc.ec.europa.eu/?page=contributions-of-h2020-projects-236032" TargetMode="External"/><Relationship Id="rId13" Type="http://schemas.openxmlformats.org/officeDocument/2006/relationships/hyperlink" Target="https://ec.europa.eu/research/environment/index.cfm?pg=output&amp;pubs=thematic" TargetMode="External"/><Relationship Id="rId18" Type="http://schemas.openxmlformats.org/officeDocument/2006/relationships/hyperlink" Target="https://ec.europa.eu/growth/content/eu-construction-and-demolition-waste-protocol-0_en" TargetMode="External"/><Relationship Id="rId3" Type="http://schemas.openxmlformats.org/officeDocument/2006/relationships/hyperlink" Target="https://ec.europa.eu/eurostat/web/circular-economy" TargetMode="External"/><Relationship Id="rId7" Type="http://schemas.openxmlformats.org/officeDocument/2006/relationships/hyperlink" Target="http://rmis.jrc.ec.europa.eu/" TargetMode="External"/><Relationship Id="rId12" Type="http://schemas.openxmlformats.org/officeDocument/2006/relationships/hyperlink" Target="http://europa.eu/rapid/press-release_IP-18-6867_en.htm" TargetMode="External"/><Relationship Id="rId17" Type="http://schemas.openxmlformats.org/officeDocument/2006/relationships/hyperlink" Target="https://circulareconomy.europa.eu/platform/sites/default/files/ecesp_annual_report_2018.pdf" TargetMode="External"/><Relationship Id="rId2" Type="http://schemas.openxmlformats.org/officeDocument/2006/relationships/hyperlink" Target="https://ec.europa.eu/eurostat/tgm/table.do?tab=table&amp;init=1&amp;language=en&amp;pcode=cei_srm030&amp;plugin=1" TargetMode="External"/><Relationship Id="rId16" Type="http://schemas.openxmlformats.org/officeDocument/2006/relationships/hyperlink" Target="https://thecirculars.org/our-finalists" TargetMode="External"/><Relationship Id="rId1" Type="http://schemas.openxmlformats.org/officeDocument/2006/relationships/hyperlink" Target="https://ec.europa.eu/eurostat/tgm/refreshTableAction.do?tab=table&amp;plugin=1&amp;pcode=cei_cie010&amp;language=en" TargetMode="External"/><Relationship Id="rId6" Type="http://schemas.openxmlformats.org/officeDocument/2006/relationships/hyperlink" Target="http://ec.europa.eu/environment/emas/pdf/other/2018%2012%2007_ES%202018_Consolidated%20Volume.pdf" TargetMode="External"/><Relationship Id="rId11" Type="http://schemas.openxmlformats.org/officeDocument/2006/relationships/hyperlink" Target="https://ec.europa.eu/info/publications/circular-economy-plastics-insights-research-and-innovation-inform-policy-and-funding-decisions_en" TargetMode="External"/><Relationship Id="rId5" Type="http://schemas.openxmlformats.org/officeDocument/2006/relationships/hyperlink" Target="http://ec.europa.eu/environment/gpp/pubs_en.htm" TargetMode="External"/><Relationship Id="rId15" Type="http://schemas.openxmlformats.org/officeDocument/2006/relationships/hyperlink" Target="http://ec.europa.eu/transparency/regexpert/index.cfm?do=groupDetail.groupDetail&amp;groupID=3517&amp;Lang=MT" TargetMode="External"/><Relationship Id="rId10" Type="http://schemas.openxmlformats.org/officeDocument/2006/relationships/hyperlink" Target="http://europa.eu/rapid/press-release_IP-18-6728_en.htm" TargetMode="External"/><Relationship Id="rId19" Type="http://schemas.openxmlformats.org/officeDocument/2006/relationships/hyperlink" Target="http://ec.europa.eu/environment/eussd/buildings.htm" TargetMode="External"/><Relationship Id="rId4" Type="http://schemas.openxmlformats.org/officeDocument/2006/relationships/hyperlink" Target="http://www.europarl.europa.eu/cmsdata/103519/06%2007%20-%20Coordinators%20Results.pdf" TargetMode="External"/><Relationship Id="rId9" Type="http://schemas.openxmlformats.org/officeDocument/2006/relationships/hyperlink" Target="http://ec.europa.eu/environment/water/pdf/Guidelines_on_water_reuse.pdf" TargetMode="External"/><Relationship Id="rId14" Type="http://schemas.openxmlformats.org/officeDocument/2006/relationships/hyperlink" Target="https://ec.europa.eu/info/publications/accelerating-transition-circular-economy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ed_x0020_in_x0020_CEIR_x0020_draft xmlns="2e9ce1a0-0ccf-4233-925b-448ee848baaa">false</Covered_x0020_in_x0020_CEIR_x0020_draft>
    <EC_Collab_Reference xmlns="2e9ce1a0-0ccf-4233-925b-448ee848baaa" xsi:nil="true"/>
    <_Status xmlns="http://schemas.microsoft.com/sharepoint/v3/fields">Not Started</_Status>
    <Nature_x0020_of_x0020_the_x0020_document xmlns="2e9ce1a0-0ccf-4233-925b-448ee848baaa">Approved version</Nature_x0020_of_x0020_the_x0020_document>
    <EC_Collab_DocumentLanguage xmlns="2e9ce1a0-0ccf-4233-925b-448ee848baaa">EN</EC_Collab_DocumentLanguage>
    <Key_x0020_Area xmlns="2e9ce1a0-0ccf-4233-925b-448ee848baaa">Version for ISC</Key_x0020_Area>
    <EC_Collab_Status xmlns="2e9ce1a0-0ccf-4233-925b-448ee848baaa">Scheduled</EC_Collab_Status>
    <Old_x0020_versions xmlns="2e9ce1a0-0ccf-4233-925b-448ee848baaa">false</Old_x0020_versions>
    <Type_x0020_of_x0020_initiative xmlns="2e9ce1a0-0ccf-4233-925b-448ee848baaa">CEAP implementation report</Type_x0020_of_x0020_initiat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3B3F6E2CB95D548888E4C4F3DE850B1" ma:contentTypeVersion="5" ma:contentTypeDescription="Create a new document in this library." ma:contentTypeScope="" ma:versionID="a916a426bfa76781f47cf356fa3ecdf8">
  <xsd:schema xmlns:xsd="http://www.w3.org/2001/XMLSchema" xmlns:xs="http://www.w3.org/2001/XMLSchema" xmlns:p="http://schemas.microsoft.com/office/2006/metadata/properties" xmlns:ns2="http://schemas.microsoft.com/sharepoint/v3/fields" xmlns:ns3="2e9ce1a0-0ccf-4233-925b-448ee848baaa" targetNamespace="http://schemas.microsoft.com/office/2006/metadata/properties" ma:root="true" ma:fieldsID="0b2ed579a8952ef2014de1b16b33a92a" ns2:_="" ns3:_="">
    <xsd:import namespace="http://schemas.microsoft.com/sharepoint/v3/fields"/>
    <xsd:import namespace="2e9ce1a0-0ccf-4233-925b-448ee848baa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Key_x0020_Area"/>
                <xsd:element ref="ns3:Nature_x0020_of_x0020_the_x0020_document"/>
                <xsd:element ref="ns3:Covered_x0020_in_x0020_CEIR_x0020_draft" minOccurs="0"/>
                <xsd:element ref="ns3:Old_x0020_versions" minOccurs="0"/>
                <xsd:element ref="ns3:Type_x0020_of_x0020_initiati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ce1a0-0ccf-4233-925b-448ee848baa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Key_x0020_Area" ma:index="16" ma:displayName="Key Area" ma:format="RadioButtons" ma:indexed="true" ma:internalName="Key_x0020_Area">
      <xsd:simpleType>
        <xsd:union memberTypes="dms:Text">
          <xsd:simpleType>
            <xsd:restriction base="dms:Choice">
              <xsd:enumeration value="Production"/>
              <xsd:enumeration value="Consumption"/>
              <xsd:enumeration value="Waste management"/>
              <xsd:enumeration value="Market for secondary raw materials"/>
              <xsd:enumeration value="Sectorial action"/>
              <xsd:enumeration value="Innovation and investment"/>
              <xsd:enumeration value="Monitoring"/>
              <xsd:enumeration value="Section 2"/>
            </xsd:restriction>
          </xsd:simpleType>
        </xsd:union>
      </xsd:simpleType>
    </xsd:element>
    <xsd:element name="Nature_x0020_of_x0020_the_x0020_document" ma:index="17" ma:displayName="Drafting stage" ma:default="Reporting fiche" ma:format="Dropdown" ma:internalName="Nature_x0020_of_x0020_the_x0020_document">
      <xsd:simpleType>
        <xsd:union memberTypes="dms:Text">
          <xsd:simpleType>
            <xsd:restriction base="dms:Choice">
              <xsd:enumeration value="Reporting fiche"/>
              <xsd:enumeration value="Building blocks"/>
              <xsd:enumeration value="Consolidated version"/>
              <xsd:enumeration value="Consolidated version for ISG comments"/>
              <xsd:enumeration value="Approved version"/>
            </xsd:restriction>
          </xsd:simpleType>
        </xsd:union>
      </xsd:simpleType>
    </xsd:element>
    <xsd:element name="Covered_x0020_in_x0020_CEIR_x0020_draft" ma:index="18" nillable="true" ma:displayName="Covered in CEIR draft" ma:default="0" ma:description="Information on whether information included in this fiche is already reflected in the CEIR drafts" ma:internalName="Covered_x0020_in_x0020_CEIR_x0020_draft">
      <xsd:simpleType>
        <xsd:restriction base="dms:Boolean"/>
      </xsd:simpleType>
    </xsd:element>
    <xsd:element name="Old_x0020_versions" ma:index="19" nillable="true" ma:displayName="Old versions" ma:default="0" ma:internalName="Old_x0020_versions">
      <xsd:simpleType>
        <xsd:restriction base="dms:Boolean"/>
      </xsd:simpleType>
    </xsd:element>
    <xsd:element name="Type_x0020_of_x0020_initiative" ma:index="20" ma:displayName="Type of initiative" ma:format="Dropdown" ma:indexed="true" ma:internalName="Type_x0020_of_x0020_initiative">
      <xsd:simpleType>
        <xsd:restriction base="dms:Choice">
          <xsd:enumeration value="CEAP implementation report"/>
          <xsd:enumeration value="Product policy initiative"/>
          <xsd:enumeration value="Other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03B9AB-561A-485F-8686-5C4BEEFC447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e9ce1a0-0ccf-4233-925b-448ee848baaa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C08C1-23E3-47AC-B4BE-68D7EFD03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25DF7-7CF0-46B5-BD88-C9C0B764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e9ce1a0-0ccf-4233-925b-448ee84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824B6-3696-42B5-BE36-E3847DBC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4073</Words>
  <Characters>30678</Characters>
  <Application>Microsoft Office Word</Application>
  <DocSecurity>0</DocSecurity>
  <Lines>426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cp:lastPrinted>2019-02-20T18:49:00Z</cp:lastPrinted>
  <dcterms:created xsi:type="dcterms:W3CDTF">2019-02-27T16:33:00Z</dcterms:created>
  <dcterms:modified xsi:type="dcterms:W3CDTF">2019-03-01T16:52:00Z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6.0.1, Build 20180503</vt:lpwstr>
  </property>
  <property fmtid="{D5CDD505-2E9C-101B-9397-08002B2CF9AE}" pid="8" name="ContentTypeId">
    <vt:lpwstr>0x010100258AA79CEB83498886A3A086811232500023B3F6E2CB95D548888E4C4F3DE850B1</vt:lpwstr>
  </property>
</Properties>
</file>