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8A80D481-7CF0-4B9B-B23D-10E10A5B89B3"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 I</w:t>
      </w:r>
    </w:p>
    <w:p>
      <w:pPr>
        <w:pStyle w:val="Header"/>
        <w:jc w:val="center"/>
        <w:rPr>
          <w:b/>
          <w:noProof/>
        </w:rPr>
      </w:pPr>
      <w:r>
        <w:rPr>
          <w:noProof/>
        </w:rPr>
        <w:t>Der im Namen der Union im Rahmen des Übereinkommens über die Fischerei im südlichen Indischen Ozean (SIOFA) zu vertretende Standpunkt</w:t>
      </w:r>
    </w:p>
    <w:p>
      <w:pPr>
        <w:pStyle w:val="Heading1"/>
        <w:numPr>
          <w:ilvl w:val="0"/>
          <w:numId w:val="5"/>
        </w:numPr>
        <w:rPr>
          <w:noProof/>
        </w:rPr>
      </w:pPr>
      <w:r>
        <w:rPr>
          <w:noProof/>
        </w:rPr>
        <w:t>GRUNDSÄTZE</w:t>
      </w:r>
    </w:p>
    <w:p>
      <w:pPr>
        <w:rPr>
          <w:noProof/>
        </w:rPr>
      </w:pPr>
      <w:r>
        <w:rPr>
          <w:noProof/>
        </w:rPr>
        <w:t>Im Rahmen des SIOFA wird die Europäische Union</w:t>
      </w:r>
    </w:p>
    <w:p>
      <w:pPr>
        <w:pStyle w:val="Point0"/>
        <w:rPr>
          <w:noProof/>
        </w:rPr>
      </w:pPr>
      <w:r>
        <w:rPr>
          <w:noProof/>
        </w:rPr>
        <w:t xml:space="preserve">a) </w:t>
      </w:r>
      <w:r>
        <w:rPr>
          <w:noProof/>
        </w:rPr>
        <w:tab/>
        <w:t>im Einklang mit den Zielen und Grundsätzen handeln, die sie bei der Gemeinsamen Fischereipolitik verfolgt, insbesondere durch Anwendung des Vorsorgeansatzes und im Einklang mit den Zielsetzungen in Bezug auf den höchstmöglichen Dauerertrag gemäß Artikel 2 Absatz 2 der Verordnung (EU) Nr. 1380/2013, um die Anwendung eines ökosystemorientierten Ansatzes bei der Bestandsbewirtschaftung zu fördern, unerwünschte Beifänge zu vermeiden bzw. weitestmöglich zu verringern und Rückwürfe schrittweise einzustellen, die Auswirkungen der Fischerei auf die marinen Ökosysteme auf ein Mindestmaß zu begrenzen, sowie rentable und wettbewerbsfähige EU-Fischereien zu fördern, um den von der Fischerei Abhängigen einen angemessenen Lebensstandard zu garantieren und den Verbraucherinteressen Rechnung zu tragen;</w:t>
      </w:r>
    </w:p>
    <w:p>
      <w:pPr>
        <w:pStyle w:val="Point0"/>
        <w:rPr>
          <w:noProof/>
        </w:rPr>
      </w:pPr>
      <w:r>
        <w:rPr>
          <w:noProof/>
        </w:rPr>
        <w:t xml:space="preserve">b) </w:t>
      </w:r>
      <w:r>
        <w:rPr>
          <w:noProof/>
        </w:rPr>
        <w:tab/>
        <w:t>auf eine angemessene Einbeziehung der Akteure während der Vorbereitungsphase für Maßnahmen des SIOFA hinarbeiten und sicherstellen, dass Maßnahmen, die im Rahmen des SIOFA erlassen werden, mit den Zielen des SIOF-Übereinkommens übereinstimmen;</w:t>
      </w:r>
    </w:p>
    <w:p>
      <w:pPr>
        <w:pStyle w:val="Point0"/>
        <w:rPr>
          <w:noProof/>
        </w:rPr>
      </w:pPr>
      <w:r>
        <w:rPr>
          <w:noProof/>
        </w:rPr>
        <w:t xml:space="preserve">c) </w:t>
      </w:r>
      <w:r>
        <w:rPr>
          <w:noProof/>
        </w:rPr>
        <w:tab/>
        <w:t>dafür Sorge tragen, dass die Maßnahmen des SIOFA mit dem Völkerrecht und insbesondere den Bestimmungen des UN-Seerechtsübereinkommens aus dem Jahr 1982, des UN-Übereinkommens in Bezug auf die Erhaltung und Bewirtschaftung gebietsübergreifender Bestände und weit wandernder Arten aus dem Jahr 1995 sowie des Übereinkommens zur Förderung der Einhaltung internationaler Erhaltungs- und Bewirtschaftungsmaßnahmen durch Fischereifahrzeuge auf Hoher See aus dem Jahr 1993 sowie mit dem FAO-Übereinkommen über Hafenstaatmaßnahmen aus dem Jahr 2009 vereinbar sind;</w:t>
      </w:r>
    </w:p>
    <w:p>
      <w:pPr>
        <w:pStyle w:val="Point0"/>
        <w:rPr>
          <w:noProof/>
        </w:rPr>
      </w:pPr>
      <w:r>
        <w:rPr>
          <w:noProof/>
        </w:rPr>
        <w:t xml:space="preserve">d) </w:t>
      </w:r>
      <w:r>
        <w:rPr>
          <w:noProof/>
        </w:rPr>
        <w:tab/>
        <w:t>Standpunkte fördern, die mit den bewährten Verfahren der regionalen Fischereiorganisationen (RFO) in demselben Gebiet vereinbar sind;</w:t>
      </w:r>
    </w:p>
    <w:p>
      <w:pPr>
        <w:pStyle w:val="Point0"/>
        <w:rPr>
          <w:noProof/>
          <w:szCs w:val="24"/>
        </w:rPr>
      </w:pPr>
      <w:r>
        <w:rPr>
          <w:noProof/>
        </w:rPr>
        <w:t xml:space="preserve">e) </w:t>
      </w:r>
      <w:r>
        <w:rPr>
          <w:noProof/>
        </w:rPr>
        <w:tab/>
        <w:t>sich um Konsistenz und Synergie mit der Politik bemühen, die die Union als Teil ihrer bilateralen Fischereibeziehungen zu Drittländern verfolgt, und Kohärenz mit ihren anderen Politiken, insbesondere in den Bereichen Außenbeziehungen, Beschäftigung, Umwelt, Handel, Entwicklung, Forschung und Innovation gewährleisten;</w:t>
      </w:r>
    </w:p>
    <w:p>
      <w:pPr>
        <w:pStyle w:val="Point0"/>
        <w:rPr>
          <w:noProof/>
          <w:szCs w:val="24"/>
        </w:rPr>
      </w:pPr>
      <w:r>
        <w:rPr>
          <w:noProof/>
        </w:rPr>
        <w:t>f)</w:t>
      </w:r>
      <w:r>
        <w:rPr>
          <w:noProof/>
        </w:rPr>
        <w:tab/>
        <w:t>dafür Sorge tragen, dass die internationalen Verpflichtungen der Union eingehalten werden;</w:t>
      </w:r>
    </w:p>
    <w:p>
      <w:pPr>
        <w:pStyle w:val="Point0"/>
        <w:rPr>
          <w:noProof/>
          <w:szCs w:val="24"/>
        </w:rPr>
      </w:pPr>
      <w:r>
        <w:rPr>
          <w:noProof/>
        </w:rPr>
        <w:t xml:space="preserve">g) </w:t>
      </w:r>
      <w:r>
        <w:rPr>
          <w:noProof/>
        </w:rPr>
        <w:tab/>
        <w:t>in Einklang mit den Schlussfolgerungen des Rates vom 19. März 2012 zu der Mitteilung der Kommission über die externe Dimension der Gemeinsamen Fischereipolitik</w:t>
      </w:r>
      <w:r>
        <w:rPr>
          <w:rStyle w:val="FootnoteReference"/>
          <w:noProof/>
        </w:rPr>
        <w:footnoteReference w:id="2"/>
      </w:r>
      <w:r>
        <w:rPr>
          <w:noProof/>
        </w:rPr>
        <w:t xml:space="preserve"> verfahren;</w:t>
      </w:r>
    </w:p>
    <w:p>
      <w:pPr>
        <w:pStyle w:val="Point0"/>
        <w:rPr>
          <w:noProof/>
          <w:szCs w:val="24"/>
        </w:rPr>
      </w:pPr>
      <w:r>
        <w:rPr>
          <w:noProof/>
        </w:rPr>
        <w:t xml:space="preserve">h) </w:t>
      </w:r>
      <w:r>
        <w:rPr>
          <w:noProof/>
        </w:rPr>
        <w:tab/>
        <w:t>darauf abzielen, im SIOF-Übereinkommensbereich gleiche Wettbewerbsbedingungen für die Fangflotte der Union zu schaffen, die auf denselben Grundsätzen und Normen beruhen, wie sie nach Unionsrecht gelten, und die einheitliche Anwendung dieser Grundsätze und Normen fördern;</w:t>
      </w:r>
    </w:p>
    <w:p>
      <w:pPr>
        <w:pStyle w:val="Point0"/>
        <w:rPr>
          <w:noProof/>
          <w:szCs w:val="24"/>
        </w:rPr>
      </w:pPr>
      <w:r>
        <w:rPr>
          <w:noProof/>
        </w:rPr>
        <w:t xml:space="preserve">i) </w:t>
      </w:r>
      <w:r>
        <w:rPr>
          <w:noProof/>
        </w:rPr>
        <w:tab/>
        <w:t xml:space="preserve">der Gemeinsamen Mitteilung der Hohen Vertreterin der Union für Außen- und Sicherheitspolitik und der Europäischen Kommission über die </w:t>
      </w:r>
      <w:r>
        <w:rPr>
          <w:i/>
          <w:noProof/>
        </w:rPr>
        <w:t>Internationale Meerespolitik</w:t>
      </w:r>
      <w:r>
        <w:rPr>
          <w:noProof/>
        </w:rPr>
        <w:t>:</w:t>
      </w:r>
      <w:r>
        <w:rPr>
          <w:i/>
          <w:noProof/>
        </w:rPr>
        <w:t xml:space="preserve"> Der Beitrag der EU zum verantwortungsvollen Umgang mit den Weltmeeren</w:t>
      </w:r>
      <w:r>
        <w:rPr>
          <w:rStyle w:val="FootnoteReference"/>
          <w:noProof/>
        </w:rPr>
        <w:footnoteReference w:id="3"/>
      </w:r>
      <w:r>
        <w:rPr>
          <w:noProof/>
        </w:rPr>
        <w:t xml:space="preserve"> sowie den Schlussfolgerungen des Rates zu dieser Gemeinsamen Mitteilung</w:t>
      </w:r>
      <w:r>
        <w:rPr>
          <w:rStyle w:val="FootnoteReference"/>
          <w:noProof/>
        </w:rPr>
        <w:footnoteReference w:id="4"/>
      </w:r>
      <w:r>
        <w:rPr>
          <w:noProof/>
        </w:rPr>
        <w:t xml:space="preserve"> entsprechen und Maßnahmen zur Unterstützung und Verbesserung der Wirksamkeit der SIOFA und ggf. zur Verbesserung ihrer Leitung und Leistung (insbesondere in Bezug auf Wissenschaft, Einhaltung der Vorschriften, Transparenz und Entscheidungsfindung) als Beitrag zur nachhaltigen Bewirtschaftung der Weltmeere in all ihren Dimensionen fördern;</w:t>
      </w:r>
    </w:p>
    <w:p>
      <w:pPr>
        <w:pStyle w:val="Point0"/>
        <w:rPr>
          <w:noProof/>
          <w:szCs w:val="24"/>
        </w:rPr>
      </w:pPr>
      <w:r>
        <w:rPr>
          <w:noProof/>
        </w:rPr>
        <w:t xml:space="preserve">j) </w:t>
      </w:r>
      <w:r>
        <w:rPr>
          <w:noProof/>
        </w:rPr>
        <w:tab/>
        <w:t>die Koordinierung zwischen regionalen Fischereiorganisationen (RFO) und regionalen Meeresübereinkommen sowie gegebenenfalls die Zusammenarbeit mit globalen Organisationen im Rahmen ihres Mandats, sofern zutreffend, fördern;</w:t>
      </w:r>
    </w:p>
    <w:p>
      <w:pPr>
        <w:pStyle w:val="Point0"/>
        <w:rPr>
          <w:noProof/>
          <w:szCs w:val="24"/>
        </w:rPr>
      </w:pPr>
      <w:r>
        <w:rPr>
          <w:noProof/>
        </w:rPr>
        <w:t>k)</w:t>
      </w:r>
      <w:r>
        <w:rPr>
          <w:noProof/>
        </w:rPr>
        <w:tab/>
        <w:t>Kooperationsmechanismen zwischen RFO für andere Bestände als Thunfisch, die dem sogenannten Kobe-Verfahren für RFO für Thunfisch ähneln, fördern.</w:t>
      </w:r>
    </w:p>
    <w:p>
      <w:pPr>
        <w:pStyle w:val="Heading1"/>
        <w:rPr>
          <w:noProof/>
        </w:rPr>
      </w:pPr>
      <w:r>
        <w:rPr>
          <w:noProof/>
        </w:rPr>
        <w:t>ORIENTIERUNGEN</w:t>
      </w:r>
    </w:p>
    <w:p>
      <w:pPr>
        <w:autoSpaceDE w:val="0"/>
        <w:autoSpaceDN w:val="0"/>
        <w:adjustRightInd w:val="0"/>
        <w:spacing w:before="0" w:after="0"/>
        <w:rPr>
          <w:noProof/>
        </w:rPr>
      </w:pPr>
      <w:r>
        <w:rPr>
          <w:noProof/>
        </w:rPr>
        <w:t>Die Union bemüht sich gegebenenfalls, das SIOFA bei der Annahme der folgenden Maßnahmen zu unterstützen:</w:t>
      </w:r>
    </w:p>
    <w:p>
      <w:pPr>
        <w:pStyle w:val="Point0"/>
        <w:rPr>
          <w:noProof/>
        </w:rPr>
      </w:pPr>
      <w:r>
        <w:rPr>
          <w:noProof/>
        </w:rPr>
        <w:t xml:space="preserve">a) </w:t>
      </w:r>
      <w:r>
        <w:rPr>
          <w:noProof/>
        </w:rPr>
        <w:tab/>
        <w:t>Bestandserhaltungs- und Bestandsbewirtschaftungsmaßnahmen im Übereinkommensbereich auf der Grundlage der besten verfügbaren wissenschaftlichen Gutachten, einschließlich zulässiger Gesamtfangmengen (TACs) und Quoten, sowie Maßnahmen zur Regulierung des Fischereiaufwands oder  der Fangkapazität für lebende Meeresschätze, die in den Zuständigkeitsbereich des SIOFA fallen, die die Bestände bis spätestens 2020 auf das Niveau des höchstmöglichen Dauerertrags bringen bzw. sie dort halten. Bei überfischten Beständen sollten erforderlichenfalls spezifische Maßnahmen ins Auge gefasst werden, um dafür zu sorgen, dass sich der fischereiliche Druck mit den verfügbaren Fangmöglichkeiten vereinbaren lässt;</w:t>
      </w:r>
    </w:p>
    <w:p>
      <w:pPr>
        <w:pStyle w:val="Point0"/>
        <w:rPr>
          <w:noProof/>
        </w:rPr>
      </w:pPr>
      <w:r>
        <w:rPr>
          <w:noProof/>
        </w:rPr>
        <w:t xml:space="preserve">b) </w:t>
      </w:r>
      <w:r>
        <w:rPr>
          <w:noProof/>
        </w:rPr>
        <w:tab/>
        <w:t xml:space="preserve">Maßnahmen zur Verhinderung, Bekämpfung und Unterbindung der </w:t>
      </w:r>
      <w:r>
        <w:rPr>
          <w:noProof/>
          <w:sz w:val="23"/>
        </w:rPr>
        <w:t>illegalen, ungemeldeten und unregulierten Fischerei</w:t>
      </w:r>
      <w:r>
        <w:rPr>
          <w:noProof/>
        </w:rPr>
        <w:t xml:space="preserve"> (IUU) im SIOF-Übereinkommensbereich, einschließlich der Führung von Schiffen auf IUU-Listen;</w:t>
      </w:r>
    </w:p>
    <w:p>
      <w:pPr>
        <w:pStyle w:val="Point0"/>
        <w:rPr>
          <w:noProof/>
        </w:rPr>
      </w:pPr>
      <w:r>
        <w:rPr>
          <w:noProof/>
        </w:rPr>
        <w:t xml:space="preserve">c) </w:t>
      </w:r>
      <w:r>
        <w:rPr>
          <w:noProof/>
        </w:rPr>
        <w:tab/>
        <w:t>Überwachungs-, Kontroll- und Aufsichtsmaßnahmen im SIOF-Übereinkommensbereich, um die Wirksamkeit der Kontrollen und die Befolgung der SIOFA-Maßnahmen zu gewährleisten;</w:t>
      </w:r>
    </w:p>
    <w:p>
      <w:pPr>
        <w:pStyle w:val="Point0"/>
        <w:rPr>
          <w:noProof/>
        </w:rPr>
      </w:pPr>
      <w:r>
        <w:rPr>
          <w:noProof/>
        </w:rPr>
        <w:t xml:space="preserve">d) </w:t>
      </w:r>
      <w:r>
        <w:rPr>
          <w:noProof/>
        </w:rPr>
        <w:tab/>
        <w:t>Maßnahmen zur Minimierung der negativen Auswirkungen der Fangtätigkeiten auf die Biodiversität der Meere, auf die Meeresökosysteme und auf die Lebensräume, einschließlich Maßnahmen zur Verringerung der Meeresverschmutzung und zur Vermeidung des Ausbringens von Kunststoffen auf See und zur Verringerung der Auswirkungen von auf See vorhandenen Kunststoffen auf die biologische Vielfalt und die Ökosysteme, Schutzmaßnahmen für gefährdete Meeresökosysteme im SIOF-Übereinkommensbereich im Einklang mit dem SIOF-Übereinkommen und den Internationalen Leitlinien der Ernährungs- und Landwirtschaftsorganisation der Vereinten Nationen für die Bewirtschaftung der Tiefseefischerei auf Hoher See sowie Maßnahmen zur Vermeidung und weitestgehenden Verringerung unerwünschter Fänge, insbesondere gefährdeter Meeresarten, und zur schrittweisen Einstellung von Rückwürfen;</w:t>
      </w:r>
    </w:p>
    <w:p>
      <w:pPr>
        <w:pStyle w:val="Point0"/>
        <w:rPr>
          <w:noProof/>
        </w:rPr>
      </w:pPr>
      <w:r>
        <w:rPr>
          <w:noProof/>
        </w:rPr>
        <w:t>e)</w:t>
      </w:r>
      <w:r>
        <w:rPr>
          <w:noProof/>
        </w:rPr>
        <w:tab/>
        <w:t>Maßnahmen zur Verringerung der Auswirkungen von aufgegebenem, verlorenem oder anderweitig entsorgtem Fanggerät im Ozean und zur Erleichterung der Identifizierung und Bergung solcher Fanggeräte;</w:t>
      </w:r>
    </w:p>
    <w:p>
      <w:pPr>
        <w:pStyle w:val="Point0"/>
        <w:rPr>
          <w:noProof/>
        </w:rPr>
      </w:pPr>
      <w:r>
        <w:rPr>
          <w:noProof/>
        </w:rPr>
        <w:t xml:space="preserve">f) </w:t>
      </w:r>
      <w:r>
        <w:rPr>
          <w:noProof/>
        </w:rPr>
        <w:tab/>
        <w:t>Maßnahmen, die ein Verbot der ausschließlich auf die Ernte von Haifischflossen gerichteten Fischerei zum Ziel haben und verlangen, dass alle Haie mit allen, unversehrten Flossen am Körper angelandet werden;</w:t>
      </w:r>
    </w:p>
    <w:p>
      <w:pPr>
        <w:pStyle w:val="Point0"/>
        <w:rPr>
          <w:noProof/>
        </w:rPr>
      </w:pPr>
      <w:r>
        <w:rPr>
          <w:noProof/>
        </w:rPr>
        <w:t>g)</w:t>
      </w:r>
      <w:r>
        <w:rPr>
          <w:noProof/>
        </w:rPr>
        <w:tab/>
        <w:t>gemeinsame Ansätze mit anderen RFO, gegebenenfalls insbesondere denjenigen, die an der Bestandsbewirtschaftung in derselben Region beteiligt sind;</w:t>
      </w:r>
    </w:p>
    <w:p>
      <w:pPr>
        <w:pStyle w:val="Point0"/>
        <w:rPr>
          <w:noProof/>
        </w:rPr>
      </w:pPr>
      <w:r>
        <w:rPr>
          <w:noProof/>
        </w:rPr>
        <w:t xml:space="preserve">h) </w:t>
      </w:r>
      <w:r>
        <w:rPr>
          <w:noProof/>
        </w:rPr>
        <w:tab/>
        <w:t>ggf. Empfehlungen, soweit dies nach den einschlägigen Satzungen zulässig ist, die die Umsetzung des Übereinkommens der Internationalen Arbeitsorganisation (IAO) über die Arbeit im Fischereisektor fördern;</w:t>
      </w:r>
    </w:p>
    <w:p>
      <w:pPr>
        <w:pStyle w:val="Point0"/>
        <w:rPr>
          <w:noProof/>
        </w:rPr>
      </w:pPr>
      <w:r>
        <w:rPr>
          <w:noProof/>
        </w:rPr>
        <w:t xml:space="preserve">i) </w:t>
      </w:r>
      <w:r>
        <w:rPr>
          <w:noProof/>
        </w:rPr>
        <w:tab/>
        <w:t xml:space="preserve">zusätzliche technische Maßnahmen auf der Grundlage von Gutachten der nachgeordneten Gremien und Arbeitsgruppen des SIOFA.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ANHANG II</w:t>
      </w:r>
    </w:p>
    <w:p>
      <w:pPr>
        <w:jc w:val="center"/>
        <w:rPr>
          <w:rFonts w:eastAsia="Calibri"/>
          <w:b/>
          <w:noProof/>
          <w:szCs w:val="20"/>
          <w:u w:val="single"/>
        </w:rPr>
      </w:pPr>
      <w:r>
        <w:rPr>
          <w:b/>
          <w:noProof/>
          <w:u w:val="single"/>
        </w:rPr>
        <w:t>Jährliche Festlegung des von der Union in den Sitzungen</w:t>
      </w:r>
    </w:p>
    <w:p>
      <w:pPr>
        <w:jc w:val="center"/>
        <w:rPr>
          <w:rFonts w:eastAsia="Calibri"/>
          <w:b/>
          <w:noProof/>
          <w:szCs w:val="20"/>
          <w:u w:val="single"/>
        </w:rPr>
      </w:pPr>
      <w:r>
        <w:rPr>
          <w:b/>
          <w:noProof/>
          <w:u w:val="single"/>
        </w:rPr>
        <w:t xml:space="preserve">im Rahmen des Übereinkommens über die Fischerei im südlichen Indischen Ozean zu vertretenden Standpunkts </w:t>
      </w:r>
    </w:p>
    <w:p>
      <w:pPr>
        <w:jc w:val="center"/>
        <w:rPr>
          <w:rFonts w:eastAsia="Calibri"/>
          <w:b/>
          <w:i/>
          <w:strike/>
          <w:noProof/>
          <w:szCs w:val="20"/>
          <w:u w:val="single"/>
        </w:rPr>
      </w:pPr>
    </w:p>
    <w:p>
      <w:pPr>
        <w:rPr>
          <w:rFonts w:eastAsia="Calibri"/>
          <w:noProof/>
          <w:szCs w:val="20"/>
        </w:rPr>
      </w:pPr>
      <w:r>
        <w:rPr>
          <w:noProof/>
        </w:rPr>
        <w:t>Vor jeder Sitzung der Versammlung der Vertragsparteien, wenn dieses Gremium rechtswirksame Beschlüsse mit Auswirkungen für die Union erlassen soll, wird dafür Sorge getragen, dass der im Namen der Union zu vertretende Standpunkt den neuesten wissenschaftlichen und anderen einschlägigen Informationen, die der Kommission übermittelt werden, gemäß den in Anhang I niedergelegten Grundsätzen und Leitlinien Rechnung trägt.</w:t>
      </w:r>
    </w:p>
    <w:p>
      <w:pPr>
        <w:rPr>
          <w:rFonts w:eastAsia="Calibri"/>
          <w:noProof/>
          <w:szCs w:val="20"/>
        </w:rPr>
      </w:pPr>
      <w:r>
        <w:rPr>
          <w:noProof/>
        </w:rPr>
        <w:t>Zu diesem Zweck übermittelt die Kommission aufgrund dieser Informationen dem Rat oder seinen Vorbereitungsgremien rechtzeitig vor jeder Sitzung der Versammlung des SIOFA ein schriftliches Dokument mit den Einzelheiten der vorgeschlagenen Festlegung des Standpunkts der Union, anhand dessen die Einzelheiten des im Namen der Union einzunehmenden Standpunkts erörtert und gebilligt werden sollen.</w:t>
      </w:r>
    </w:p>
    <w:p>
      <w:pPr>
        <w:rPr>
          <w:rFonts w:eastAsia="Calibri"/>
          <w:noProof/>
          <w:szCs w:val="20"/>
        </w:rPr>
      </w:pPr>
      <w:r>
        <w:rPr>
          <w:noProof/>
        </w:rPr>
        <w:t>Sollte in einer Sitzung der Versammlung der Vertragsparteien, auch vor Ort, keine Einigung dahin gehend erzielt werden können, dass der Standpunkt der Union neuen Elementen Rechnung trägt, so wird die Angelegenheit an den Rat oder seine Vorbereitungsgremien verwiesen.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US"/>
        </w:rPr>
      </w:pPr>
      <w:r>
        <w:rPr>
          <w:rStyle w:val="FootnoteReference"/>
        </w:rPr>
        <w:footnoteRef/>
      </w:r>
      <w:r>
        <w:tab/>
        <w:t xml:space="preserve">7087/12 REV 1 ADD 1 COR 1. </w:t>
      </w:r>
    </w:p>
  </w:footnote>
  <w:footnote w:id="3">
    <w:p>
      <w:pPr>
        <w:pStyle w:val="FootnoteText"/>
      </w:pPr>
      <w:r>
        <w:rPr>
          <w:rStyle w:val="FootnoteReference"/>
        </w:rPr>
        <w:footnoteRef/>
      </w:r>
      <w:r>
        <w:tab/>
        <w:t>JOIN(2016) 49 final vom 10.11.2016.</w:t>
      </w:r>
    </w:p>
  </w:footnote>
  <w:footnote w:id="4">
    <w:p>
      <w:pPr>
        <w:pStyle w:val="FootnoteText"/>
        <w:rPr>
          <w:lang w:val="en-US"/>
        </w:rPr>
      </w:pPr>
      <w:r>
        <w:rPr>
          <w:rStyle w:val="FootnoteReference"/>
        </w:rPr>
        <w:footnoteRef/>
      </w:r>
      <w:r>
        <w:tab/>
        <w:t>7348/1/17 REV 1 vom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88E7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F883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9AF4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4C6182"/>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6 11:30: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ACCOMPAGNANT" w:val="des"/>
    <w:docVar w:name="LW_ACCOMPAGNANT.CP" w:val="des"/>
    <w:docVar w:name="LW_ANNEX_NBR_FIRST" w:val="1"/>
    <w:docVar w:name="LW_ANNEX_NBR_LAST" w:val="2"/>
    <w:docVar w:name="LW_ANNEX_UNIQUE" w:val="0"/>
    <w:docVar w:name="LW_CORRIGENDUM" w:val="&lt;UNUSED&gt;"/>
    <w:docVar w:name="LW_COVERPAGE_EXISTS" w:val="True"/>
    <w:docVar w:name="LW_COVERPAGE_GUID" w:val="8A80D481-7CF0-4B9B-B23D-10E10A5B89B3"/>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üssel, den "/>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im Namen der Europäischen Union in der Versammlung der Vertragsparteien des Übereinkommens über die Fischerei im südlichen Indischen Ozean zu vertretenden Standpunkt und zur Aufhebung des Beschlusses 9767/17"/>
    <w:docVar w:name="LW_OBJETACTEPRINCIPAL.CP" w:val="über den im Namen der Europäischen Union in der Versammlung der Vertragsparteien des Übereinkommens über die Fischerei im südlichen Indischen Ozean zu vertretenden Standpunkt und zur Aufhebung des Beschlusses 9767/17"/>
    <w:docVar w:name="LW_PART_NBR" w:val="&lt;UNUSED&gt;"/>
    <w:docVar w:name="LW_PART_NBR_TOTAL" w:val="&lt;UNUSED&gt;"/>
    <w:docVar w:name="LW_REF.INST.NEW" w:val="COM"/>
    <w:docVar w:name="LW_REF.INST.NEW_ADOPTED" w:val="final"/>
    <w:docVar w:name="LW_REF.INST.NEW_TEXT" w:val="(2019)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ÄNGE"/>
    <w:docVar w:name="LW_TYPE.DOC.CP" w:val="ANHÄNGE"/>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de-D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de-DE"/>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1022</Words>
  <Characters>7056</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2019-02-26T10:30:00Z</dcterms:created>
  <dcterms:modified xsi:type="dcterms:W3CDTF">2019-03-01T14:00:00Z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Yellow (DQC version 03)</vt:lpwstr>
  </property>
</Properties>
</file>