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614071D-DFF5-4BC0-AE06-D41FB277D87E" style="width:450.35pt;height:352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Il-proposta tikkonċerna Deċiżjoni li tistabbilixxi l-pożizzjoni li għandha tittieħed f’isem l-Unjoni f’laqgħat tal-Organizzazzjoni tas-Sajd fl-Atlantiku tal-Majjistral (NAFO) għall-perjodu ta’ bejn l-2019 u l-2023 b’rabta mal-adozzjoni prevista ta’ miżuri ta’ konservazzjoni u ġestjoni.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dwar il-Kooperazzjoni dwar is-Sajd fl-Atlantiku tal-Majjistral</w:t>
      </w:r>
    </w:p>
    <w:p>
      <w:pPr>
        <w:rPr>
          <w:noProof/>
        </w:rPr>
      </w:pPr>
      <w:r>
        <w:rPr>
          <w:noProof/>
        </w:rPr>
        <w:t xml:space="preserve">Il-Konvenzjoni dwar il-Kooperazzjoni dwar is-Sajd fl-Atlantiku tal-Majjistral (il-Konvenzjoni NAFO) timmira li, billi tistabbilixxi n-NAFO, tikkontribwixxi, permezz ta’ konsultazzjoni u kooperazzjoni, għall-aħjar użu, għal ġestjoni razzjonali u għall-konservazzjoni tar-riżorsi tas-sajd taż-żona tal-Konvenzjoni NAFO (iż-żona regolatorja). Il-Konvenzjoni daħlet fis-seħħ fl-1 ta’ Jannar 1979 u ġiet emendata erba’ darbiet. </w:t>
      </w:r>
    </w:p>
    <w:p>
      <w:pPr>
        <w:rPr>
          <w:noProof/>
        </w:rPr>
      </w:pPr>
      <w:r>
        <w:rPr>
          <w:noProof/>
        </w:rPr>
        <w:t>Ir-raba’ emenda, li daħlet fis-seħħ fit-18 ta’ Mejju 2017, ġiet imfassla biex timmodernizza n-NAFO, b’mod partikolari billi:</w:t>
      </w:r>
    </w:p>
    <w:p>
      <w:pPr>
        <w:pStyle w:val="Tiret0"/>
        <w:numPr>
          <w:ilvl w:val="0"/>
          <w:numId w:val="26"/>
        </w:numPr>
        <w:rPr>
          <w:noProof/>
        </w:rPr>
      </w:pPr>
      <w:r>
        <w:rPr>
          <w:noProof/>
        </w:rPr>
        <w:t>tinkorpora approċċ ibbażat fuq l-ekosistema għall-ġestjoni tas-sajd;</w:t>
      </w:r>
    </w:p>
    <w:p>
      <w:pPr>
        <w:pStyle w:val="Tiret0"/>
        <w:rPr>
          <w:noProof/>
        </w:rPr>
      </w:pPr>
      <w:r>
        <w:rPr>
          <w:noProof/>
        </w:rPr>
        <w:t>tissimplifika l-proċess tat-teħid tad-deċiżjonijiet tan-NAFO;</w:t>
      </w:r>
    </w:p>
    <w:p>
      <w:pPr>
        <w:pStyle w:val="Tiret0"/>
        <w:rPr>
          <w:noProof/>
        </w:rPr>
      </w:pPr>
      <w:r>
        <w:rPr>
          <w:noProof/>
        </w:rPr>
        <w:t xml:space="preserve">issaħħaħ l-obbligi tal-partijiet kontraenti, tal-Istati tal-bandiera u tal-Istati tal-port; kif ukoll </w:t>
      </w:r>
    </w:p>
    <w:p>
      <w:pPr>
        <w:pStyle w:val="Tiret0"/>
        <w:rPr>
          <w:noProof/>
        </w:rPr>
      </w:pPr>
      <w:r>
        <w:rPr>
          <w:noProof/>
        </w:rPr>
        <w:t>li tistabbilixxi mekkaniżmu formali għas-soluzzjoni tat-tilwim.</w:t>
      </w:r>
    </w:p>
    <w:p>
      <w:pPr>
        <w:rPr>
          <w:noProof/>
        </w:rPr>
      </w:pPr>
      <w:r>
        <w:rPr>
          <w:noProof/>
        </w:rPr>
        <w:t>L-Unjoni hija parti mill-Konvenzjoni NAFO, billi approvatha skont ir-Regolament (KEE) Nru 3179/78</w:t>
      </w:r>
      <w:r>
        <w:rPr>
          <w:rStyle w:val="FootnoteReference"/>
          <w:noProof/>
        </w:rPr>
        <w:footnoteReference w:id="1"/>
      </w:r>
      <w:r>
        <w:rPr>
          <w:noProof/>
        </w:rPr>
        <w:t>. Hija rratifikat ir-raba’ emenda tal-Konvenzjoni permezz tad-Deċiżjoni tal-Kunsill 2010/717/UE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Il-Kummissjoni tal-Organizzazzjoni tas-Sajd fl-Atlantiku tal-Majjistral</w:t>
      </w:r>
    </w:p>
    <w:p>
      <w:pPr>
        <w:rPr>
          <w:noProof/>
        </w:rPr>
      </w:pPr>
      <w:r>
        <w:rPr>
          <w:noProof/>
        </w:rPr>
        <w:t>Il-Kummissjoni tal-Organizzazzjoni tas-Sajd fl-Atlantiku tal-Majjistral (il-Kummissjoni tan-NAFO) hija l-korp stabbilit mill-Konvenzjoni tan-NAFO biex ikun responsabbli għall-ġestjoni u għall-konservazzjoni tar-riżorsi tas-sajd fiż-żona regolatorja. Hija tadotta miżuri ta’ konservazzjoni u ta’ infurzar biex tikseb l-aħjar użu tar-riżorsi tas-sajd fil-kamp ta’ responsabbiltà tagħha.</w:t>
      </w:r>
    </w:p>
    <w:p>
      <w:pPr>
        <w:rPr>
          <w:rFonts w:eastAsia="Arial Unicode MS"/>
          <w:noProof/>
        </w:rPr>
      </w:pPr>
      <w:r>
        <w:rPr>
          <w:noProof/>
        </w:rPr>
        <w:t>Bħala membru tal-Kummissjoni tan-NAFO, l-Unjoni għandha drittijiet ta’ parteċipazzjoni u votazzjoni. Il-Kummissjoni tan-NAFO tieħu d-deċiżjonijiet tagħha b’kunsens.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Deċiżjonijiet tan-NAFO</w:t>
      </w:r>
    </w:p>
    <w:p>
      <w:pPr>
        <w:rPr>
          <w:rFonts w:eastAsia="Arial Unicode MS"/>
          <w:noProof/>
        </w:rPr>
      </w:pPr>
      <w:r>
        <w:rPr>
          <w:noProof/>
        </w:rPr>
        <w:t>Il-Kummissjoni tan-NAFO għandha l-awtorità li tadotta miżuri ta’ konservazzjoni u ta’ infurzar għas-sajd fil-kamp ta’ responsabbiltà tagħha u dawn huma vinkolanti fuq il-partijiet kontraenti.</w:t>
      </w:r>
    </w:p>
    <w:p>
      <w:pPr>
        <w:rPr>
          <w:noProof/>
        </w:rPr>
      </w:pPr>
      <w:r>
        <w:rPr>
          <w:noProof/>
        </w:rPr>
        <w:lastRenderedPageBreak/>
        <w:t>Skont l-Artikolu XIV.1 tal-Konvenzjoni NAFO, il-miżuri jidħlu fis-seħħ 60 jum wara d-data li fiha l-partijiet kontraenti jiġu notifikati bihom min-NAFO. Kwalunkwe parti kontraenti li tippreżenta oġġezzjoni għal miżura fi żmien 60 jum minn mindu tiġi nnotifikata ma tintrabatx bil-miżura.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rFonts w:eastAsia="Times New Roman"/>
          <w:noProof/>
        </w:rPr>
      </w:pPr>
      <w:r>
        <w:rPr>
          <w:noProof/>
        </w:rPr>
        <w:t>Il-pożizzjoni li għandha tiġi adottata f’isem l-Unjoni fil-laqgħat annwali tal-organizzazzjonijiet tal-ġestjoni tas-sajd reġjonali (RFMOs) bħalissa hija stabbilita permezz ta’ approċċ b’żewġ saffi. Deċiżjoni tal-Kunsill tistabbilixxi l-prinċipji gwida u l-orjentazzjonijiet tal-pożizzjoni tal-Unjoni fuq bażi pluriannwali u tiġi sussegwentement aġġustata għal kull laqgħa annwali mid-dokumenti informali tal-Kummissjoni li għandhom jiġu diskussi fil-Grupp ta’ Ħidma tal-Kunsill.</w:t>
      </w:r>
    </w:p>
    <w:p>
      <w:pPr>
        <w:rPr>
          <w:rFonts w:eastAsia="Times New Roman"/>
          <w:noProof/>
        </w:rPr>
      </w:pPr>
      <w:r>
        <w:rPr>
          <w:noProof/>
        </w:rPr>
        <w:t>Għan-NAFO, dan l-approċċ huwa implimentat mid-Deċiżjoni tal-Kunsill 9449/1/14 REV 1 tad-19 ta’ Mejju 2014, li tistabbilixxi l-pożizzjoni tal-Unjoni fin-NAFO għall-perjodu ta’ bejn l-2014 u l-2018. Id-Deċiżjoni fiha l-prinċipji u l-orjentazzjonijiet ġenerali, iżda tqis ukoll sa fejn possibbli l-ispeċifiċitajiet tan-NAFO. Barra minn hekk, tistipula l-proċess standard għall-istabbiliment tal-pożizzjoni tal-Unjoni sena sena, kif mitlub mill-Istati Membri.</w:t>
      </w:r>
    </w:p>
    <w:p>
      <w:pPr>
        <w:rPr>
          <w:rFonts w:eastAsia="Times New Roman"/>
          <w:noProof/>
        </w:rPr>
      </w:pPr>
      <w:r>
        <w:rPr>
          <w:noProof/>
        </w:rPr>
        <w:t>Id-Deċiżjoni 9449/1/14 REV 1 tipprevedi għal rieżami tal-pożizzjoni tal-Unjoni qabel il-laqgħa annwali tal-2019. Għalhekk, din il-proposta tistabbilixxi l-pożizzjoni tal-Unjoni fin-NAFO għall-perjodu ta’ bejn l-2019 u l-2023, u b’hekk tissostitwixxi d-Deċiżjoni 9449/1/14 REV 1.</w:t>
      </w:r>
    </w:p>
    <w:p>
      <w:pPr>
        <w:rPr>
          <w:rFonts w:eastAsia="Times New Roman"/>
          <w:noProof/>
        </w:rPr>
      </w:pPr>
      <w:r>
        <w:rPr>
          <w:noProof/>
        </w:rPr>
        <w:t>Id-Deċiżjoni 9449/1/14 REV 1 inkorporat il-prinċipji u l-orjentazzjonijiet tal-politika komuni tas-sajd (CFP) il-ġdida, kif stipulat fir-Regolament (UE) Nru 1380/2013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, barra milli tqis l-objettivi stabbiliti fil-Komunikazzjoni tal-Kummissjoni dwar id-dimensjoni esterna tas-CFP</w:t>
      </w:r>
      <w:r>
        <w:rPr>
          <w:rStyle w:val="FootnoteReference"/>
          <w:noProof/>
        </w:rPr>
        <w:footnoteReference w:id="4"/>
      </w:r>
      <w:r>
        <w:rPr>
          <w:noProof/>
        </w:rPr>
        <w:t>. Barra minn hekk, hija aġġustat il-pożizzjoni tal-Unjoni għat-Trattat ta’ Lisbona.</w:t>
      </w:r>
    </w:p>
    <w:p>
      <w:pPr>
        <w:rPr>
          <w:noProof/>
        </w:rPr>
      </w:pPr>
      <w:r>
        <w:rPr>
          <w:noProof/>
        </w:rPr>
        <w:t>Ir-reviżjoni attwali tqis, b’rabta mal-impatti tas-sajd, il-Komunikazzjoni mill-Kummissjoni lill-Parlament Ewropew, lill-Kunsill, lill-Kumitat Ekonomiku u Soċjali Ewropew u lill-Kumitat tar-Reġjuni dwar Strateġija Ewropea għall-plastiks f’ekonomija ċirkolari</w:t>
      </w:r>
      <w:r>
        <w:rPr>
          <w:rStyle w:val="FootnoteReference"/>
          <w:noProof/>
        </w:rPr>
        <w:footnoteReference w:id="5"/>
      </w:r>
      <w:r>
        <w:rPr>
          <w:noProof/>
        </w:rPr>
        <w:t>, il-Komunikazzjoni Konġunta mir-Rappreżentant tal-Unjoni għall-Affarijiet Barranin u l-Politika ta’ Sigurtà u l-Kummissjoni dwar Il-Governanza Internazzjonali tal-oċeani:</w:t>
      </w:r>
      <w:r>
        <w:rPr>
          <w:i/>
          <w:noProof/>
        </w:rPr>
        <w:t xml:space="preserve"> </w:t>
      </w:r>
      <w:r>
        <w:rPr>
          <w:noProof/>
        </w:rPr>
        <w:t>aġenda għall-futur tal-oċeani tagħna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l-konklużjonijiet tal-Kunsill dwar dik il-Komunikazzjoni Konġunta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 xml:space="preserve">L-Artikolu 218(9) tat-Trattat dwar il-Funzjonament tal-Unjoni Ewropea (TFUE) jipprevedi deċiżjonijiet li jistabbilixxu “l-pożizzjonijiet li għandhom jiġu adottati f’isem l-Unjoni f’sede </w:t>
      </w:r>
      <w:r>
        <w:rPr>
          <w:noProof/>
        </w:rPr>
        <w:lastRenderedPageBreak/>
        <w:t>stabbilita fi ftehim, meta dik is-sede tintalab tadotta atti li jkollhom effetti legali, sakemm dawn ma jkunux atti li jissupplimentaw jew jemendaw il-qafas istituzzjonali tal-ftehim.”</w:t>
      </w:r>
    </w:p>
    <w:p>
      <w:pPr>
        <w:rPr>
          <w:noProof/>
        </w:rPr>
      </w:pPr>
      <w:r>
        <w:rPr>
          <w:noProof/>
        </w:rPr>
        <w:t>“Atti li jkollhom effetti legali” jinkludu atti li għandhom effetti legali permezz tar-regoli tal-liġi internazzjonali li tirregola l-korp inkwistjoni, u strumenti li ma għandhomx effett vinkolanti taħt il-liġi internazzjonali, iżda “jistgħu jinfluwenzaw b’mod determinanti l-kontenut tal-leġiżlazzjoni adottata mil-leġiżlatur tal-Unjoni”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għall-kawża preżenti</w:t>
      </w:r>
    </w:p>
    <w:p>
      <w:pPr>
        <w:rPr>
          <w:noProof/>
        </w:rPr>
      </w:pPr>
      <w:r>
        <w:rPr>
          <w:noProof/>
        </w:rPr>
        <w:t>Il-Kummissjoni tan-NAFO hija korp stabbilit permezz ta’ ftehim, jiġifieri l-Konvenzjoni NAFO.</w:t>
      </w:r>
    </w:p>
    <w:p>
      <w:pPr>
        <w:rPr>
          <w:noProof/>
        </w:rPr>
      </w:pPr>
      <w:r>
        <w:rPr>
          <w:noProof/>
        </w:rPr>
        <w:t>L-atti li l-Kummissjoni tan-NAFO hija mitluba tadotta jikkostitwixxu atti li għandhom effetti legali. L-atti previsti għandhom ikunu vinkolanti skont il-liġi internazzjonali skont l-Artikolu XIV tal-Konvenzjoni NAFO u huma kapaċi jinfluwenza b’mod deċiżiv il-kontenut tal-leġiżlazzjoni tal-UE, inkluż:</w:t>
      </w:r>
    </w:p>
    <w:p>
      <w:pPr>
        <w:pStyle w:val="Bullet0"/>
        <w:numPr>
          <w:ilvl w:val="0"/>
          <w:numId w:val="27"/>
        </w:numPr>
        <w:rPr>
          <w:noProof/>
        </w:rPr>
      </w:pPr>
      <w:r>
        <w:rPr>
          <w:noProof/>
        </w:rPr>
        <w:t>Ir-Regolament tal-Kunsill (KE) Nru 1005/2008 li jistabbilixxi sistema Komunitarja li tipprevjeni, tiskoraġġixxi u telimina s-sajd illegali, mhux irrappurtat u mhux irregolat (IUU)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Ir-Regolament tal-Kunsill (KE) Nru 1224/2009 li jistabbilixxi sistema Komunitarja ta’ kontroll għall-iżgurar tal-konformità mar-regoli tal-Politika Komuni tas-Sajd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; kif ukoll </w:t>
      </w:r>
    </w:p>
    <w:p>
      <w:pPr>
        <w:pStyle w:val="Bullet0"/>
        <w:rPr>
          <w:noProof/>
        </w:rPr>
      </w:pPr>
      <w:r>
        <w:rPr>
          <w:noProof/>
        </w:rPr>
        <w:t>Ir-Regolament tal-Kunsill (UE) Nru 2017/2403 tal-Parlament Ewropew u tal-Kunsill tat-12 ta’ Diċembru 2017 dwar il-ġestjoni sostenibbli ta’ flotot tas-sajd esterni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L-atti previsti la jissupplimentaw u lanqas ma jemendaw il-qafas istituzzjonali tal-Konvenzjoni NAFO.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hija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primarjament fuq l-objettiv u l-kontenut tal-att previst li fir-rigward ta’ tiegħu tittieħed pożizzjoni f’isem l-Unjoni. Jekk dak l-att isegwi żewġ għanijiet jew ikollu żewġ komponenti, u jekk waħda minn dawn l-għanijiet jew il-komponenti tkun identifikabbli bħala l-att ewlieni, filwaqt li l-oħra tkun sempliċiment inċidentali, id-Deċiżjoni skont l-Artikolu 218(9) tat-TFUE trid tiġi bbażata fuq bażi ġuridika sostantiva unika, jiġifieri dik li jirrikjedi l-għan jew il-komponent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għall-kawża preżenti</w:t>
      </w:r>
    </w:p>
    <w:p>
      <w:pPr>
        <w:rPr>
          <w:noProof/>
        </w:rPr>
      </w:pPr>
      <w:r>
        <w:rPr>
          <w:noProof/>
        </w:rPr>
        <w:t>L-objettiv ewlieni u l-kontenut tal-att previst jikkonċernaw is-sajd. Ir-Regolament (UE) Nru 1380/2013 huwa l-bażi ġuridika li tistabbilixxi l-prinċipji li din il-pożizzjoni għandha tirrifletti.</w:t>
      </w:r>
    </w:p>
    <w:p>
      <w:pPr>
        <w:rPr>
          <w:noProof/>
        </w:rPr>
      </w:pPr>
      <w:r>
        <w:rPr>
          <w:noProof/>
        </w:rPr>
        <w:lastRenderedPageBreak/>
        <w:t>Għaldaqstant, il-bażi ġuridika sostantiva tad-Deċiżjoni proposta hija l-Artikolu 43(2) tat-TFUE. Id-Deċiżjoni għandha tissostitwixxi d-Deċiżjoni 9449/1/14 REV 1, li tkopri l-perjodu bejn l-2014 u l-2018.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li tkun l-Artikolu 43(2) tat-TFUE</w:t>
      </w:r>
      <w:r>
        <w:t>,</w:t>
      </w:r>
      <w:r>
        <w:rPr>
          <w:noProof/>
        </w:rPr>
        <w:t xml:space="preserve"> flimkien mal-Artikolu 218(9) tat-TFUE.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2019/0051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fl-Organizzazzjoni tas-Sajd fil-Majjistral tal-Atlantiku u li tħassar id-Deċiżjoni 9449/1/14 REV 1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43(2)</w:t>
      </w:r>
      <w:r>
        <w:t xml:space="preserve">, </w:t>
      </w:r>
      <w:r>
        <w:rPr>
          <w:noProof/>
        </w:rPr>
        <w:t>flimkien mal-Artikolu 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rFonts w:eastAsia="Times New Roman"/>
          <w:noProof/>
          <w:szCs w:val="20"/>
        </w:rPr>
      </w:pPr>
      <w:r>
        <w:t>(1)</w:t>
      </w:r>
      <w:r>
        <w:tab/>
      </w:r>
      <w:r>
        <w:rPr>
          <w:noProof/>
        </w:rPr>
        <w:t>Bir-Regolament (KEE) Nru 3179/78</w:t>
      </w:r>
      <w:r>
        <w:rPr>
          <w:rStyle w:val="FootnoteReference"/>
          <w:noProof/>
        </w:rPr>
        <w:footnoteReference w:id="12"/>
      </w:r>
      <w:r>
        <w:rPr>
          <w:noProof/>
        </w:rPr>
        <w:t>, l-Unjoni Ewropea kkonkludiet il-Konvenzjoni dwar il-Kooperazzjoni fis-Sajd tal-Atlantiku tal-Majjistral (il-Konvenzjoni NAFO), li stabbilixxiet l-Organizzazzjoni tas-Sajd fl-Atlantiku tal-Majjistral (NAFO). Skont id-Deċiżjoni tal-Kunsill 2010/717/UE tat-8 ta’ Novembru 2010</w:t>
      </w:r>
      <w:r>
        <w:rPr>
          <w:rStyle w:val="FootnoteReference"/>
          <w:noProof/>
        </w:rPr>
        <w:footnoteReference w:id="13"/>
      </w:r>
      <w:r>
        <w:rPr>
          <w:noProof/>
        </w:rPr>
        <w:t>, l-Unjoni kkonkludiet ir-raba’ emenda għall-Konvenzjoni tan-NAFO li stabbilixxet il-Kummissjoni tal-Organizzazzjoni tas-Sajd fl-Atlantiku tal-Majjistral (il-Kummissjoni tan-NAFO).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Il-Kummissjoni tan-NAFO hija responsabbli mill-adozzjoni ta’ miżuri mfassla biex tiġi żgurata l-konservazzjoni u l-użu sostenibbli fit-tul tar-riżorsi tas-sajd fiż-żona tal-Konvenzjoni tan-NAFO (iż-Żona regolatorja) u biex jiġu ssalvagwardjati l-ekosistemi tal-baħar li jinsabu fihom dawn ir-riżorsi. Tali miżuri jistgħu jsiru vinkolanti fuq l-Unjoni.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Ir-Regolament (UE) Nru 1380/2013 tal-Parlament Ewropew u tal-Kunsill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jipprovdi li l-Unjoni għandha tiżgura li l-attivitajiet tas-sajd u tal-akkwakultura, fuq terminu twil, ikunu ambjentalment sostenibbli, u jkunu ġestiti b’mod konsistenti mal-objettivi tal-kisba ta’ benefiċċji ekonomiċi, soċjali u tal-impjiegi, u li tikkontribwixxi għad-disponibbiltà tal-provvisti tal-ikel. Jipprovdi wkoll li l-Unjoni għandha tapplika l-approċċ prekawzjonarju għall-ġestjoni tas-sajd, u għandu jkollha l-għan li tiżgura li l-isfruttar ta’ riżorsi bijoloġiċi tal-baħar ħajjin jirrestawra u jmantni l-popolazzjoni ta’ speċijiet maqbuda ’l fuq mil-livelli, li jistgħu jipproduċu r-rendiment massimu sostenibbli. Barra minn hekk jipprevedi li l-Unjoni għandha tieħu miżuri ta’ ġestjoni u konservazzjoni bbażati fuq l-aħjar pariri xjentifiċi disponibbli, sabiex tappoġġja l-iżvilupp tal-għarfien u l-pariri xjentifiċi, sabiex gradwalment telimina l-qbid skartat u sabiex tippromwovi metodi ta’ sajd li jikkontribwixxu għal sajd aktar selettiv u l-evitar </w:t>
      </w:r>
      <w:r>
        <w:rPr>
          <w:noProof/>
        </w:rPr>
        <w:lastRenderedPageBreak/>
        <w:t>u t-tnaqqis, kemm jista’ jkun possibbli, ta’ qabdiet mhux mixtieqa, għal sajd b’impatt baxx fuq l-ekosistema tal-baħar u r-riżorsi tas-sajd. Barra minn hekk, ir-Regolament (UE) Nru 1380/2013, b’mod speċifiku, jipprovdi li dawk l-objettivi u l-prinċipji għandhom jiġu applikati mill-Unjoni fit-twettiq tar-relazzjonijiet tas-sajd esterni tagħha.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Kif iddikjarat fil-Komunikazzjoni Konġunta mir-Rappreżentant Għoli tal-Unjoni għall-Affarijiet Barranin u l-Politika ta’ Sigurtà u l-Kummissjoni Ewropea dwar Il-governanza Internazzjonali tal-oċeani:</w:t>
      </w:r>
      <w:r>
        <w:rPr>
          <w:i/>
          <w:noProof/>
        </w:rPr>
        <w:t xml:space="preserve"> </w:t>
      </w:r>
      <w:r>
        <w:rPr>
          <w:noProof/>
        </w:rPr>
        <w:t>aġenda għall-futur tal-oċeani tagħna</w:t>
      </w:r>
      <w:r>
        <w:rPr>
          <w:rStyle w:val="FootnoteReference"/>
          <w:noProof/>
        </w:rPr>
        <w:footnoteReference w:id="15"/>
      </w:r>
      <w:r>
        <w:rPr>
          <w:noProof/>
        </w:rPr>
        <w:t>, u l-konklużjonijiet tal-Kunsill dwar dik il-komunikazzjoni konġunta</w:t>
      </w:r>
      <w:r>
        <w:rPr>
          <w:rStyle w:val="FootnoteReference"/>
          <w:noProof/>
        </w:rPr>
        <w:footnoteReference w:id="16"/>
      </w:r>
      <w:r>
        <w:rPr>
          <w:noProof/>
        </w:rPr>
        <w:t>, il-promozzjoni ta’ miżuri għall-appoġġ u t-tisħiħ tal-effettività tal-organizzazzjonijiet tal-ġestjoni tas-sajd reġjonali (RFMOs) u, fejn rilevanti, it-titjib tal-governanza tagħhom, huwa fundamentali għall-azzjoni tal-Unjoni f’dawn il-fora.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Il-Komunikazzjoni mill-Kummissjoni lill-Parlament Ewropew, lill-Kunsill, lill-Kumitat Ekonomiku u Soċjali Ewropew u lill-Kumitat tar-Reġjuni dwar Strateġija Ewropea għall-Plastiks f’Ekonomija Ċirkolari</w:t>
      </w:r>
      <w:r>
        <w:rPr>
          <w:rStyle w:val="FootnoteReference"/>
          <w:noProof/>
        </w:rPr>
        <w:footnoteReference w:id="17"/>
      </w:r>
      <w:r>
        <w:rPr>
          <w:noProof/>
        </w:rPr>
        <w:t>, tirreferi għal miżuri speċifiċi biex jitnaqqsu l-plastik u t-tniġġis tal-baħar, kif ukoll it-telf jew l-abbandun il-baħar ta’ rkaptu tas-sajd.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Huwa xieraq li tiġi stabbilita l-pożizzjoni li għandha tittieħed f’isem l-Unjoni fil-laqgħat tal-Kummissjoni tan-NAFO għall-perjodu ta’ bejn l-2019 u l-2024, u li tiġi rrevokata d-Deċiżjoni tal-Kunsill 9449/1/14 REV 1</w:t>
      </w:r>
      <w:r>
        <w:rPr>
          <w:rStyle w:val="FootnoteReference"/>
          <w:noProof/>
        </w:rPr>
        <w:footnoteReference w:id="18"/>
      </w:r>
      <w:r>
        <w:rPr>
          <w:noProof/>
        </w:rPr>
        <w:t>, minħabba li l-miżuri ta’ konservazzjoni u ta’ infurzar tan-NAFO se jkunu vinkolanti fuq l-Unjoni u kapaċi li jinfluwenzaw b’mod deċiżiv il-kontenut tal-liġi tal-Unjoni, jiġifieri, ir-Regolament tal-Kunsill (KE) Nru 1005/2008</w:t>
      </w:r>
      <w:r>
        <w:rPr>
          <w:rStyle w:val="FootnoteReference"/>
          <w:noProof/>
        </w:rPr>
        <w:footnoteReference w:id="19"/>
      </w:r>
      <w:r>
        <w:rPr>
          <w:noProof/>
        </w:rPr>
        <w:t>; Ir-Regolament tal-Kunsill (KE) Nru 1224/2009</w:t>
      </w:r>
      <w:r>
        <w:rPr>
          <w:rStyle w:val="FootnoteReference"/>
          <w:noProof/>
        </w:rPr>
        <w:footnoteReference w:id="20"/>
      </w:r>
      <w:r>
        <w:rPr>
          <w:noProof/>
        </w:rPr>
        <w:t>; u r-Regolament (UE) 2017/2403 tal-Parlament Ewropew u tal-Kunsill</w:t>
      </w:r>
      <w:r>
        <w:rPr>
          <w:rStyle w:val="FootnoteReference"/>
          <w:noProof/>
        </w:rPr>
        <w:footnoteReference w:id="2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Fid-dawl tan-natura li qed tinbidel tar-riżorsi tas-sajd fiż-Żona Regolatorja u l-ħtieġa konsegwenti għall-pożizzjoni tal-Unjoni biex tqis żviluppi ġodda, inkluża informazzjoni xjentifika ġdida u informazzjoni oħra rilevanti ppreżentata qabel jew matul il-laqgħat tal-Kummissjoni tan-NAFO, jenħtieġ li jiġu stabbiliti proċeduri, f’konformità mal-prinċipju ta’ kooperazzjoni leali fost l-istituzzjonijiet tal-Unjoni mnaqqax fl-Artikolu 13(2) tat-Trattat dwar l-Unjoni Ewropea (TUE), għall-ispeċifikazzjoni ta’ sena sena tal-pożizzjoni tal-Unjoni għall-perjodu ta’ bejn l-2019 u l-2023.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Il-pożizzjoni li għandha tittieħed f’isem l-Unjoni fil-laqgħat tal-Kummissjoni tal-Organizzazzjoni tas-Sajd fl-Atlantiku tal-Majjistrali (NAFO) hija stabbilita fl-Anness 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L-ispeċifikazzjoni sena sena tal-pożizzjoni tal-Unjoni li għandha tittieħed fil-laqgħat tal-Kummissjoni tan-NAFO għandha titwettaq skont l-Anness II.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Il-pożizzjoni tal-Unjoni stabbilita fl-Anness I għandha tiġi vvalutata u, meta jkun xieraq, riveduta mill-Kunsill fuq proposta tal-Kummissjoni, mhux aktar tard milli għal-laqgħa annwali tal-Kummissjoni tan-NAFO fl-2024.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Id-Deċiżjoni 9449/1/14 REV 1 tad-19 ta’ Mejju 2014 tħassret.</w:t>
      </w:r>
    </w:p>
    <w:p>
      <w:pPr>
        <w:pStyle w:val="Titrearticle"/>
        <w:rPr>
          <w:noProof/>
        </w:rPr>
      </w:pPr>
      <w:r>
        <w:rPr>
          <w:noProof/>
        </w:rPr>
        <w:t>Artikolu 5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spacing w:before="0" w:after="0"/>
        <w:ind w:left="709" w:hanging="709"/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Ir-Regolament tal-Kunsill (KEE) Nru 3179/78 tat-28 ta’ Diċembru 1978 li jirrigwarda l-konklużjoni mill-Komunità Ekonomika Ewropea tal-Konvenzjoni dwar il-Kooperazzjoni Multilaterali Futura dwar is-Sajd fl-Atlantiku tal-Majjistral (ĠU L 378, 30.12.1978, p.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 2010/717/UE tat-8 ta’ Novembru 2010 dwar l-approvazzjoni, f’isem l-Unjoni Ewropea, tal-Emenda għall-Konvenzjoni dwar il-Kooperazzjoni Multilaterali fil-Ġejjieni dwar is-Sajd fl-Atlantiku tal-Majjistral (ĠU L 321, 7.12.2010,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dwar il-Politika Komuni tas-Sajd, li jemenda r-Regolamenti tal-Kunsill (KE) Nru 1954/2003 u (KE) Nru 1224/2009 u li jħassar ir-Regolamenti tal-Kunsill (KE) Nru 2371/2002 u (KE) Nru 639/2004 u d-Deċiżjoni tal-Kunsill 2004/585/KE, ĠU L 354, 28.12.2013, p. 22.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COM(2011) 424, 13.7.2011.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Is-Sentenza tal-Qorti tal-Ġustizzja tas-7 ta’ Ottubru 2014, il-Ġermanja vs il-Kunsill, C-399/12, ECLI:EU:C:2014:2258, il-paragrafi minn 61 sa 64.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ĠU L 286, 29.10.2008, p. 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 L 343, 22.12.2009, p. 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L 347, 28.12.2017, p. 81.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(KEE) Nru 3179/78 tat-28 ta’ Diċembru 1978 li jirrigwarda l-konklużjoni mill-Komunità Ekonomika Ewropea tal-Konvenzjoni dwar il-Kooperazzjoni Multilaterali Futura dwar is-Sajd fl-Atlantiku tal-Majjistral (ĠU L 378, 30.12.1978, p. 1).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 2010/717/UE tat-8 ta’ Novembru 2010 dwar l-approvazzjoni, f’isem l-Unjoni Ewropea, tal-Emenda għall-Konvenzjoni dwar il-Kooperazzjoni Multilaterali fil-Ġejjieni dwar is-Sajd fl-Atlantiku tal-Majjistral, ĠU L 321, 7.12.2010, p. 1-19.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tal-11 ta’ Diċembru 2013 dwar il-Politika Komuni tas-Sajd, li jemenda r-Regolamenti tal-Kunsill (KE) Nru 1954/2003 u (KE) Nru 1224/2009 u li jħassar ir-Regolamenti tal-Kunsill (KE) Nru 2371/2002 u (KE) Nru 639/2004 u d-Deċiżjoni tal-Kunsill 2004/585/KE (ĠU L 354, 28.12.2013, p. 22).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JOIN(2016) 49 final 10.11.2016.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7348/1/17 REV 1 24.3.2017.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tad-19 ta’ Mejju 2014 dwar il-pożizzjoni li għandha tiġi adottata, f’isem l-Unjoni Ewropea, fl-Organizzazzjoni tas-Sajd fl-Atlantiku tal-Majjistral.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1005/2008 li jistabbilixxi sistema Komunitarja sabiex tipprevjeni, tiskoraġġixxi u telimina sajd illegali, mhux irrappurtat u mhux irregolat, li jemenda r-Regolamenti (KEE) Nru 2847/93, (KE) Nru 1936/2001 u (KE) Nru 601/2004 u li jħassar ir-Regolamenti (KE) Nru 1093/94 u (KE) Nru 1447/1999 (ĠU L 286, 29.10.2008, p.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1224/2009 tal- 20 ta’ Novembru 2009 li jistabbilixxi sistema Komunitarja ta’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 (ĠU L 343, 22.12.2009, p. 1).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2017/2403 tal-Parlament Ewropew u tal-Kunsill tat-12 ta’ Diċembru 2017 dwar il-ġestjoni sostenibbli ta’ flotot tas-sajd esterni, u li jħassar ir-Regolament tal-Kunsill (KE) Nru 1006/2008 (ĠU L 347, 28.12.2017, p. 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4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9"/>
  </w:num>
  <w:num w:numId="29">
    <w:abstractNumId w:val="12"/>
  </w:num>
  <w:num w:numId="30">
    <w:abstractNumId w:val="21"/>
  </w:num>
  <w:num w:numId="31">
    <w:abstractNumId w:val="11"/>
  </w:num>
  <w:num w:numId="32">
    <w:abstractNumId w:val="13"/>
  </w:num>
  <w:num w:numId="33">
    <w:abstractNumId w:val="9"/>
  </w:num>
  <w:num w:numId="34">
    <w:abstractNumId w:val="20"/>
  </w:num>
  <w:num w:numId="35">
    <w:abstractNumId w:val="8"/>
  </w:num>
  <w:num w:numId="36">
    <w:abstractNumId w:val="14"/>
  </w:num>
  <w:num w:numId="37">
    <w:abstractNumId w:val="17"/>
  </w:num>
  <w:num w:numId="38">
    <w:abstractNumId w:val="18"/>
  </w:num>
  <w:num w:numId="39">
    <w:abstractNumId w:val="10"/>
  </w:num>
  <w:num w:numId="40">
    <w:abstractNumId w:val="16"/>
  </w:num>
  <w:num w:numId="4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6 11:32:2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614071D-DFF5-4BC0-AE06-D41FB277D87E"/>
    <w:docVar w:name="LW_COVERPAGE_TYPE" w:val="1"/>
    <w:docVar w:name="LW_CROSSREFERENCE" w:val="&lt;UNUSED&gt;"/>
    <w:docVar w:name="LW_DocType" w:val="COM"/>
    <w:docVar w:name="LW_EMISSION" w:val="7.3.2019"/>
    <w:docVar w:name="LW_EMISSION_ISODATE" w:val="2019-03-07"/>
    <w:docVar w:name="LW_EMISSION_LOCATION" w:val="BRX"/>
    <w:docVar w:name="LW_EMISSION_PREFIX" w:val="Brussell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1"/>
    <w:docVar w:name="LW_REF.II.NEW.CP_YEAR" w:val="2019"/>
    <w:docVar w:name="LW_REF.INST.NEW" w:val="COM"/>
    <w:docVar w:name="LW_REF.INST.NEW_ADOPTED" w:val="final"/>
    <w:docVar w:name="LW_REF.INST.NEW_TEXT" w:val="(2019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l-Organizzazzjoni tas-Sajd fil-Majjistral tal-Atlantiku u li t\u295?assar id-De\u267?i\u380?joni 9449/1/14 REV 1"/>
    <w:docVar w:name="LW_TYPE.DOC.CP" w:val="DE\u266?I\u379?JONI TAL-KUNSILL"/>
    <w:docVar w:name="Stamp" w:val="\\dossiers.dgt.cec.eu.int\dossiers\MARE\MARE-2018-00541\MARE-2018-00541-00-07-EN-EDT-00.201812071137544033588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06B6-8E4F-4C84-9ECE-4803F22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8</Pages>
  <Words>1566</Words>
  <Characters>11967</Characters>
  <Application>Microsoft Office Word</Application>
  <DocSecurity>0</DocSecurity>
  <Lines>202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2019-02-07T10:27:00Z</dcterms:created>
  <dcterms:modified xsi:type="dcterms:W3CDTF">2019-03-06T10:32:00Z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