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4DC0427-3C1D-4F33-BA80-75C3B6C48518" style="width:450.35pt;height:397.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ANEXA I</w:t>
      </w:r>
    </w:p>
    <w:p>
      <w:pPr>
        <w:pStyle w:val="Header"/>
        <w:rPr>
          <w:noProof/>
        </w:rPr>
      </w:pPr>
      <w:r>
        <w:rPr>
          <w:noProof/>
        </w:rPr>
        <w:t xml:space="preserve">Poziția care urmează să fie adoptată în numele Uniunii în cadrul Organizației de Pescuit în Atlanticul de Nord-Vest (NAFO) </w:t>
      </w:r>
    </w:p>
    <w:p>
      <w:pPr>
        <w:pStyle w:val="Heading1"/>
        <w:numPr>
          <w:ilvl w:val="0"/>
          <w:numId w:val="5"/>
        </w:numPr>
        <w:rPr>
          <w:noProof/>
        </w:rPr>
      </w:pPr>
      <w:r>
        <w:rPr>
          <w:noProof/>
        </w:rPr>
        <w:t>PRINCIPII</w:t>
      </w:r>
    </w:p>
    <w:p>
      <w:pPr>
        <w:rPr>
          <w:noProof/>
        </w:rPr>
      </w:pPr>
      <w:r>
        <w:rPr>
          <w:noProof/>
        </w:rPr>
        <w:t>În cadrul NAFO, Uniunea:</w:t>
      </w:r>
    </w:p>
    <w:p>
      <w:pPr>
        <w:pStyle w:val="Point0"/>
        <w:rPr>
          <w:noProof/>
        </w:rPr>
      </w:pPr>
      <w:r>
        <w:rPr>
          <w:noProof/>
        </w:rPr>
        <w:t>a)</w:t>
      </w:r>
      <w:r>
        <w:rPr>
          <w:noProof/>
        </w:rPr>
        <w:tab/>
        <w:t>acționează în conformitate cu obiectivele și principiile urmărite de Uniune în cadrul politicii comune în domeniul pescuitului (PCP), în special prin intermediul abordării precaute și al obiectivelor privind producția maximă sustenabilă prevăzute la articolul 2 alineatul (2) din Regulamentul (UE) nr. 1380/2013, pentru a promova implementarea unei abordări ecosistemice asupra gestionării pescuitului și a limita impactul activităților de pescuit asupra mediului, pentru a evita și a reduce, în măsura posibilului, capturile nedorite și pentru a elimina treptat practica aruncării înapoi în mare a capturilor, precum și pentru a reduce la minimum impactul activităților de pescuit asupra ecosistemelor marine și a habitatelor din cadrul acestora și, prin promovarea în Uniune a unui pescuit competitiv și viabil din punct de vedere economic, pentru a garanta un nivel de trai decent persoanelor care depind de activitățile de pescuit, ținând seama de interesul consumatorilor;</w:t>
      </w:r>
    </w:p>
    <w:p>
      <w:pPr>
        <w:pStyle w:val="Point0"/>
        <w:rPr>
          <w:noProof/>
        </w:rPr>
      </w:pPr>
      <w:r>
        <w:rPr>
          <w:noProof/>
        </w:rPr>
        <w:t>b)</w:t>
      </w:r>
      <w:r>
        <w:rPr>
          <w:noProof/>
        </w:rPr>
        <w:tab/>
        <w:t>depune eforturi în vederea unei implicări corespunzătoare a părților interesate în faza de elaborare a măsurilor NAFO și se asigură că măsurile adoptate în cadrul Comisiei NAFO sunt în conformitate cu Convenția NAFO;</w:t>
      </w:r>
    </w:p>
    <w:p>
      <w:pPr>
        <w:pStyle w:val="Point0"/>
        <w:rPr>
          <w:noProof/>
        </w:rPr>
      </w:pPr>
      <w:r>
        <w:rPr>
          <w:noProof/>
        </w:rPr>
        <w:t>c)</w:t>
      </w:r>
      <w:r>
        <w:rPr>
          <w:noProof/>
        </w:rPr>
        <w:tab/>
        <w:t>se asigură că măsurile adoptate în cadrul Comisiei NAFO respectă legislația internațională și, în special, prevederile Convenției ONU asupra dreptului mării din 1982, ale Acordului ONU din 1995 privind conservarea și gestionarea stocurilor de pești anadromi și a stocurilor de pești mari migratori, ale Acordului din 1993 privind promovarea respectării măsurilor internaționale de conservare și gestionare de către navele de pescuit în marea liberă, precum și ale Acordului din 2009 al Organizației Națiunilor Unite pentru Alimentație și Agricultură privind măsurile de competența statului portului;</w:t>
      </w:r>
    </w:p>
    <w:p>
      <w:pPr>
        <w:pStyle w:val="Point0"/>
        <w:rPr>
          <w:noProof/>
        </w:rPr>
      </w:pPr>
      <w:r>
        <w:rPr>
          <w:noProof/>
        </w:rPr>
        <w:t>d)</w:t>
      </w:r>
      <w:r>
        <w:rPr>
          <w:noProof/>
        </w:rPr>
        <w:tab/>
        <w:t>promovează poziții coerente cu bunele practici ale organizațiilor regionale de gestionare a pescuitului (ORGP) din aceeași zonă;</w:t>
      </w:r>
    </w:p>
    <w:p>
      <w:pPr>
        <w:pStyle w:val="Point0"/>
        <w:rPr>
          <w:noProof/>
          <w:szCs w:val="24"/>
        </w:rPr>
      </w:pPr>
      <w:r>
        <w:rPr>
          <w:noProof/>
        </w:rPr>
        <w:t>e)</w:t>
      </w:r>
      <w:r>
        <w:rPr>
          <w:noProof/>
        </w:rPr>
        <w:tab/>
        <w:t>urmărește să obțină coerență și sinergii cu politica urmărită de Uniune în cadrul relațiilor bilaterale cu țări terțe în domeniul pescuitului și asigură coerența cu celelalte politici ale sale, în special în materie de relații externe, ocuparea forței de muncă, mediu, comerț, dezvoltare, cercetare și inovare;</w:t>
      </w:r>
    </w:p>
    <w:p>
      <w:pPr>
        <w:pStyle w:val="Point0"/>
        <w:rPr>
          <w:noProof/>
          <w:szCs w:val="24"/>
        </w:rPr>
      </w:pPr>
      <w:r>
        <w:rPr>
          <w:noProof/>
        </w:rPr>
        <w:t>f)</w:t>
      </w:r>
      <w:r>
        <w:rPr>
          <w:noProof/>
        </w:rPr>
        <w:tab/>
        <w:t>garantează respectarea angajamentelor internaționale ale Uniunii;</w:t>
      </w:r>
    </w:p>
    <w:p>
      <w:pPr>
        <w:pStyle w:val="Point0"/>
        <w:rPr>
          <w:noProof/>
          <w:szCs w:val="24"/>
        </w:rPr>
      </w:pPr>
      <w:r>
        <w:rPr>
          <w:noProof/>
        </w:rPr>
        <w:t>g)</w:t>
      </w:r>
      <w:r>
        <w:rPr>
          <w:noProof/>
        </w:rPr>
        <w:tab/>
        <w:t>se conformează concluziilor Consiliului din 19 martie 2012 referitoare la Comunicarea Comisiei privind dimensiunea externă a politicii comune în domeniul pescuitului</w:t>
      </w:r>
      <w:r>
        <w:rPr>
          <w:rStyle w:val="FootnoteReference"/>
          <w:noProof/>
        </w:rPr>
        <w:footnoteReference w:id="1"/>
      </w:r>
      <w:r>
        <w:rPr>
          <w:noProof/>
        </w:rPr>
        <w:t>;</w:t>
      </w:r>
    </w:p>
    <w:p>
      <w:pPr>
        <w:pStyle w:val="Point0"/>
        <w:rPr>
          <w:noProof/>
          <w:szCs w:val="24"/>
        </w:rPr>
      </w:pPr>
      <w:r>
        <w:rPr>
          <w:noProof/>
        </w:rPr>
        <w:t>h)</w:t>
      </w:r>
      <w:r>
        <w:rPr>
          <w:noProof/>
        </w:rPr>
        <w:tab/>
        <w:t>urmărește să creeze condiții de concurență echitabile pentru flota Uniunii în zona de reglementare NAFO, pe baza acelorași principii și standarde ca cele aplicabile în temeiul dreptului Uniunii, și să promoveze punerea în aplicare uniformă a acestora principii și standarde;</w:t>
      </w:r>
    </w:p>
    <w:p>
      <w:pPr>
        <w:pStyle w:val="Point0"/>
        <w:rPr>
          <w:noProof/>
          <w:szCs w:val="24"/>
        </w:rPr>
      </w:pPr>
      <w:r>
        <w:rPr>
          <w:noProof/>
        </w:rPr>
        <w:lastRenderedPageBreak/>
        <w:t>i)</w:t>
      </w:r>
      <w:r>
        <w:rPr>
          <w:noProof/>
        </w:rPr>
        <w:tab/>
        <w:t>se conformează Comunicării comune a Înaltului Reprezentant al Uniunii pentru afaceri externe și politica de securitate și a Comisiei Europene intitulată „</w:t>
      </w:r>
      <w:r>
        <w:rPr>
          <w:i/>
          <w:noProof/>
        </w:rPr>
        <w:t>Guvernanța internațională a oceanelor: o agendă pentru viitorul oceanelor noastre</w:t>
      </w:r>
      <w:r>
        <w:rPr>
          <w:noProof/>
        </w:rPr>
        <w:t>”</w:t>
      </w:r>
      <w:r>
        <w:rPr>
          <w:rStyle w:val="FootnoteReference"/>
          <w:noProof/>
        </w:rPr>
        <w:footnoteReference w:id="2"/>
      </w:r>
      <w:r>
        <w:rPr>
          <w:noProof/>
        </w:rPr>
        <w:t>, precum și concluziilor Consiliului privind respectiva comunicare comună</w:t>
      </w:r>
      <w:r>
        <w:rPr>
          <w:rStyle w:val="FootnoteReference"/>
          <w:noProof/>
        </w:rPr>
        <w:footnoteReference w:id="3"/>
      </w:r>
      <w:r>
        <w:rPr>
          <w:noProof/>
        </w:rPr>
        <w:t xml:space="preserve"> și promovează măsuri de susținere și de sporire a eficacității NAFO și, după caz, de îmbunătățire a guvernanței și a performanței acestei organizații (în special în ceea ce privește știința, conformitatea, transparența și procesul decizional), ca o contribuție la gestionarea sustenabilă a oceanelor sub toate formele sale;</w:t>
      </w:r>
    </w:p>
    <w:p>
      <w:pPr>
        <w:pStyle w:val="Point0"/>
        <w:rPr>
          <w:noProof/>
          <w:szCs w:val="24"/>
        </w:rPr>
      </w:pPr>
      <w:r>
        <w:rPr>
          <w:noProof/>
        </w:rPr>
        <w:t>j)</w:t>
      </w:r>
      <w:r>
        <w:rPr>
          <w:noProof/>
        </w:rPr>
        <w:tab/>
        <w:t>promovează coordonarea dintre ORGP și convențiile marine regionale și cooperarea cu organizațiile mondiale, după caz, în limitele mandatelor acestora, după caz;</w:t>
      </w:r>
    </w:p>
    <w:p>
      <w:pPr>
        <w:pStyle w:val="Point0"/>
        <w:rPr>
          <w:noProof/>
          <w:szCs w:val="24"/>
        </w:rPr>
      </w:pPr>
      <w:r>
        <w:rPr>
          <w:noProof/>
        </w:rPr>
        <w:t>k)</w:t>
      </w:r>
      <w:r>
        <w:rPr>
          <w:noProof/>
        </w:rPr>
        <w:tab/>
        <w:t>promovează mecanisme de cooperare între organizațiile regionale care nu sunt axate pe pescuitul de ton, similare cu așa-numitul proces de la Kobe pentru ORGP care sunt axate pe pescuitul de ton.</w:t>
      </w:r>
    </w:p>
    <w:p>
      <w:pPr>
        <w:pStyle w:val="Heading1"/>
        <w:rPr>
          <w:noProof/>
        </w:rPr>
      </w:pPr>
      <w:r>
        <w:rPr>
          <w:noProof/>
        </w:rPr>
        <w:t>ORIENTĂRI</w:t>
      </w:r>
    </w:p>
    <w:p>
      <w:pPr>
        <w:autoSpaceDE w:val="0"/>
        <w:autoSpaceDN w:val="0"/>
        <w:adjustRightInd w:val="0"/>
        <w:spacing w:before="0" w:after="0"/>
        <w:rPr>
          <w:noProof/>
        </w:rPr>
      </w:pPr>
      <w:r>
        <w:rPr>
          <w:noProof/>
        </w:rPr>
        <w:t>Uniunea depune eforturi, dacă este necesar, pentru a sprijini adoptarea de către NAFO a următoarelor acțiuni:</w:t>
      </w:r>
    </w:p>
    <w:p>
      <w:pPr>
        <w:pStyle w:val="Point0"/>
        <w:rPr>
          <w:noProof/>
        </w:rPr>
      </w:pPr>
      <w:r>
        <w:rPr>
          <w:noProof/>
        </w:rPr>
        <w:t>a)</w:t>
      </w:r>
      <w:r>
        <w:rPr>
          <w:noProof/>
        </w:rPr>
        <w:tab/>
        <w:t>măsuri de conservare și gestionare pentru resursele piscicole din zona de reglementare NAFO pe baza celor mai bune avize științifice disponibile, precum și abordarea precaută, inclusiv cu privire la capturile totale admisibile (TAC) și cotele sau reglementările privind efortul de pescuit pentru resursele biologice marine vii, reglementate de NAFO, care ar atinge rata de exploatare maximă sustenabilă pe o bază progresivă și incrementală, cel târziu până în 2020. Acolo unde este necesar, se iau în considerare măsuri specifice pentru stocurile afectate de pescuitul excesiv, pentru a menține efortul de pescuit la un nivel care corespunde posibilităților de pescuit disponibile;</w:t>
      </w:r>
    </w:p>
    <w:p>
      <w:pPr>
        <w:pStyle w:val="Point0"/>
        <w:rPr>
          <w:noProof/>
        </w:rPr>
      </w:pPr>
      <w:r>
        <w:rPr>
          <w:noProof/>
        </w:rPr>
        <w:t>b)</w:t>
      </w:r>
      <w:r>
        <w:rPr>
          <w:noProof/>
        </w:rPr>
        <w:tab/>
        <w:t>măsuri de prevenire, descurajare și eliminare a activităților de pescuit ilegale, nedeclarate și nereglementate (INN) în zona de reglementare, inclusiv includerea pe lista navelor INN;</w:t>
      </w:r>
    </w:p>
    <w:p>
      <w:pPr>
        <w:pStyle w:val="Point0"/>
        <w:rPr>
          <w:noProof/>
        </w:rPr>
      </w:pPr>
      <w:r>
        <w:rPr>
          <w:noProof/>
        </w:rPr>
        <w:t>c)</w:t>
      </w:r>
      <w:r>
        <w:rPr>
          <w:noProof/>
        </w:rPr>
        <w:tab/>
        <w:t>măsuri de monitorizare, de control și de supraveghere în zona de reglementare NAFO, pentru a asigura eficiența controalelor și respectarea măsurilor adoptate în cadrul NAFO;</w:t>
      </w:r>
    </w:p>
    <w:p>
      <w:pPr>
        <w:pStyle w:val="Point0"/>
        <w:rPr>
          <w:noProof/>
        </w:rPr>
      </w:pPr>
      <w:r>
        <w:rPr>
          <w:noProof/>
        </w:rPr>
        <w:t>d)</w:t>
      </w:r>
      <w:r>
        <w:rPr>
          <w:noProof/>
        </w:rPr>
        <w:tab/>
        <w:t>măsuri de reducere la minimum a impactului negativ al activităților de pescuit asupra biodiversității și ecosistemelor marine și asupra habitatelor acestora, inclusiv măsuri de reducere a poluării marine și de prevenire a evacuării de materiale plastice în mare, precum și de reducere a impactului materialelor plastice prezente în mare asupra biodiversității și ecosistemelor marine, măsuri de protecție a ecosistemelor marine vulnerabile din zona de reglementare în conformitate cu Convenția NAFO, ținând seama, în același timp, de orientările internaționale ale FAO pentru gestionarea pescuitului de adâncime în marea liberă, măsuri pentru evitarea și reducerea pe cât posibil a capturilor nedorite, inclusiv de specii marine vulnerabile, și de eliminare treptată a capturilor aruncate înapoi în mare;</w:t>
      </w:r>
    </w:p>
    <w:p>
      <w:pPr>
        <w:pStyle w:val="Point0"/>
        <w:rPr>
          <w:noProof/>
        </w:rPr>
      </w:pPr>
      <w:r>
        <w:rPr>
          <w:noProof/>
        </w:rPr>
        <w:t>e)</w:t>
      </w:r>
      <w:r>
        <w:rPr>
          <w:noProof/>
        </w:rPr>
        <w:tab/>
        <w:t>măsuri de reducere a impactului uneltelor de pescuit abandonate, pierdute sau aruncate în ocean și de facilitare a identificării și recuperării acestor unelte;</w:t>
      </w:r>
    </w:p>
    <w:p>
      <w:pPr>
        <w:pStyle w:val="Point0"/>
        <w:rPr>
          <w:noProof/>
        </w:rPr>
      </w:pPr>
      <w:r>
        <w:rPr>
          <w:noProof/>
        </w:rPr>
        <w:lastRenderedPageBreak/>
        <w:t>f)</w:t>
      </w:r>
      <w:r>
        <w:rPr>
          <w:noProof/>
        </w:rPr>
        <w:tab/>
        <w:t>măsuri care vizează interzicerea activităților de pescuit desfășurate exclusiv în scopul recoltării înotătoarelor de rechin și care impun ca toți rechinii să fie debarcați cu înotătoarele atașate în mod natural;</w:t>
      </w:r>
    </w:p>
    <w:p>
      <w:pPr>
        <w:pStyle w:val="Point0"/>
        <w:rPr>
          <w:noProof/>
        </w:rPr>
      </w:pPr>
      <w:r>
        <w:rPr>
          <w:noProof/>
        </w:rPr>
        <w:t>g)</w:t>
      </w:r>
      <w:r>
        <w:rPr>
          <w:noProof/>
        </w:rPr>
        <w:tab/>
        <w:t>abordări comune cu alte ORGP, dacă este cazul, în special cu cele implicate în gestionarea pescuitului din aceeași regiune;</w:t>
      </w:r>
    </w:p>
    <w:p>
      <w:pPr>
        <w:pStyle w:val="Point0"/>
        <w:rPr>
          <w:noProof/>
        </w:rPr>
      </w:pPr>
      <w:r>
        <w:rPr>
          <w:noProof/>
        </w:rPr>
        <w:t>h)</w:t>
      </w:r>
      <w:r>
        <w:rPr>
          <w:noProof/>
        </w:rPr>
        <w:tab/>
        <w:t>abordări legate de gestionarea impactului altor activități decât pescuitul asupra resurselor biologice marine din zona de reglementare;</w:t>
      </w:r>
    </w:p>
    <w:p>
      <w:pPr>
        <w:pStyle w:val="Point0"/>
        <w:rPr>
          <w:noProof/>
        </w:rPr>
      </w:pPr>
      <w:r>
        <w:rPr>
          <w:noProof/>
        </w:rPr>
        <w:t>i)</w:t>
      </w:r>
      <w:r>
        <w:rPr>
          <w:noProof/>
        </w:rPr>
        <w:tab/>
        <w:t>recomandări, dacă este cazul și în măsura în care acest lucru este permis de documentele constitutive relevante, care încurajează punerea în aplicare a Convenției privind munca în domeniul pescuitului a Organizației Internaționale a Muncii (OIM);</w:t>
      </w:r>
    </w:p>
    <w:p>
      <w:pPr>
        <w:pStyle w:val="Point0"/>
        <w:rPr>
          <w:noProof/>
        </w:rPr>
      </w:pPr>
      <w:r>
        <w:rPr>
          <w:noProof/>
        </w:rPr>
        <w:t>j)</w:t>
      </w:r>
      <w:r>
        <w:rPr>
          <w:noProof/>
        </w:rPr>
        <w:tab/>
        <w:t xml:space="preserve">măsuri tehnice suplimentare pe baza avizelor organismelor subsidiare și ale grupurilor de lucru ale NAFO.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ANEXA II</w:t>
      </w:r>
    </w:p>
    <w:p>
      <w:pPr>
        <w:jc w:val="center"/>
        <w:rPr>
          <w:rFonts w:eastAsia="Calibri"/>
          <w:b/>
          <w:noProof/>
          <w:szCs w:val="20"/>
          <w:u w:val="single"/>
        </w:rPr>
      </w:pPr>
      <w:r>
        <w:rPr>
          <w:b/>
          <w:noProof/>
          <w:u w:val="single"/>
        </w:rPr>
        <w:t xml:space="preserve">Precizarea anuală a poziției care urmează să fie adoptată de Uniune </w:t>
      </w:r>
    </w:p>
    <w:p>
      <w:pPr>
        <w:jc w:val="center"/>
        <w:rPr>
          <w:rFonts w:eastAsia="Calibri"/>
          <w:b/>
          <w:noProof/>
          <w:szCs w:val="20"/>
          <w:u w:val="single"/>
        </w:rPr>
      </w:pPr>
      <w:r>
        <w:rPr>
          <w:b/>
          <w:noProof/>
          <w:u w:val="single"/>
        </w:rPr>
        <w:t xml:space="preserve">în cadrul reuniunilor Organizației de Pescuit în Atlanticul de Nord-Vest </w:t>
      </w:r>
    </w:p>
    <w:p>
      <w:pPr>
        <w:jc w:val="center"/>
        <w:rPr>
          <w:rFonts w:eastAsia="Calibri"/>
          <w:b/>
          <w:i/>
          <w:strike/>
          <w:noProof/>
          <w:szCs w:val="20"/>
          <w:u w:val="single"/>
        </w:rPr>
      </w:pPr>
    </w:p>
    <w:p>
      <w:pPr>
        <w:rPr>
          <w:rFonts w:eastAsia="Calibri"/>
          <w:noProof/>
          <w:szCs w:val="20"/>
        </w:rPr>
      </w:pPr>
      <w:r>
        <w:rPr>
          <w:noProof/>
        </w:rPr>
        <w:t>Înainte de fiecare reuniune a Comisiei NAFO, când acest organism este invitat să adopte decizii cu efecte juridice asupra Uniunii, se iau măsurile necesare astfel încât poziția care urmează a fi exprimată în numele Uniunii să țină cont de ultimele informații științifice și de alte informații relevante transmise Comisiei, în conformitate cu principiile și orientările stabilite în anexa I.</w:t>
      </w:r>
    </w:p>
    <w:p>
      <w:pPr>
        <w:rPr>
          <w:rFonts w:eastAsia="Calibri"/>
          <w:noProof/>
          <w:szCs w:val="20"/>
        </w:rPr>
      </w:pPr>
      <w:r>
        <w:rPr>
          <w:noProof/>
        </w:rPr>
        <w:t>În acest sens și pe baza informațiilor menționate, Comisia transmite în scris Consiliului sau grupurilor sale de pregătire, cu suficient timp înainte de fiecare reuniune a Comisiei NAFO, un document scris care prezintă în detaliu propunerea de precizare a poziției Uniunii, în vederea dezbaterii și a adoptării detaliilor referitoare la poziția care urmează să fie exprimată în numele Uniunii.</w:t>
      </w:r>
    </w:p>
    <w:p>
      <w:pPr>
        <w:rPr>
          <w:rFonts w:eastAsia="Calibri"/>
          <w:noProof/>
          <w:szCs w:val="20"/>
        </w:rPr>
      </w:pPr>
      <w:r>
        <w:rPr>
          <w:noProof/>
        </w:rPr>
        <w:t>În cazul în care, în cadrul unei reuniuni a Comisiei NAFO, inclusiv la fața locului, nu se poate ajunge la un acord astfel încât poziția Uniunii să ia în considerare noile elemente, chestiunea este transmisă Consiliului sau grupurilor sale de pregătire.</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din 10.11.2016.</w:t>
      </w:r>
    </w:p>
  </w:footnote>
  <w:footnote w:id="3">
    <w:p>
      <w:pPr>
        <w:pStyle w:val="FootnoteText"/>
        <w:rPr>
          <w:lang w:val="en-US"/>
        </w:rPr>
      </w:pPr>
      <w:r>
        <w:rPr>
          <w:rStyle w:val="FootnoteReference"/>
        </w:rPr>
        <w:footnoteRef/>
      </w:r>
      <w:r>
        <w:tab/>
        <w:t>7348/1/17 REV 1 din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7CE7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546B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9487A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6B82250"/>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1:31: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2"/>
    <w:docVar w:name="LW_ANNEX_UNIQUE" w:val="0"/>
    <w:docVar w:name="LW_CORRIGENDUM" w:val="&lt;UNUSED&gt;"/>
    <w:docVar w:name="LW_COVERPAGE_EXISTS" w:val="True"/>
    <w:docVar w:name="LW_COVERPAGE_GUID" w:val="54DC0427-3C1D-4F33-BA80-75C3B6C48518"/>
    <w:docVar w:name="LW_COVERPAGE_TYPE" w:val="1"/>
    <w:docVar w:name="LW_CROSSREFERENCE" w:val="&lt;UNUSED&gt;"/>
    <w:docVar w:name="LW_DocType" w:val="ANNEX"/>
    <w:docVar w:name="LW_EMISSION" w:val="7.3.2019"/>
    <w:docVar w:name="LW_EMISSION_ISODATE" w:val="2019-03-07"/>
    <w:docVar w:name="LW_EMISSION_LOCATION" w:val="BRX"/>
    <w:docVar w:name="LW_EMISSION_PREFIX" w:val="Bruxelles, "/>
    <w:docVar w:name="LW_EMISSION_SUFFIX" w:val="&lt;EMPTY&gt;"/>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Organiza\u539?iei de Pescuit în Atlanticul de Nord-Vest \u537?i de abrogare a Deciziei 9449/1/14 REV 1"/>
    <w:docVar w:name="LW_OBJETACTEPRINCIPAL.CP" w:val="privind pozi\u539?ia care urmeaz\u259? s\u259? fie adoptat\u259? în numele Uniunii Europene în cadrul Organiza\u539?iei de Pescuit în Atlanticul de Nord-Vest \u537?i de abrogare a Deciziei 9449/1/14 REV 1"/>
    <w:docVar w:name="LW_PART_NBR" w:val="&lt;UNUSED&gt;"/>
    <w:docVar w:name="LW_PART_NBR_TOTAL" w:val="&lt;UNUSED&gt;"/>
    <w:docVar w:name="LW_REF.INST.NEW" w:val="COM"/>
    <w:docVar w:name="LW_REF.INST.NEW_ADOPTED" w:val="final"/>
    <w:docVar w:name="LW_REF.INST.NEW_TEXT" w:val="(2019)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E"/>
    <w:docVar w:name="LW_TYPE.DOC.CP" w:val="ANEXE"/>
    <w:docVar w:name="LW_TYPEACTEPRINCIPAL" w:val="propunerea de Decizie a Consiliului "/>
    <w:docVar w:name="LW_TYPEACTEPRINCIPAL.CP" w:val="propunerea de Decizie a Consiliului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1177</Words>
  <Characters>6938</Characters>
  <Application>Microsoft Office Word</Application>
  <DocSecurity>0</DocSecurity>
  <Lines>117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2019-02-28T17:02:00Z</dcterms:created>
  <dcterms:modified xsi:type="dcterms:W3CDTF">2019-03-06T10:31:00Z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